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A5824" w14:textId="4ACB970E" w:rsidR="00DA507B" w:rsidRDefault="00DA507B" w:rsidP="00CE01BA">
      <w:pPr>
        <w:jc w:val="both"/>
        <w:rPr>
          <w:rFonts w:ascii="Verdana" w:hAnsi="Verdana"/>
          <w:b/>
          <w:bCs/>
        </w:rPr>
      </w:pPr>
      <w:bookmarkStart w:id="0" w:name="_Hlk143780582"/>
      <w:r w:rsidRPr="00CE01BA">
        <w:rPr>
          <w:rFonts w:ascii="Verdana" w:hAnsi="Verdana"/>
          <w:b/>
          <w:bCs/>
        </w:rPr>
        <w:t>INHABILIDADES E INCOMPATIBILIDADES – Definición – Fundamento – Clases</w:t>
      </w:r>
    </w:p>
    <w:p w14:paraId="362A0489" w14:textId="77777777" w:rsidR="007A5CAF" w:rsidRPr="009D1B9D" w:rsidRDefault="007A5CAF" w:rsidP="007A5CAF">
      <w:pPr>
        <w:spacing w:after="0" w:line="240" w:lineRule="auto"/>
        <w:jc w:val="both"/>
        <w:rPr>
          <w:rFonts w:ascii="Verdana" w:hAnsi="Verdana" w:cs="Arial"/>
          <w:sz w:val="20"/>
          <w:lang w:val="es-MX"/>
        </w:rPr>
      </w:pPr>
      <w:r w:rsidRPr="009D1B9D">
        <w:rPr>
          <w:rFonts w:ascii="Verdana" w:hAnsi="Verdana" w:cs="Arial"/>
          <w:sz w:val="20"/>
          <w:lang w:val="es-MX"/>
        </w:rPr>
        <w:t>Las inhabilidades e incompatibilidades pueden enfocarse en varios asuntos: en primer lugar, se encuentran las inhabilidades e incompatibilidades que impiden que u</w:t>
      </w:r>
      <w:r w:rsidRPr="009D1B9D">
        <w:rPr>
          <w:rFonts w:ascii="Verdana" w:hAnsi="Verdana" w:cs="Arial"/>
          <w:sz w:val="20"/>
        </w:rPr>
        <w:t xml:space="preserve">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9D1B9D">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7E7DE52C" w14:textId="27EF120D" w:rsidR="00DA507B" w:rsidRDefault="00DA507B" w:rsidP="007A5CAF">
      <w:pPr>
        <w:spacing w:before="240"/>
        <w:jc w:val="both"/>
        <w:rPr>
          <w:rFonts w:ascii="Verdana" w:hAnsi="Verdana"/>
          <w:b/>
          <w:bCs/>
        </w:rPr>
      </w:pPr>
      <w:r w:rsidRPr="00CE01BA">
        <w:rPr>
          <w:rFonts w:ascii="Verdana" w:hAnsi="Verdana"/>
          <w:b/>
          <w:bCs/>
        </w:rPr>
        <w:t>INHABILIDADES E INCOMPATIBILIDADES – Finalidad – Limitación capacidad contractual</w:t>
      </w:r>
    </w:p>
    <w:p w14:paraId="157C699E" w14:textId="77777777" w:rsidR="00D417FC" w:rsidRPr="009D1B9D" w:rsidRDefault="00D417FC" w:rsidP="00D417FC">
      <w:pPr>
        <w:spacing w:after="0" w:line="240" w:lineRule="auto"/>
        <w:jc w:val="both"/>
        <w:rPr>
          <w:rFonts w:ascii="Verdana" w:hAnsi="Verdana" w:cs="Arial"/>
          <w:sz w:val="20"/>
          <w:lang w:val="es-MX"/>
        </w:rPr>
      </w:pPr>
      <w:r w:rsidRPr="009D1B9D">
        <w:rPr>
          <w:rFonts w:ascii="Verdana"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77C5E6F1" w14:textId="0642085B" w:rsidR="00DA507B" w:rsidRDefault="00DA507B" w:rsidP="00D417FC">
      <w:pPr>
        <w:spacing w:before="240"/>
        <w:jc w:val="both"/>
        <w:rPr>
          <w:rFonts w:ascii="Verdana" w:hAnsi="Verdana"/>
          <w:b/>
          <w:bCs/>
        </w:rPr>
      </w:pPr>
      <w:r w:rsidRPr="00CE01BA">
        <w:rPr>
          <w:rFonts w:ascii="Verdana" w:hAnsi="Verdana"/>
          <w:b/>
          <w:bCs/>
        </w:rPr>
        <w:t>INHABILIDADES E INCOMPATIBILIDADES – Taxatividad – Principio de legalidad – Interpretación restrictiva</w:t>
      </w:r>
    </w:p>
    <w:p w14:paraId="50BFC4BF" w14:textId="7F980BC3" w:rsidR="00B54183" w:rsidRDefault="00B54183" w:rsidP="00B54183">
      <w:pPr>
        <w:spacing w:after="0" w:line="240" w:lineRule="auto"/>
        <w:jc w:val="both"/>
        <w:rPr>
          <w:rFonts w:ascii="Verdana" w:hAnsi="Verdana" w:cs="Arial"/>
          <w:sz w:val="20"/>
          <w:lang w:val="es-ES_tradnl"/>
        </w:rPr>
      </w:pPr>
      <w:r w:rsidRPr="009D1B9D">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9D1B9D">
        <w:rPr>
          <w:rFonts w:ascii="Verdana" w:hAnsi="Verdana" w:cs="Arial"/>
          <w:i/>
          <w:iCs/>
          <w:sz w:val="20"/>
          <w:lang w:val="es-ES_tradnl"/>
        </w:rPr>
        <w:t xml:space="preserve">restrictiva, </w:t>
      </w:r>
      <w:r w:rsidRPr="009D1B9D">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61A58C61" w14:textId="77777777" w:rsidR="006416B7" w:rsidRPr="009D1B9D" w:rsidRDefault="006416B7" w:rsidP="00B54183">
      <w:pPr>
        <w:spacing w:after="0" w:line="240" w:lineRule="auto"/>
        <w:jc w:val="both"/>
        <w:rPr>
          <w:rFonts w:ascii="Verdana" w:hAnsi="Verdana" w:cs="Arial"/>
          <w:sz w:val="20"/>
          <w:lang w:val="es-ES_tradnl"/>
        </w:rPr>
      </w:pPr>
    </w:p>
    <w:p w14:paraId="67EBBD1C" w14:textId="77777777" w:rsidR="00B54183" w:rsidRPr="009D1B9D" w:rsidRDefault="00B54183" w:rsidP="00B54183">
      <w:pPr>
        <w:spacing w:after="0" w:line="240" w:lineRule="auto"/>
        <w:jc w:val="both"/>
        <w:rPr>
          <w:rFonts w:ascii="Verdana" w:hAnsi="Verdana" w:cs="Arial"/>
          <w:sz w:val="20"/>
          <w:lang w:val="es-ES_tradnl"/>
        </w:rPr>
      </w:pPr>
      <w:r w:rsidRPr="009D1B9D">
        <w:rPr>
          <w:rFonts w:ascii="Verdana" w:hAnsi="Verdana" w:cs="Arial"/>
          <w:sz w:val="20"/>
          <w:lang w:val="es-ES_tradnl"/>
        </w:rPr>
        <w:t xml:space="preserve">En efecto, el máximo tribunal constitucional ha indicado, al tratar de precisar el sentido de este tipo de normas, que “[…] el intérprete de las disposiciones legislativas en la </w:t>
      </w:r>
      <w:r w:rsidRPr="009D1B9D">
        <w:rPr>
          <w:rFonts w:ascii="Verdana" w:hAnsi="Verdana" w:cs="Arial"/>
          <w:sz w:val="20"/>
          <w:lang w:val="es-ES_tradnl"/>
        </w:rPr>
        <w:lastRenderedPageBreak/>
        <w:t>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p>
    <w:p w14:paraId="059E7B84" w14:textId="7C76739D" w:rsidR="00DA507B" w:rsidRDefault="00DA507B" w:rsidP="00B54183">
      <w:pPr>
        <w:spacing w:before="240"/>
        <w:jc w:val="both"/>
        <w:rPr>
          <w:rFonts w:ascii="Verdana" w:hAnsi="Verdana"/>
          <w:b/>
          <w:bCs/>
        </w:rPr>
      </w:pPr>
      <w:r w:rsidRPr="00CE01BA">
        <w:rPr>
          <w:rFonts w:ascii="Verdana" w:hAnsi="Verdana"/>
          <w:b/>
          <w:bCs/>
        </w:rPr>
        <w:t xml:space="preserve">INHABILIDAD SOBREVINIENTE – Artículo 9 de la Ley 80 de 1993 – Alcance – Régimen general – Régimen especial Ley 2014 de 2019 </w:t>
      </w:r>
    </w:p>
    <w:p w14:paraId="72B02E99" w14:textId="77777777" w:rsidR="007004AC" w:rsidRPr="009D1B9D" w:rsidRDefault="007004AC" w:rsidP="007004AC">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 xml:space="preserve">Por otra parte, frente a las inhabilidades o incompatibilidades que tienen carácter sobreviniente, es necesario tener en cuenta que el ordenamiento jurídico trata de manera distinta al oferente, al adjudicatario y al contratista. </w:t>
      </w:r>
      <w:r w:rsidRPr="009D1B9D">
        <w:rPr>
          <w:rFonts w:ascii="Verdana" w:eastAsia="Verdana" w:hAnsi="Verdana" w:cs="Verdana"/>
          <w:i/>
          <w:sz w:val="20"/>
          <w:szCs w:val="20"/>
        </w:rPr>
        <w:t>Respecto al oferente</w:t>
      </w:r>
      <w:r w:rsidRPr="009D1B9D">
        <w:rPr>
          <w:rFonts w:ascii="Verdana" w:eastAsia="Verdana" w:hAnsi="Verdana" w:cs="Verdana"/>
          <w:sz w:val="20"/>
          <w:szCs w:val="20"/>
        </w:rPr>
        <w:t xml:space="preserve">, el inciso segundo del artículo 9 de la Ley 80 de 1993 dispone que “Cuando la inhabilidad o incompatibilidad sobrevenga en un proponente dentro de un proceso de selección, se entenderá que renuncia a la participación en el proceso de selección y a los derechos surgidos del mismo”. </w:t>
      </w:r>
    </w:p>
    <w:p w14:paraId="6BF8A162" w14:textId="77777777" w:rsidR="007004AC" w:rsidRPr="009D1B9D" w:rsidRDefault="007004AC" w:rsidP="007004AC">
      <w:pPr>
        <w:spacing w:after="0" w:line="240" w:lineRule="auto"/>
        <w:jc w:val="both"/>
        <w:rPr>
          <w:rFonts w:ascii="Verdana" w:eastAsia="Verdana" w:hAnsi="Verdana" w:cs="Verdana"/>
          <w:sz w:val="20"/>
          <w:szCs w:val="20"/>
        </w:rPr>
      </w:pPr>
    </w:p>
    <w:p w14:paraId="3C542BE8" w14:textId="77777777" w:rsidR="007004AC" w:rsidRPr="009D1B9D" w:rsidRDefault="007004AC" w:rsidP="007004AC">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Dicha presunción de renuncia a la participación y a los derechos surgidos del mismo, en caso de contar con resolución de adjudicación, debe interpretarse en conjunto con el artículo 9 de la Ley 1150 de 2007, el cual consagra dos (2)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que el acto se obtuvo por medios ilegales, caso en el cual, “la entidad podrá aplicar lo previsto en el inciso final del numeral 12 del artículo 30 de la Ley 80 de 1993”.</w:t>
      </w:r>
    </w:p>
    <w:p w14:paraId="04252E23" w14:textId="77777777" w:rsidR="007004AC" w:rsidRPr="009D1B9D" w:rsidRDefault="007004AC" w:rsidP="007004AC">
      <w:pPr>
        <w:spacing w:after="0" w:line="240" w:lineRule="auto"/>
        <w:jc w:val="both"/>
        <w:rPr>
          <w:rFonts w:ascii="Verdana" w:eastAsia="Verdana" w:hAnsi="Verdana" w:cs="Verdana"/>
          <w:sz w:val="20"/>
          <w:szCs w:val="20"/>
        </w:rPr>
      </w:pPr>
    </w:p>
    <w:p w14:paraId="2167B9CD" w14:textId="77777777" w:rsidR="007004AC" w:rsidRPr="009D1B9D" w:rsidRDefault="007004AC" w:rsidP="007004AC">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La segunda regla, trata de aquellos casos en que la Entidad Estatal declare la caducidad del contrato y se encuentre pendiente de ejecución un porcentaje igual o superior al cincuenta por ciento (50%) del mismo, la norma indica que la Entidad Estatal podrá contratar al proponente calificado en el segundo lugar en el proceso de selección respectivo, previa revisión de las condiciones a que haya lugar, con excepción de los contratos de concesión.</w:t>
      </w:r>
    </w:p>
    <w:p w14:paraId="234FB315" w14:textId="77777777" w:rsidR="007004AC" w:rsidRPr="009D1B9D" w:rsidRDefault="007004AC" w:rsidP="007004AC">
      <w:pPr>
        <w:spacing w:after="0" w:line="240" w:lineRule="auto"/>
        <w:jc w:val="both"/>
        <w:rPr>
          <w:rFonts w:ascii="Verdana" w:eastAsia="Verdana" w:hAnsi="Verdana" w:cs="Verdana"/>
          <w:sz w:val="20"/>
          <w:szCs w:val="20"/>
        </w:rPr>
      </w:pPr>
    </w:p>
    <w:p w14:paraId="4395FCA7" w14:textId="77777777" w:rsidR="007004AC" w:rsidRPr="009D1B9D" w:rsidRDefault="007004AC" w:rsidP="007004AC">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 xml:space="preserve">En relación </w:t>
      </w:r>
      <w:r w:rsidRPr="009D1B9D">
        <w:rPr>
          <w:rFonts w:ascii="Verdana" w:eastAsia="Verdana" w:hAnsi="Verdana" w:cs="Verdana"/>
          <w:i/>
          <w:iCs/>
          <w:sz w:val="20"/>
          <w:szCs w:val="20"/>
        </w:rPr>
        <w:t>al contratista</w:t>
      </w:r>
      <w:r w:rsidRPr="009D1B9D">
        <w:rPr>
          <w:rFonts w:ascii="Verdana" w:eastAsia="Verdana" w:hAnsi="Verdana" w:cs="Verdana"/>
          <w:sz w:val="20"/>
          <w:szCs w:val="20"/>
        </w:rPr>
        <w:t xml:space="preserve">, el inciso primero del artículo 9 de la Ley 80 de 1993 dispone que “Si llegare a sobrevenir inhabilidad o incompatibilidad en el contratista, este cederá el contrato previa autorización escrita de la entidad contratante o, si ello no fuere posible, renunciará a su ejecución”. El inciso tercero </w:t>
      </w:r>
      <w:r w:rsidRPr="009D1B9D">
        <w:rPr>
          <w:rFonts w:ascii="Verdana" w:eastAsia="Verdana" w:hAnsi="Verdana" w:cs="Verdana"/>
          <w:i/>
          <w:iCs/>
          <w:sz w:val="20"/>
          <w:szCs w:val="20"/>
        </w:rPr>
        <w:t>ibidem</w:t>
      </w:r>
      <w:r w:rsidRPr="009D1B9D">
        <w:rPr>
          <w:rFonts w:ascii="Verdana" w:eastAsia="Verdana" w:hAnsi="Verdana" w:cs="Verdana"/>
          <w:sz w:val="20"/>
          <w:szCs w:val="20"/>
        </w:rPr>
        <w:t xml:space="preserve"> agrega lo siguiente: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6C0A6C34" w14:textId="77777777" w:rsidR="007004AC" w:rsidRPr="009D1B9D" w:rsidRDefault="007004AC" w:rsidP="007004AC">
      <w:pPr>
        <w:spacing w:after="0" w:line="240" w:lineRule="auto"/>
        <w:jc w:val="both"/>
        <w:rPr>
          <w:rFonts w:ascii="Verdana" w:eastAsia="Verdana" w:hAnsi="Verdana" w:cs="Verdana"/>
          <w:sz w:val="20"/>
          <w:szCs w:val="20"/>
        </w:rPr>
      </w:pPr>
    </w:p>
    <w:p w14:paraId="66E6096A" w14:textId="77777777" w:rsidR="007004AC" w:rsidRPr="009D1B9D" w:rsidRDefault="007004AC" w:rsidP="007004AC">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 xml:space="preserve">Ahora bien, el régimen descrito corresponde a la regla general aplicable a las inhabilidades e incompatibilidades sobrevinientes. El legislador estableció, sin embargo, un tratamiento especial para la inhabilidad prevista en el literal j) del numeral 1 del </w:t>
      </w:r>
      <w:r w:rsidRPr="009D1B9D">
        <w:rPr>
          <w:rFonts w:ascii="Verdana" w:eastAsia="Verdana" w:hAnsi="Verdana" w:cs="Verdana"/>
          <w:sz w:val="20"/>
          <w:szCs w:val="20"/>
        </w:rPr>
        <w:lastRenderedPageBreak/>
        <w:t xml:space="preserve">artículo 8 de la Ley 80 de 1993, mediante el parágrafo 1º del artículo 9 </w:t>
      </w:r>
      <w:r w:rsidRPr="009D1B9D">
        <w:rPr>
          <w:rFonts w:ascii="Verdana" w:eastAsia="Verdana" w:hAnsi="Verdana" w:cs="Verdana"/>
          <w:i/>
          <w:iCs/>
          <w:sz w:val="20"/>
          <w:szCs w:val="20"/>
        </w:rPr>
        <w:t>Ibídem</w:t>
      </w:r>
      <w:r w:rsidRPr="009D1B9D">
        <w:rPr>
          <w:rFonts w:ascii="Verdana" w:eastAsia="Verdana" w:hAnsi="Verdana" w:cs="Verdana"/>
          <w:sz w:val="20"/>
          <w:szCs w:val="20"/>
        </w:rPr>
        <w:t>, adicionado por el artículo 6 de la Ley 2014 de 2019, en el marco del fortalecimiento de las medidas de lucha contra la corrupción en la contratación estatal. En dicho supuesto, el ordenamiento excluyó la aplicación de los mecanismos ordinarios de conservación del vínculo contractual, previendo consecuencias más severas frente al contratista o al integrante del esquema asociativo incurso en la causal. Como la consulta delimitó expresamente su objeto a las inhabilidades sobrevinientes distintas de la contemplada en el referido literal j), las consideraciones del presente concepto se circunscriben al régimen general, sin que resulten extensibles a los eventos comprendidos en el régimen especial mencionado. Esta delimitación es, además, consistente con el carácter taxativo y de interpretación restrictiva del régimen de inhabilidades, pues impide trasladar a la regla general las consecuencias agravadas que el legislador reservó para un supuesto específico.</w:t>
      </w:r>
    </w:p>
    <w:p w14:paraId="78668440" w14:textId="76471DDA" w:rsidR="00DA507B" w:rsidRDefault="00DA507B" w:rsidP="007004AC">
      <w:pPr>
        <w:spacing w:before="240"/>
        <w:jc w:val="both"/>
        <w:rPr>
          <w:rFonts w:ascii="Verdana" w:hAnsi="Verdana"/>
          <w:b/>
          <w:bCs/>
        </w:rPr>
      </w:pPr>
      <w:r w:rsidRPr="00CE01BA">
        <w:rPr>
          <w:rFonts w:ascii="Verdana" w:hAnsi="Verdana"/>
          <w:b/>
          <w:bCs/>
        </w:rPr>
        <w:t>INHABILIDAD SOBREVINIENTE – Consorcio – Unión temporal – Integrante – Deber de información – Debido proceso</w:t>
      </w:r>
    </w:p>
    <w:p w14:paraId="6996B0B2" w14:textId="77777777" w:rsidR="00095BAF" w:rsidRPr="009D1B9D" w:rsidRDefault="00095BAF" w:rsidP="00095BAF">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No obstante, es importante precisar que la configuración de una inhabilidad o incompatibilidad sobreviniente no produce automáticamente los efectos previstos en el ordenamiento jurídico, sino que exige el respeto del derecho fundamental al debido proceso. Sobre el particular, la Sala de Consulta y Servicio Civil del Consejo de Estado precisó que, por tratarse de una restricción a la capacidad para contratar con el Estado, "es necesario garantizar y acatar el principio del debido proceso (art. 29 C.P.) y, en particular, los derechos de defensa y contradicción del eventual afectado, para que la entidad estatal declare la existencia de la causal correspondiente y se pueda aplicar la inhabilidad". De esta manera, la autoridad contratante no puede partir de la simple existencia de un hecho que, en principio, configure una inhabilidad o incompatibilidad, sino que debe verificar su ocurrencia mediante una actuación administrativa que permita al contratista ejercer plenamente sus derechos de defensa y contradicción.</w:t>
      </w:r>
    </w:p>
    <w:p w14:paraId="55057B4C" w14:textId="77777777" w:rsidR="00095BAF" w:rsidRPr="009D1B9D" w:rsidRDefault="00095BAF" w:rsidP="00095BAF">
      <w:pPr>
        <w:spacing w:after="0" w:line="240" w:lineRule="auto"/>
        <w:jc w:val="both"/>
        <w:rPr>
          <w:rFonts w:ascii="Verdana" w:eastAsia="Verdana" w:hAnsi="Verdana" w:cs="Verdana"/>
          <w:sz w:val="20"/>
          <w:szCs w:val="20"/>
        </w:rPr>
      </w:pPr>
    </w:p>
    <w:p w14:paraId="4E57FC42" w14:textId="77777777" w:rsidR="00095BAF" w:rsidRPr="009D1B9D" w:rsidRDefault="00095BAF" w:rsidP="00095BAF">
      <w:pPr>
        <w:spacing w:after="0" w:line="240" w:lineRule="auto"/>
        <w:jc w:val="both"/>
        <w:rPr>
          <w:rFonts w:ascii="Verdana" w:eastAsia="Verdana" w:hAnsi="Verdana" w:cs="Verdana"/>
          <w:sz w:val="20"/>
          <w:szCs w:val="20"/>
        </w:rPr>
      </w:pPr>
      <w:r w:rsidRPr="009D1B9D">
        <w:rPr>
          <w:rFonts w:ascii="Verdana" w:eastAsia="Verdana" w:hAnsi="Verdana" w:cs="Verdana"/>
          <w:sz w:val="20"/>
          <w:szCs w:val="20"/>
        </w:rPr>
        <w:t>En el mismo sentido, el Consejo de Estado explicó que la decisión mediante la cual se determina la existencia de la causal constituye una manifestación del ejercicio de la función administrativa y, por ello, debe adoptarse mediante un acto debidamente motivado, precedido de una actuación en la que el afectado tenga la oportunidad de pronunciarse, aportar pruebas y controvertir los hechos que sirven de fundamento a la decisión. Por tanto, una vez la entidad tenga conocimiento de la posible configuración de una inhabilidad o incompatibilidad sobreviniente, deberá adelantar la actuación administrativa correspondiente para establecer la efectiva configuración de la causal y garantizar el ejercicio de los derechos de defensa y contradicción del contratista. Solo una vez concluida dicha actuación y determinada la existencia de la inhabilidad, procederá requerir al integrante afectado para que cumpla el deber previsto en el artículo 9 de la Ley 80 de 1993, consistente en ceder su participación a un tercero, previa autorización escrita de la entidad contratante.</w:t>
      </w:r>
    </w:p>
    <w:p w14:paraId="7B4C08A7" w14:textId="77777777" w:rsidR="00095BAF" w:rsidRDefault="00DA507B" w:rsidP="00095BAF">
      <w:pPr>
        <w:spacing w:before="240"/>
        <w:jc w:val="both"/>
        <w:rPr>
          <w:rFonts w:ascii="Verdana" w:hAnsi="Verdana"/>
          <w:b/>
          <w:bCs/>
        </w:rPr>
      </w:pPr>
      <w:r w:rsidRPr="00CE01BA">
        <w:rPr>
          <w:rFonts w:ascii="Verdana" w:hAnsi="Verdana"/>
          <w:b/>
          <w:bCs/>
        </w:rPr>
        <w:t>CESIÓN – Participación – Tercero – Autorización previa – Requisitos del cesionario – Imposibilidad material</w:t>
      </w:r>
    </w:p>
    <w:p w14:paraId="42615C41" w14:textId="77777777" w:rsidR="006416B7" w:rsidRDefault="006416B7" w:rsidP="006416B7">
      <w:pPr>
        <w:spacing w:after="0" w:line="240" w:lineRule="auto"/>
        <w:jc w:val="both"/>
        <w:rPr>
          <w:rFonts w:ascii="Verdana" w:eastAsia="Verdana" w:hAnsi="Verdana" w:cs="Verdana"/>
          <w:sz w:val="20"/>
          <w:szCs w:val="20"/>
        </w:rPr>
      </w:pPr>
      <w:r w:rsidRPr="00477480">
        <w:rPr>
          <w:rFonts w:ascii="Verdana" w:eastAsia="Verdana" w:hAnsi="Verdana" w:cs="Verdana"/>
          <w:sz w:val="20"/>
          <w:szCs w:val="20"/>
        </w:rPr>
        <w:lastRenderedPageBreak/>
        <w:t xml:space="preserve">En este escenario, en el que la inhabilidad o incompatibilidad sobreviene en uno de los miembros de un consorcio o unión temporal, este deberá ceder su participación a un tercero previa autorización escrita de la entidad contratante, lo cual implica que la continuidad del contrato solo puede asegurarse mediante una cesión externa, autorizada de manera previa, expresa y formal por la entidad, conforme a las exigencias del inciso tercero del artículo 41 de la Ley 80 de 1993. Así mismo, la expresión según la cual “en ningún caso podrá haber cesión del contrato entre quienes integran el consorcio o unión temporal” significa que los miembros de estas figuras asociativas no pueden transferirse entre sí la participación contractual ni redistribuir internamente las obligaciones, porcentajes o derechos derivados del contrato estatal.  </w:t>
      </w:r>
    </w:p>
    <w:p w14:paraId="2C1D016E" w14:textId="77777777" w:rsidR="006416B7" w:rsidRPr="00477480" w:rsidRDefault="006416B7" w:rsidP="006416B7">
      <w:pPr>
        <w:spacing w:after="0" w:line="240" w:lineRule="auto"/>
        <w:jc w:val="both"/>
        <w:rPr>
          <w:rFonts w:ascii="Verdana" w:eastAsia="Verdana" w:hAnsi="Verdana" w:cs="Verdana"/>
          <w:sz w:val="20"/>
          <w:szCs w:val="20"/>
        </w:rPr>
      </w:pPr>
      <w:r w:rsidRPr="00477480">
        <w:rPr>
          <w:rFonts w:ascii="Verdana" w:eastAsia="Verdana" w:hAnsi="Verdana" w:cs="Verdana"/>
          <w:sz w:val="20"/>
          <w:szCs w:val="20"/>
        </w:rPr>
        <w:t xml:space="preserve">    </w:t>
      </w:r>
    </w:p>
    <w:p w14:paraId="6FCCAE4D" w14:textId="77777777" w:rsidR="006416B7" w:rsidRDefault="006416B7" w:rsidP="006416B7">
      <w:pPr>
        <w:spacing w:after="0" w:line="240" w:lineRule="auto"/>
        <w:jc w:val="both"/>
        <w:rPr>
          <w:rFonts w:ascii="Verdana" w:eastAsia="Verdana" w:hAnsi="Verdana" w:cs="Verdana"/>
          <w:sz w:val="20"/>
          <w:szCs w:val="20"/>
        </w:rPr>
      </w:pPr>
      <w:r w:rsidRPr="00477480">
        <w:rPr>
          <w:rFonts w:ascii="Verdana" w:eastAsia="Verdana" w:hAnsi="Verdana" w:cs="Verdana"/>
          <w:sz w:val="20"/>
          <w:szCs w:val="20"/>
        </w:rPr>
        <w:t>En efecto, la jurisprudencia constitucional ha precisado el alcance del artículo 9 de la Ley 80 de 1993 y el régimen aplicable a las inhabilidades e incompatibilidades sobrevinientes. En la Sentencia C-221 de 1996, la Corte Constitucional explicó que, dado que estas circunstancias no siempre se presentan antes de la celebración del contrato, el legislador debía establecer reglas claras para los eventos en que surgieran en la etapa de ejecución contractual. Bajo ese entendimiento, declaró ajustada a la Constitución la obligación del contratista afectado por una inhabilidad sobreviniente de ceder el contrato, previa autorización de la entidad estatal, o renunciar a su ejecución cuando ello no fuere posible, así como la obligación especial para el integrante de un consorcio o unión temporal de ceder su participación a un tercero cuando la causal recaiga exclusivamente sobre uno de sus miembros - evento en el cual no es posible la renuncia-. La Corte resaltó que estas medidas no tienen naturaleza sancionatoria, ni dependen de la culpabilidad o de la voluntad del contratista, sino que constituyen reglas objetivas encaminadas a impedir que quien se encuentra incurso en una causal de inhabilidad o incompatibilidad continúe vinculado con el Estado, preservando la moralidad, la transparencia y la integridad de la contratación pública</w:t>
      </w:r>
      <w:r>
        <w:rPr>
          <w:rFonts w:ascii="Verdana" w:eastAsia="Verdana" w:hAnsi="Verdana" w:cs="Verdana"/>
          <w:sz w:val="20"/>
          <w:szCs w:val="20"/>
        </w:rPr>
        <w:t>.</w:t>
      </w:r>
    </w:p>
    <w:p w14:paraId="590F7DFE" w14:textId="77777777" w:rsidR="006416B7" w:rsidRDefault="006416B7" w:rsidP="00095BAF">
      <w:pPr>
        <w:spacing w:before="240"/>
        <w:jc w:val="both"/>
        <w:rPr>
          <w:rFonts w:ascii="Verdana" w:hAnsi="Verdana"/>
          <w:b/>
          <w:bCs/>
        </w:rPr>
      </w:pPr>
    </w:p>
    <w:p w14:paraId="3C21643D" w14:textId="652FF161" w:rsidR="00DA507B" w:rsidRDefault="00DA507B" w:rsidP="00095BAF">
      <w:pPr>
        <w:spacing w:before="240"/>
        <w:jc w:val="both"/>
        <w:rPr>
          <w:rFonts w:ascii="Verdana" w:eastAsia="Verdana" w:hAnsi="Verdana" w:cs="Verdana"/>
        </w:rPr>
      </w:pPr>
      <w:r>
        <w:rPr>
          <w:rFonts w:ascii="Verdana" w:eastAsia="Verdana" w:hAnsi="Verdana" w:cs="Verdana"/>
        </w:rPr>
        <w:br w:type="page"/>
      </w:r>
    </w:p>
    <w:p w14:paraId="755144D3" w14:textId="2A724B3F" w:rsidR="00F242CC" w:rsidRPr="00D07146" w:rsidRDefault="00CD1834" w:rsidP="00584DA6">
      <w:pPr>
        <w:spacing w:after="0" w:line="240" w:lineRule="auto"/>
        <w:rPr>
          <w:rFonts w:ascii="Verdana" w:eastAsia="Verdana" w:hAnsi="Verdana" w:cs="Verdana"/>
        </w:rPr>
      </w:pPr>
      <w:r w:rsidRPr="00CD1834">
        <w:rPr>
          <w:rFonts w:ascii="Verdana" w:hAnsi="Verdana"/>
          <w:noProof/>
          <w:lang w:eastAsia="es-ES"/>
        </w:rPr>
        <w:lastRenderedPageBreak/>
        <w:drawing>
          <wp:anchor distT="0" distB="0" distL="114300" distR="114300" simplePos="0" relativeHeight="251658240" behindDoc="1" locked="0" layoutInCell="1" allowOverlap="1" wp14:anchorId="679BD159" wp14:editId="213510D8">
            <wp:simplePos x="0" y="0"/>
            <wp:positionH relativeFrom="margin">
              <wp:align>right</wp:align>
            </wp:positionH>
            <wp:positionV relativeFrom="paragraph">
              <wp:posOffset>8854</wp:posOffset>
            </wp:positionV>
            <wp:extent cx="2878348" cy="764561"/>
            <wp:effectExtent l="0" t="0" r="0" b="0"/>
            <wp:wrapNone/>
            <wp:docPr id="536902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02802" name=""/>
                    <pic:cNvPicPr/>
                  </pic:nvPicPr>
                  <pic:blipFill>
                    <a:blip r:embed="rId10">
                      <a:extLst>
                        <a:ext uri="{28A0092B-C50C-407E-A947-70E740481C1C}">
                          <a14:useLocalDpi xmlns:a14="http://schemas.microsoft.com/office/drawing/2010/main" val="0"/>
                        </a:ext>
                      </a:extLst>
                    </a:blip>
                    <a:stretch>
                      <a:fillRect/>
                    </a:stretch>
                  </pic:blipFill>
                  <pic:spPr>
                    <a:xfrm>
                      <a:off x="0" y="0"/>
                      <a:ext cx="2878348" cy="764561"/>
                    </a:xfrm>
                    <a:prstGeom prst="rect">
                      <a:avLst/>
                    </a:prstGeom>
                  </pic:spPr>
                </pic:pic>
              </a:graphicData>
            </a:graphic>
            <wp14:sizeRelH relativeFrom="margin">
              <wp14:pctWidth>0</wp14:pctWidth>
            </wp14:sizeRelH>
            <wp14:sizeRelV relativeFrom="margin">
              <wp14:pctHeight>0</wp14:pctHeight>
            </wp14:sizeRelV>
          </wp:anchor>
        </w:drawing>
      </w:r>
      <w:r w:rsidR="00C15139" w:rsidRPr="00D07146">
        <w:rPr>
          <w:rFonts w:ascii="Verdana" w:eastAsia="Verdana" w:hAnsi="Verdana" w:cs="Verdana"/>
        </w:rPr>
        <w:t>Bogotá D.C.,</w:t>
      </w:r>
      <w:r>
        <w:rPr>
          <w:rFonts w:ascii="Verdana" w:eastAsia="Verdana" w:hAnsi="Verdana" w:cs="Verdana"/>
        </w:rPr>
        <w:t xml:space="preserve"> </w:t>
      </w:r>
      <w:r w:rsidR="00DB2890">
        <w:rPr>
          <w:rFonts w:ascii="Verdana" w:eastAsia="Verdana" w:hAnsi="Verdana" w:cs="Verdana"/>
        </w:rPr>
        <w:t>11 Agosto 2026</w:t>
      </w:r>
      <w:r w:rsidR="00C15139" w:rsidRPr="00584DA6">
        <w:rPr>
          <w:rFonts w:ascii="Verdana" w:hAnsi="Verdana"/>
        </w:rPr>
        <w:tab/>
      </w:r>
      <w:r w:rsidR="00F242CC" w:rsidRPr="00584DA6">
        <w:rPr>
          <w:rFonts w:ascii="Verdana" w:hAnsi="Verdana"/>
        </w:rPr>
        <w:tab/>
      </w:r>
      <w:r w:rsidR="00F242CC" w:rsidRPr="00584DA6">
        <w:rPr>
          <w:rFonts w:ascii="Verdana" w:hAnsi="Verdana"/>
        </w:rPr>
        <w:br/>
      </w:r>
      <w:r w:rsidR="00F242CC" w:rsidRPr="00584DA6">
        <w:rPr>
          <w:rFonts w:ascii="Verdana" w:hAnsi="Verdana"/>
        </w:rPr>
        <w:tab/>
      </w:r>
    </w:p>
    <w:p w14:paraId="49CA4046" w14:textId="22911D9A" w:rsidR="00F242CC" w:rsidRPr="00D07146" w:rsidRDefault="00F242CC" w:rsidP="00D07146">
      <w:pPr>
        <w:pStyle w:val="NoSpacing"/>
        <w:jc w:val="both"/>
        <w:rPr>
          <w:rFonts w:ascii="Verdana" w:hAnsi="Verdana"/>
          <w:lang w:eastAsia="es-ES"/>
        </w:rPr>
      </w:pPr>
      <w:bookmarkStart w:id="1" w:name="_Hlk186494164"/>
      <w:r w:rsidRPr="00D07146">
        <w:rPr>
          <w:rFonts w:ascii="Verdana" w:hAnsi="Verdana"/>
          <w:lang w:eastAsia="es-ES"/>
        </w:rPr>
        <w:t>Señores</w:t>
      </w:r>
    </w:p>
    <w:p w14:paraId="2BD2388E" w14:textId="5DAEF65E" w:rsidR="00F15CD1" w:rsidRDefault="00573FDA" w:rsidP="006B5BC9">
      <w:pPr>
        <w:pStyle w:val="NoSpacing"/>
        <w:jc w:val="both"/>
        <w:rPr>
          <w:rFonts w:ascii="Verdana" w:hAnsi="Verdana" w:cs="Times New Roman"/>
          <w:b/>
          <w:bCs/>
        </w:rPr>
      </w:pPr>
      <w:r>
        <w:rPr>
          <w:rFonts w:ascii="Verdana" w:hAnsi="Verdana" w:cs="Times New Roman"/>
          <w:b/>
          <w:bCs/>
        </w:rPr>
        <w:t>XXX</w:t>
      </w:r>
    </w:p>
    <w:p w14:paraId="6A64C10D" w14:textId="77777777" w:rsidR="00F15CD1" w:rsidRPr="00D07146" w:rsidRDefault="00F15CD1" w:rsidP="006B5BC9">
      <w:pPr>
        <w:pStyle w:val="NoSpacing"/>
        <w:jc w:val="both"/>
        <w:rPr>
          <w:rFonts w:ascii="Verdana" w:hAnsi="Verdana" w:cs="Times New Roman"/>
        </w:rPr>
      </w:pPr>
    </w:p>
    <w:p w14:paraId="2E397CED" w14:textId="77777777" w:rsidR="00F242CC" w:rsidRPr="00D07146" w:rsidRDefault="00F242CC">
      <w:pPr>
        <w:pStyle w:val="NoSpacing"/>
        <w:jc w:val="both"/>
        <w:rPr>
          <w:rFonts w:ascii="Verdana" w:hAnsi="Verdana" w:cs="Times New Roman"/>
          <w:b/>
          <w:bCs/>
        </w:rPr>
      </w:pPr>
    </w:p>
    <w:p w14:paraId="6E7A581A" w14:textId="0CA8C6E3" w:rsidR="00F242CC" w:rsidRDefault="00F242CC">
      <w:pPr>
        <w:spacing w:after="0" w:line="240" w:lineRule="auto"/>
        <w:jc w:val="both"/>
        <w:rPr>
          <w:rFonts w:ascii="Verdana" w:eastAsia="Calibri" w:hAnsi="Verdana" w:cs="Arial"/>
          <w:b/>
          <w:bCs/>
          <w:lang w:eastAsia="es-ES"/>
        </w:rPr>
      </w:pPr>
      <w:r w:rsidRPr="00D07146">
        <w:rPr>
          <w:rFonts w:ascii="Verdana" w:eastAsia="Calibri" w:hAnsi="Verdana" w:cs="Arial"/>
          <w:b/>
          <w:bCs/>
          <w:lang w:eastAsia="es-ES"/>
        </w:rPr>
        <w:t xml:space="preserve">                                    Concepto C-103</w:t>
      </w:r>
      <w:r w:rsidR="00D51D26" w:rsidRPr="00D07146">
        <w:rPr>
          <w:rFonts w:ascii="Verdana" w:eastAsia="Calibri" w:hAnsi="Verdana" w:cs="Arial"/>
          <w:b/>
          <w:bCs/>
          <w:lang w:eastAsia="es-ES"/>
        </w:rPr>
        <w:t>2</w:t>
      </w:r>
      <w:r w:rsidRPr="00D07146">
        <w:rPr>
          <w:rFonts w:ascii="Verdana" w:eastAsia="Calibri" w:hAnsi="Verdana" w:cs="Arial"/>
          <w:b/>
          <w:bCs/>
          <w:lang w:eastAsia="es-ES"/>
        </w:rPr>
        <w:t xml:space="preserve"> de 2026</w:t>
      </w:r>
    </w:p>
    <w:p w14:paraId="2B251BB7" w14:textId="77777777" w:rsidR="0005330A" w:rsidRPr="00D07146" w:rsidRDefault="0005330A" w:rsidP="00584DA6">
      <w:pPr>
        <w:spacing w:after="0" w:line="240" w:lineRule="auto"/>
        <w:jc w:val="both"/>
        <w:rPr>
          <w:rFonts w:ascii="Verdana" w:eastAsia="Calibri" w:hAnsi="Verdana" w:cs="Arial"/>
          <w:b/>
          <w:bCs/>
          <w:lang w:eastAsia="es-ES"/>
        </w:rPr>
      </w:pPr>
    </w:p>
    <w:tbl>
      <w:tblPr>
        <w:tblStyle w:val="TableGrid"/>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42CC" w:rsidRPr="00D07146" w14:paraId="1F5C21D1" w14:textId="77777777" w:rsidTr="00B6747F">
        <w:trPr>
          <w:trHeight w:val="884"/>
        </w:trPr>
        <w:tc>
          <w:tcPr>
            <w:tcW w:w="2689" w:type="dxa"/>
          </w:tcPr>
          <w:p w14:paraId="6692CCA3" w14:textId="77777777" w:rsidR="00F242CC" w:rsidRPr="00232E2D" w:rsidRDefault="00F242CC" w:rsidP="00584DA6">
            <w:pPr>
              <w:jc w:val="both"/>
              <w:rPr>
                <w:rFonts w:ascii="Verdana" w:eastAsia="Calibri" w:hAnsi="Verdana" w:cs="Arial"/>
                <w:color w:val="000000"/>
                <w:lang w:eastAsia="es-ES_tradnl"/>
              </w:rPr>
            </w:pPr>
            <w:r w:rsidRPr="006B5BC9">
              <w:rPr>
                <w:rFonts w:ascii="Verdana" w:eastAsia="Calibri" w:hAnsi="Verdana" w:cs="Arial"/>
                <w:b/>
                <w:color w:val="000000"/>
                <w:lang w:eastAsia="es-ES_tradnl"/>
              </w:rPr>
              <w:t>Temas:</w:t>
            </w:r>
            <w:r w:rsidRPr="00232E2D">
              <w:rPr>
                <w:rFonts w:ascii="Verdana" w:eastAsia="Calibri" w:hAnsi="Verdana" w:cs="Arial"/>
                <w:color w:val="000000"/>
                <w:lang w:eastAsia="es-ES_tradnl"/>
              </w:rPr>
              <w:t xml:space="preserve">                   </w:t>
            </w:r>
          </w:p>
        </w:tc>
        <w:tc>
          <w:tcPr>
            <w:tcW w:w="6100" w:type="dxa"/>
          </w:tcPr>
          <w:p w14:paraId="019218C7" w14:textId="77777777" w:rsidR="00F242CC" w:rsidRDefault="00907C29" w:rsidP="00D07146">
            <w:pPr>
              <w:jc w:val="both"/>
              <w:rPr>
                <w:rFonts w:ascii="Verdana" w:hAnsi="Verdana"/>
              </w:rPr>
            </w:pPr>
            <w:r w:rsidRPr="00D07146">
              <w:rPr>
                <w:rFonts w:ascii="Verdana" w:hAnsi="Verdana"/>
              </w:rPr>
              <w:t xml:space="preserve">INHABILIDADES E INCOMPATIBILIDADES – Definición – Fundamento – Clases / INHABILIDADES E INCOMPATIBILIDADES – Finalidad – Limitación capacidad contractual / INHABILIDADES E INCOMPATIBILIDADES – Taxatividad – Principio de legalidad – Interpretación restrictiva / INHABILIDAD SOBREVINIENTE – Artículo 9 de la Ley 80 de 1993 – Alcance – Régimen general – Régimen especial Ley 2014 de 2019 / INHABILIDAD SOBREVINIENTE – Consorcio – Unión temporal – Integrante – Deber de información – Debido proceso / CESIÓN – Participación – Tercero – Autorización previa – Requisitos del cesionario – Imposibilidad material </w:t>
            </w:r>
          </w:p>
          <w:p w14:paraId="21323D08" w14:textId="2CD8506C" w:rsidR="00D07146" w:rsidRPr="00D07146" w:rsidRDefault="00D07146" w:rsidP="00584DA6">
            <w:pPr>
              <w:jc w:val="both"/>
              <w:rPr>
                <w:rFonts w:ascii="Verdana" w:eastAsia="Calibri" w:hAnsi="Verdana" w:cs="Arial"/>
                <w:lang w:eastAsia="es-ES"/>
              </w:rPr>
            </w:pPr>
          </w:p>
        </w:tc>
      </w:tr>
      <w:tr w:rsidR="00F242CC" w:rsidRPr="00D07146" w14:paraId="50192A65" w14:textId="77777777" w:rsidTr="00B6747F">
        <w:tc>
          <w:tcPr>
            <w:tcW w:w="2689" w:type="dxa"/>
          </w:tcPr>
          <w:p w14:paraId="2C8A1476" w14:textId="77777777" w:rsidR="00F242CC" w:rsidRPr="00D07146" w:rsidRDefault="00F242CC" w:rsidP="00584DA6">
            <w:pPr>
              <w:jc w:val="both"/>
              <w:rPr>
                <w:rFonts w:ascii="Verdana" w:eastAsia="Calibri" w:hAnsi="Verdana" w:cs="Arial"/>
                <w:b/>
                <w:lang w:eastAsia="es-ES_tradnl"/>
              </w:rPr>
            </w:pPr>
            <w:r w:rsidRPr="00D07146">
              <w:rPr>
                <w:rFonts w:ascii="Verdana" w:eastAsia="Calibri" w:hAnsi="Verdana" w:cs="Arial"/>
                <w:b/>
                <w:lang w:eastAsia="es-ES_tradnl"/>
              </w:rPr>
              <w:t>Radicación:</w:t>
            </w:r>
            <w:r w:rsidRPr="00D07146">
              <w:rPr>
                <w:rFonts w:ascii="Verdana" w:eastAsia="Calibri" w:hAnsi="Verdana" w:cs="Arial"/>
                <w:lang w:eastAsia="es-ES_tradnl"/>
              </w:rPr>
              <w:t xml:space="preserve">               </w:t>
            </w:r>
          </w:p>
        </w:tc>
        <w:tc>
          <w:tcPr>
            <w:tcW w:w="6100" w:type="dxa"/>
          </w:tcPr>
          <w:p w14:paraId="483FBBEC" w14:textId="2243B2CA" w:rsidR="00F242CC" w:rsidRPr="00232E2D" w:rsidRDefault="00F242CC" w:rsidP="00584DA6">
            <w:pPr>
              <w:jc w:val="both"/>
              <w:rPr>
                <w:rFonts w:ascii="Verdana" w:eastAsia="Calibri" w:hAnsi="Verdana" w:cs="Arial"/>
                <w:lang w:eastAsia="es-ES_tradnl"/>
              </w:rPr>
            </w:pPr>
            <w:r w:rsidRPr="00D07146">
              <w:rPr>
                <w:rFonts w:ascii="Verdana" w:eastAsia="Calibri" w:hAnsi="Verdana" w:cs="Arial"/>
                <w:lang w:eastAsia="es-ES_tradnl"/>
              </w:rPr>
              <w:t xml:space="preserve">Respuesta a consultas con radicado No. </w:t>
            </w:r>
            <w:r w:rsidR="00D51D26" w:rsidRPr="006B5BC9">
              <w:rPr>
                <w:rFonts w:ascii="Verdana" w:eastAsia="Calibri" w:hAnsi="Verdana" w:cs="Arial"/>
                <w:lang w:eastAsia="es-ES_tradnl"/>
              </w:rPr>
              <w:t>1_2026_06_26_008622</w:t>
            </w:r>
          </w:p>
        </w:tc>
      </w:tr>
    </w:tbl>
    <w:p w14:paraId="707C407A" w14:textId="77777777" w:rsidR="00F242CC" w:rsidRPr="00D07146" w:rsidRDefault="00F242CC" w:rsidP="00232E2D">
      <w:pPr>
        <w:spacing w:after="0" w:line="276" w:lineRule="auto"/>
        <w:jc w:val="both"/>
        <w:rPr>
          <w:rFonts w:ascii="Verdana" w:eastAsia="Calibri" w:hAnsi="Verdana" w:cs="Arial"/>
          <w:color w:val="000000"/>
          <w:lang w:eastAsia="es-ES_tradnl"/>
        </w:rPr>
      </w:pPr>
    </w:p>
    <w:p w14:paraId="69C275B7" w14:textId="34928CF4" w:rsidR="00F242CC" w:rsidRPr="00A77871" w:rsidRDefault="00F242CC" w:rsidP="00584DA6">
      <w:pPr>
        <w:spacing w:after="0" w:line="276" w:lineRule="auto"/>
        <w:jc w:val="both"/>
        <w:rPr>
          <w:rFonts w:ascii="Verdana" w:eastAsia="Calibri" w:hAnsi="Verdana" w:cs="Arial"/>
          <w:color w:val="000000"/>
          <w:lang w:eastAsia="es-ES"/>
        </w:rPr>
      </w:pPr>
      <w:r w:rsidRPr="00A77871">
        <w:rPr>
          <w:rFonts w:ascii="Verdana" w:eastAsia="Calibri" w:hAnsi="Verdana" w:cs="Arial"/>
          <w:lang w:eastAsia="es-ES"/>
        </w:rPr>
        <w:t>Estimad</w:t>
      </w:r>
      <w:r w:rsidR="002D7591">
        <w:rPr>
          <w:rFonts w:ascii="Verdana" w:eastAsia="Calibri" w:hAnsi="Verdana" w:cs="Arial"/>
          <w:lang w:eastAsia="es-ES"/>
        </w:rPr>
        <w:t>a</w:t>
      </w:r>
      <w:r w:rsidRPr="00A77871">
        <w:rPr>
          <w:rFonts w:ascii="Verdana" w:eastAsia="Calibri" w:hAnsi="Verdana" w:cs="Arial"/>
          <w:lang w:eastAsia="es-ES"/>
        </w:rPr>
        <w:t xml:space="preserve"> </w:t>
      </w:r>
      <w:r>
        <w:rPr>
          <w:rFonts w:ascii="Verdana" w:eastAsia="Calibri" w:hAnsi="Verdana" w:cs="Arial"/>
          <w:lang w:eastAsia="es-ES"/>
        </w:rPr>
        <w:t>señor</w:t>
      </w:r>
      <w:r w:rsidR="002D7591">
        <w:rPr>
          <w:rFonts w:ascii="Verdana" w:eastAsia="Calibri" w:hAnsi="Verdana" w:cs="Arial"/>
          <w:lang w:eastAsia="es-ES"/>
        </w:rPr>
        <w:t>a Tovar,</w:t>
      </w:r>
      <w:r w:rsidRPr="00A77871">
        <w:rPr>
          <w:rFonts w:ascii="Verdana" w:eastAsia="Calibri" w:hAnsi="Verdana" w:cs="Arial"/>
          <w:lang w:eastAsia="es-ES"/>
        </w:rPr>
        <w:t xml:space="preserve"> cordial saludo</w:t>
      </w:r>
      <w:r>
        <w:rPr>
          <w:rFonts w:ascii="Verdana" w:eastAsia="Calibri" w:hAnsi="Verdana" w:cs="Arial"/>
          <w:lang w:eastAsia="es-ES"/>
        </w:rPr>
        <w:t>:</w:t>
      </w:r>
      <w:r w:rsidRPr="00A77871">
        <w:rPr>
          <w:rFonts w:ascii="Verdana" w:eastAsia="Calibri" w:hAnsi="Verdana" w:cs="Arial"/>
          <w:color w:val="000000"/>
          <w:lang w:eastAsia="es-ES"/>
        </w:rPr>
        <w:tab/>
      </w:r>
    </w:p>
    <w:p w14:paraId="642ACECF" w14:textId="03165BA1" w:rsidR="00F242CC" w:rsidRDefault="00F242CC" w:rsidP="00232E2D">
      <w:pPr>
        <w:spacing w:after="0"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2D7591">
        <w:rPr>
          <w:rFonts w:ascii="Verdana" w:eastAsia="Calibri" w:hAnsi="Verdana" w:cs="Arial"/>
          <w:color w:val="000000"/>
          <w:lang w:eastAsia="es-ES"/>
        </w:rPr>
        <w:t>26</w:t>
      </w:r>
      <w:r w:rsidRPr="00A77871">
        <w:rPr>
          <w:rFonts w:ascii="Verdana" w:eastAsia="Calibri" w:hAnsi="Verdana" w:cs="Arial"/>
          <w:color w:val="000000"/>
          <w:lang w:eastAsia="es-ES"/>
        </w:rPr>
        <w:t xml:space="preserve"> de </w:t>
      </w:r>
      <w:r>
        <w:rPr>
          <w:rFonts w:ascii="Verdana" w:eastAsia="Calibri" w:hAnsi="Verdana" w:cs="Arial"/>
          <w:color w:val="000000"/>
          <w:lang w:eastAsia="es-ES"/>
        </w:rPr>
        <w:t>junio</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p w14:paraId="0BC5DAF3" w14:textId="77777777" w:rsidR="00D07146" w:rsidRDefault="00D07146" w:rsidP="00584DA6">
      <w:pPr>
        <w:spacing w:after="0" w:line="276" w:lineRule="auto"/>
        <w:jc w:val="both"/>
        <w:rPr>
          <w:rFonts w:ascii="Verdana" w:eastAsia="Calibri" w:hAnsi="Verdana" w:cs="Arial"/>
          <w:i/>
          <w:iCs/>
          <w:lang w:eastAsia="es-ES"/>
        </w:rPr>
      </w:pPr>
    </w:p>
    <w:p w14:paraId="60BD2F9B" w14:textId="77777777" w:rsidR="009C70C5" w:rsidRDefault="00F242CC" w:rsidP="009C70C5">
      <w:pPr>
        <w:spacing w:after="0" w:line="240" w:lineRule="auto"/>
        <w:ind w:left="709" w:right="709"/>
        <w:jc w:val="both"/>
        <w:rPr>
          <w:rFonts w:ascii="Verdana" w:hAnsi="Verdana" w:cs="Arial"/>
          <w:i/>
          <w:iCs/>
          <w:sz w:val="20"/>
          <w:szCs w:val="20"/>
          <w:shd w:val="clear" w:color="auto" w:fill="FFFFFF"/>
          <w:lang w:val="es-ES"/>
        </w:rPr>
      </w:pPr>
      <w:r w:rsidRPr="00ED70E4">
        <w:rPr>
          <w:rFonts w:ascii="Verdana" w:hAnsi="Verdana" w:cs="Arial"/>
          <w:i/>
          <w:iCs/>
          <w:sz w:val="20"/>
          <w:szCs w:val="20"/>
          <w:shd w:val="clear" w:color="auto" w:fill="FFFFFF"/>
          <w:lang w:val="es-ES"/>
        </w:rPr>
        <w:t>“(…)</w:t>
      </w:r>
      <w:bookmarkEnd w:id="2"/>
    </w:p>
    <w:p w14:paraId="05B5B3B6" w14:textId="77777777" w:rsidR="009C70C5" w:rsidRDefault="009C70C5" w:rsidP="009C70C5">
      <w:pPr>
        <w:spacing w:after="0" w:line="240" w:lineRule="auto"/>
        <w:ind w:left="709" w:right="709"/>
        <w:jc w:val="both"/>
        <w:rPr>
          <w:rFonts w:ascii="Verdana" w:hAnsi="Verdana" w:cs="Arial"/>
          <w:i/>
          <w:iCs/>
          <w:sz w:val="20"/>
          <w:szCs w:val="20"/>
          <w:shd w:val="clear" w:color="auto" w:fill="FFFFFF"/>
          <w:lang w:val="es-ES"/>
        </w:rPr>
      </w:pPr>
    </w:p>
    <w:p w14:paraId="15406208" w14:textId="54D836A8" w:rsidR="00A27C0B" w:rsidRPr="00E67517" w:rsidRDefault="00A27C0B" w:rsidP="009C70C5">
      <w:pPr>
        <w:spacing w:after="0" w:line="240" w:lineRule="auto"/>
        <w:ind w:left="709" w:right="709"/>
        <w:jc w:val="both"/>
        <w:rPr>
          <w:rFonts w:ascii="Verdana" w:hAnsi="Verdana" w:cs="Arial"/>
          <w:i/>
          <w:iCs/>
          <w:sz w:val="20"/>
          <w:szCs w:val="20"/>
          <w:shd w:val="clear" w:color="auto" w:fill="FFFFFF"/>
        </w:rPr>
      </w:pPr>
      <w:r w:rsidRPr="00E67517">
        <w:rPr>
          <w:rFonts w:ascii="Verdana" w:hAnsi="Verdana" w:cs="Arial"/>
          <w:i/>
          <w:iCs/>
          <w:sz w:val="20"/>
          <w:szCs w:val="20"/>
          <w:shd w:val="clear" w:color="auto" w:fill="FFFFFF"/>
        </w:rPr>
        <w:t>De conformidad con los antecedentes fácticos expuestos, la entidad plantea los siguientes</w:t>
      </w:r>
      <w:r w:rsidR="009C70C5"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interrogantes:</w:t>
      </w:r>
    </w:p>
    <w:p w14:paraId="737ED75E" w14:textId="77777777" w:rsidR="003A66D9" w:rsidRPr="00E67517" w:rsidRDefault="003A66D9" w:rsidP="00A27C0B">
      <w:pPr>
        <w:spacing w:after="0" w:line="240" w:lineRule="auto"/>
        <w:ind w:right="709"/>
        <w:jc w:val="both"/>
        <w:rPr>
          <w:rFonts w:ascii="Verdana" w:hAnsi="Verdana" w:cs="Arial"/>
          <w:i/>
          <w:iCs/>
          <w:sz w:val="20"/>
          <w:szCs w:val="20"/>
          <w:shd w:val="clear" w:color="auto" w:fill="FFFFFF"/>
        </w:rPr>
      </w:pPr>
    </w:p>
    <w:p w14:paraId="1EBE5752" w14:textId="1632F288" w:rsidR="003A66D9" w:rsidRPr="00E67517" w:rsidRDefault="00A27C0B" w:rsidP="009D1714">
      <w:pPr>
        <w:pStyle w:val="ListParagraph"/>
        <w:numPr>
          <w:ilvl w:val="0"/>
          <w:numId w:val="21"/>
        </w:numPr>
        <w:spacing w:after="0" w:line="240" w:lineRule="auto"/>
        <w:ind w:right="709"/>
        <w:jc w:val="both"/>
        <w:rPr>
          <w:rFonts w:ascii="Verdana" w:hAnsi="Verdana" w:cs="Arial"/>
          <w:i/>
          <w:iCs/>
          <w:sz w:val="20"/>
          <w:szCs w:val="20"/>
          <w:shd w:val="clear" w:color="auto" w:fill="FFFFFF"/>
        </w:rPr>
      </w:pPr>
      <w:r w:rsidRPr="00E67517">
        <w:rPr>
          <w:rFonts w:ascii="Verdana" w:hAnsi="Verdana" w:cs="Arial"/>
          <w:i/>
          <w:iCs/>
          <w:sz w:val="20"/>
          <w:szCs w:val="20"/>
          <w:shd w:val="clear" w:color="auto" w:fill="FFFFFF"/>
        </w:rPr>
        <w:t>Teniendo en cuenta que el contratista es un sujeto plural, ¿es jurídicamente procedente que</w:t>
      </w:r>
      <w:r w:rsidR="006432FE"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 xml:space="preserve">la entidad </w:t>
      </w:r>
      <w:r w:rsidR="009C70C5" w:rsidRPr="00E67517">
        <w:rPr>
          <w:rFonts w:ascii="Verdana" w:hAnsi="Verdana" w:cs="Arial"/>
          <w:i/>
          <w:iCs/>
          <w:sz w:val="20"/>
          <w:szCs w:val="20"/>
          <w:shd w:val="clear" w:color="auto" w:fill="FFFFFF"/>
        </w:rPr>
        <w:t>estatal</w:t>
      </w:r>
      <w:r w:rsidRPr="00E67517">
        <w:rPr>
          <w:rFonts w:ascii="Verdana" w:hAnsi="Verdana" w:cs="Arial"/>
          <w:i/>
          <w:iCs/>
          <w:sz w:val="20"/>
          <w:szCs w:val="20"/>
          <w:shd w:val="clear" w:color="auto" w:fill="FFFFFF"/>
        </w:rPr>
        <w:t xml:space="preserve"> autorice la reconformación del consorcio mediante la cesión del 100% de</w:t>
      </w:r>
      <w:r w:rsidR="006432FE"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 xml:space="preserve">la participación de su integrante mayoritario incurso en una inhabilidad </w:t>
      </w:r>
      <w:r w:rsidRPr="00E67517">
        <w:rPr>
          <w:rFonts w:ascii="Verdana" w:hAnsi="Verdana" w:cs="Arial"/>
          <w:i/>
          <w:iCs/>
          <w:sz w:val="20"/>
          <w:szCs w:val="20"/>
          <w:shd w:val="clear" w:color="auto" w:fill="FFFFFF"/>
        </w:rPr>
        <w:lastRenderedPageBreak/>
        <w:t>sobreviniente</w:t>
      </w:r>
      <w:r w:rsidR="006432FE"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 xml:space="preserve">(DUSARD SAS), a favor de un tercero cesionario en el cual dicho integrante </w:t>
      </w:r>
      <w:r w:rsidR="009C70C5" w:rsidRPr="00E67517">
        <w:rPr>
          <w:rFonts w:ascii="Verdana" w:hAnsi="Verdana" w:cs="Arial"/>
          <w:i/>
          <w:iCs/>
          <w:sz w:val="20"/>
          <w:szCs w:val="20"/>
          <w:shd w:val="clear" w:color="auto" w:fill="FFFFFF"/>
        </w:rPr>
        <w:t>inhabilitado</w:t>
      </w:r>
      <w:r w:rsidR="006432FE"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ostenta la calidad de socio y del cual depende, en su totalidad, para acreditar la experiencia</w:t>
      </w:r>
      <w:r w:rsidR="006432FE" w:rsidRPr="00E67517">
        <w:rPr>
          <w:rFonts w:ascii="Verdana" w:hAnsi="Verdana" w:cs="Arial"/>
          <w:i/>
          <w:iCs/>
          <w:sz w:val="20"/>
          <w:szCs w:val="20"/>
          <w:shd w:val="clear" w:color="auto" w:fill="FFFFFF"/>
        </w:rPr>
        <w:t xml:space="preserve"> </w:t>
      </w:r>
      <w:r w:rsidRPr="00E67517">
        <w:rPr>
          <w:rFonts w:ascii="Verdana" w:hAnsi="Verdana" w:cs="Arial"/>
          <w:i/>
          <w:iCs/>
          <w:sz w:val="20"/>
          <w:szCs w:val="20"/>
          <w:shd w:val="clear" w:color="auto" w:fill="FFFFFF"/>
        </w:rPr>
        <w:t>técnica habilitante en el RUP?</w:t>
      </w:r>
    </w:p>
    <w:p w14:paraId="3F2EEECB" w14:textId="77777777" w:rsidR="003A66D9" w:rsidRDefault="003A66D9" w:rsidP="003A66D9">
      <w:pPr>
        <w:pStyle w:val="ListParagraph"/>
        <w:spacing w:after="0" w:line="240" w:lineRule="auto"/>
        <w:ind w:right="709"/>
        <w:jc w:val="both"/>
        <w:rPr>
          <w:rFonts w:ascii="Verdana" w:hAnsi="Verdana" w:cs="Arial"/>
          <w:i/>
          <w:iCs/>
          <w:sz w:val="20"/>
          <w:szCs w:val="20"/>
          <w:shd w:val="clear" w:color="auto" w:fill="FFFFFF"/>
        </w:rPr>
      </w:pPr>
    </w:p>
    <w:p w14:paraId="412554AE" w14:textId="6B0C480B" w:rsidR="003A66D9" w:rsidRDefault="006432FE" w:rsidP="00095BB5">
      <w:pPr>
        <w:pStyle w:val="ListParagraph"/>
        <w:numPr>
          <w:ilvl w:val="0"/>
          <w:numId w:val="21"/>
        </w:numPr>
        <w:spacing w:after="0" w:line="240" w:lineRule="auto"/>
        <w:ind w:right="709"/>
        <w:jc w:val="both"/>
        <w:rPr>
          <w:rFonts w:ascii="Verdana" w:hAnsi="Verdana" w:cs="Arial"/>
          <w:i/>
          <w:iCs/>
          <w:sz w:val="20"/>
          <w:szCs w:val="20"/>
          <w:shd w:val="clear" w:color="auto" w:fill="FFFFFF"/>
        </w:rPr>
      </w:pPr>
      <w:r w:rsidRPr="003A66D9">
        <w:rPr>
          <w:rFonts w:ascii="Verdana" w:hAnsi="Verdana" w:cs="Arial"/>
          <w:i/>
          <w:iCs/>
          <w:sz w:val="20"/>
          <w:szCs w:val="20"/>
          <w:shd w:val="clear" w:color="auto" w:fill="FFFFFF"/>
        </w:rPr>
        <w:t xml:space="preserve">¿Constituye esta triangulación societaria y de transferencia de experiencia un presunto fraude a la ley o un mecanismo de elusión de la sanción disciplinaria, toda vez que encubriría la continuidad operativa, técnica y económica del integrante </w:t>
      </w:r>
      <w:r w:rsidR="009C70C5" w:rsidRPr="003A66D9">
        <w:rPr>
          <w:rFonts w:ascii="Verdana" w:hAnsi="Verdana" w:cs="Arial"/>
          <w:i/>
          <w:iCs/>
          <w:sz w:val="20"/>
          <w:szCs w:val="20"/>
          <w:shd w:val="clear" w:color="auto" w:fill="FFFFFF"/>
        </w:rPr>
        <w:t>inhabilitado</w:t>
      </w:r>
      <w:r w:rsidRPr="003A66D9">
        <w:rPr>
          <w:rFonts w:ascii="Verdana" w:hAnsi="Verdana" w:cs="Arial"/>
          <w:i/>
          <w:iCs/>
          <w:sz w:val="20"/>
          <w:szCs w:val="20"/>
          <w:shd w:val="clear" w:color="auto" w:fill="FFFFFF"/>
        </w:rPr>
        <w:t xml:space="preserve"> en la ejecución del contrato de obra pública?</w:t>
      </w:r>
    </w:p>
    <w:p w14:paraId="502E7AA4" w14:textId="77777777" w:rsidR="003A66D9" w:rsidRPr="003A66D9" w:rsidRDefault="003A66D9" w:rsidP="003A66D9">
      <w:pPr>
        <w:pStyle w:val="ListParagraph"/>
        <w:rPr>
          <w:rFonts w:ascii="Verdana" w:hAnsi="Verdana" w:cs="Arial"/>
          <w:i/>
          <w:iCs/>
          <w:sz w:val="20"/>
          <w:szCs w:val="20"/>
          <w:shd w:val="clear" w:color="auto" w:fill="FFFFFF"/>
        </w:rPr>
      </w:pPr>
    </w:p>
    <w:p w14:paraId="26937D88" w14:textId="363FC529" w:rsidR="009C70C5" w:rsidRDefault="006432FE" w:rsidP="00D07146">
      <w:pPr>
        <w:pStyle w:val="ListParagraph"/>
        <w:numPr>
          <w:ilvl w:val="0"/>
          <w:numId w:val="21"/>
        </w:numPr>
        <w:spacing w:after="0" w:line="240" w:lineRule="auto"/>
        <w:ind w:left="723" w:right="709"/>
        <w:jc w:val="both"/>
        <w:rPr>
          <w:rFonts w:ascii="Verdana" w:hAnsi="Verdana" w:cs="Arial"/>
          <w:i/>
          <w:iCs/>
          <w:sz w:val="20"/>
          <w:szCs w:val="20"/>
          <w:shd w:val="clear" w:color="auto" w:fill="FFFFFF"/>
        </w:rPr>
      </w:pPr>
      <w:r w:rsidRPr="009C70C5">
        <w:rPr>
          <w:rFonts w:ascii="Verdana" w:hAnsi="Verdana" w:cs="Arial"/>
          <w:i/>
          <w:iCs/>
          <w:sz w:val="20"/>
          <w:szCs w:val="20"/>
          <w:shd w:val="clear" w:color="auto" w:fill="FFFFFF"/>
        </w:rPr>
        <w:t>Ante la evidencia de estos vínculos y el hecho de que el cesionario no cumpliría</w:t>
      </w:r>
      <w:r w:rsidR="003A66D9" w:rsidRPr="009C70C5">
        <w:rPr>
          <w:rFonts w:ascii="Verdana" w:hAnsi="Verdana" w:cs="Arial"/>
          <w:i/>
          <w:iCs/>
          <w:sz w:val="20"/>
          <w:szCs w:val="20"/>
          <w:shd w:val="clear" w:color="auto" w:fill="FFFFFF"/>
        </w:rPr>
        <w:t xml:space="preserve"> </w:t>
      </w:r>
      <w:r w:rsidRPr="009C70C5">
        <w:rPr>
          <w:rFonts w:ascii="Verdana" w:hAnsi="Verdana" w:cs="Arial"/>
          <w:i/>
          <w:iCs/>
          <w:sz w:val="20"/>
          <w:szCs w:val="20"/>
          <w:shd w:val="clear" w:color="auto" w:fill="FFFFFF"/>
        </w:rPr>
        <w:t xml:space="preserve">materialmente con los presupuestos de idoneidad y </w:t>
      </w:r>
      <w:r w:rsidR="009C70C5" w:rsidRPr="009C70C5">
        <w:rPr>
          <w:rFonts w:ascii="Verdana" w:hAnsi="Verdana" w:cs="Arial"/>
          <w:i/>
          <w:iCs/>
          <w:sz w:val="20"/>
          <w:szCs w:val="20"/>
          <w:shd w:val="clear" w:color="auto" w:fill="FFFFFF"/>
        </w:rPr>
        <w:t>selección</w:t>
      </w:r>
      <w:r w:rsidRPr="009C70C5">
        <w:rPr>
          <w:rFonts w:ascii="Verdana" w:hAnsi="Verdana" w:cs="Arial"/>
          <w:i/>
          <w:iCs/>
          <w:sz w:val="20"/>
          <w:szCs w:val="20"/>
          <w:shd w:val="clear" w:color="auto" w:fill="FFFFFF"/>
        </w:rPr>
        <w:t xml:space="preserve"> objetiva sin el amparo de la empresa inhabilitada, ¿es deber imperativo de la Administración denegar la autorización de la cesión y, en su defecto, aplicar lo dispuesto en el artículo 9 de la Ley 80 de 1993, procediendo con la cesación de los efectos del contrato y su consecuente </w:t>
      </w:r>
      <w:r w:rsidR="009C70C5" w:rsidRPr="009C70C5">
        <w:rPr>
          <w:rFonts w:ascii="Verdana" w:hAnsi="Verdana" w:cs="Arial"/>
          <w:i/>
          <w:iCs/>
          <w:sz w:val="20"/>
          <w:szCs w:val="20"/>
          <w:shd w:val="clear" w:color="auto" w:fill="FFFFFF"/>
        </w:rPr>
        <w:t>liquidación</w:t>
      </w:r>
      <w:r w:rsidRPr="009C70C5">
        <w:rPr>
          <w:rFonts w:ascii="Verdana" w:hAnsi="Verdana" w:cs="Arial"/>
          <w:i/>
          <w:iCs/>
          <w:sz w:val="20"/>
          <w:szCs w:val="20"/>
          <w:shd w:val="clear" w:color="auto" w:fill="FFFFFF"/>
        </w:rPr>
        <w:t xml:space="preserve">? </w:t>
      </w:r>
    </w:p>
    <w:p w14:paraId="03439231" w14:textId="77777777" w:rsidR="009C70C5" w:rsidRPr="009C70C5" w:rsidRDefault="009C70C5" w:rsidP="009C70C5">
      <w:pPr>
        <w:pStyle w:val="ListParagraph"/>
        <w:rPr>
          <w:rFonts w:ascii="Verdana" w:hAnsi="Verdana" w:cs="Arial"/>
          <w:i/>
          <w:iCs/>
          <w:sz w:val="20"/>
          <w:szCs w:val="20"/>
          <w:shd w:val="clear" w:color="auto" w:fill="FFFFFF"/>
        </w:rPr>
      </w:pPr>
    </w:p>
    <w:p w14:paraId="55D4D7A9" w14:textId="518641B4" w:rsidR="00F242CC" w:rsidRPr="009C70C5" w:rsidRDefault="00F242CC" w:rsidP="009C70C5">
      <w:pPr>
        <w:pStyle w:val="ListParagraph"/>
        <w:spacing w:after="0" w:line="240" w:lineRule="auto"/>
        <w:ind w:right="709"/>
        <w:jc w:val="both"/>
        <w:rPr>
          <w:rFonts w:ascii="Verdana" w:hAnsi="Verdana" w:cs="Arial"/>
          <w:i/>
          <w:iCs/>
          <w:sz w:val="20"/>
          <w:szCs w:val="20"/>
          <w:shd w:val="clear" w:color="auto" w:fill="FFFFFF"/>
        </w:rPr>
      </w:pPr>
      <w:r w:rsidRPr="009C70C5">
        <w:rPr>
          <w:rFonts w:ascii="Verdana" w:hAnsi="Verdana" w:cs="Arial"/>
          <w:i/>
          <w:iCs/>
          <w:sz w:val="20"/>
          <w:szCs w:val="20"/>
          <w:shd w:val="clear" w:color="auto" w:fill="FFFFFF"/>
        </w:rPr>
        <w:t>(…)”</w:t>
      </w:r>
    </w:p>
    <w:p w14:paraId="41AFABE9" w14:textId="77777777" w:rsidR="00D07146" w:rsidRDefault="00D07146" w:rsidP="00584DA6">
      <w:pPr>
        <w:spacing w:after="0" w:line="276" w:lineRule="auto"/>
        <w:jc w:val="both"/>
        <w:rPr>
          <w:rFonts w:ascii="Verdana" w:eastAsia="Calibri" w:hAnsi="Verdana" w:cs="Arial"/>
        </w:rPr>
      </w:pPr>
    </w:p>
    <w:p w14:paraId="616254D2" w14:textId="02884AF1" w:rsidR="00F242CC" w:rsidRPr="00A77871" w:rsidRDefault="00F242CC" w:rsidP="00584DA6">
      <w:pPr>
        <w:spacing w:after="120" w:line="276" w:lineRule="auto"/>
        <w:jc w:val="both"/>
        <w:rPr>
          <w:rFonts w:ascii="Verdana" w:eastAsia="Calibri" w:hAnsi="Verdana" w:cs="Arial"/>
          <w:color w:val="000000"/>
          <w:lang w:eastAsia="es-ES"/>
        </w:rPr>
      </w:pPr>
      <w:r w:rsidRPr="005101AB">
        <w:rPr>
          <w:rFonts w:ascii="Verdana" w:eastAsia="Calibri" w:hAnsi="Verdana" w:cs="Arial"/>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A77871">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145CE1BF" w14:textId="4DFD6552" w:rsidR="00F242CC" w:rsidRDefault="00F242CC" w:rsidP="00D07146">
      <w:pPr>
        <w:spacing w:after="0" w:line="276" w:lineRule="auto"/>
        <w:ind w:firstLine="708"/>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0D24EA10" w14:textId="77777777" w:rsidR="00D07146" w:rsidRPr="00A77871" w:rsidRDefault="00D07146" w:rsidP="00584DA6">
      <w:pPr>
        <w:spacing w:after="0" w:line="276" w:lineRule="auto"/>
        <w:ind w:firstLine="708"/>
        <w:jc w:val="both"/>
        <w:rPr>
          <w:rFonts w:ascii="Verdana" w:eastAsia="Calibri" w:hAnsi="Verdana" w:cs="Arial"/>
          <w:b/>
          <w:bCs/>
          <w:color w:val="000000"/>
          <w:lang w:eastAsia="es-ES"/>
        </w:rPr>
      </w:pPr>
    </w:p>
    <w:p w14:paraId="4A4D0D9D" w14:textId="77777777" w:rsidR="00F242CC" w:rsidRPr="001B415F" w:rsidRDefault="00F242CC" w:rsidP="00584DA6">
      <w:pPr>
        <w:numPr>
          <w:ilvl w:val="0"/>
          <w:numId w:val="16"/>
        </w:numPr>
        <w:tabs>
          <w:tab w:val="left" w:pos="142"/>
          <w:tab w:val="left" w:pos="284"/>
        </w:tabs>
        <w:spacing w:after="0" w:line="276" w:lineRule="auto"/>
        <w:ind w:left="0" w:firstLine="357"/>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5483A903" w14:textId="77777777" w:rsidR="00D07146" w:rsidRDefault="00D07146" w:rsidP="00D07146">
      <w:pPr>
        <w:spacing w:after="0" w:line="276" w:lineRule="auto"/>
        <w:jc w:val="both"/>
        <w:rPr>
          <w:rFonts w:ascii="Verdana" w:eastAsia="Century Gothic" w:hAnsi="Verdana" w:cs="Century Gothic"/>
        </w:rPr>
      </w:pPr>
    </w:p>
    <w:p w14:paraId="4FE71F88" w14:textId="59F7C4BC" w:rsidR="00847A16" w:rsidRDefault="00F242CC" w:rsidP="00D07146">
      <w:pPr>
        <w:spacing w:after="0" w:line="276" w:lineRule="auto"/>
        <w:jc w:val="both"/>
        <w:rPr>
          <w:rFonts w:ascii="Verdana" w:eastAsia="Verdana" w:hAnsi="Verdana" w:cs="Verdana"/>
        </w:rPr>
      </w:pPr>
      <w:r w:rsidRPr="00A77871">
        <w:rPr>
          <w:rFonts w:ascii="Verdana" w:eastAsia="Century Gothic" w:hAnsi="Verdana" w:cs="Century Gothic"/>
        </w:rPr>
        <w:t xml:space="preserve">De acuerdo con el contenido de su solicitud, esta Agencia resolverá </w:t>
      </w:r>
      <w:r w:rsidR="00847A16">
        <w:rPr>
          <w:rFonts w:ascii="Verdana" w:eastAsia="Century Gothic" w:hAnsi="Verdana" w:cs="Century Gothic"/>
        </w:rPr>
        <w:t>los</w:t>
      </w:r>
      <w:r w:rsidRPr="00A77871">
        <w:rPr>
          <w:rFonts w:ascii="Verdana" w:eastAsia="Century Gothic" w:hAnsi="Verdana" w:cs="Century Gothic"/>
        </w:rPr>
        <w:t xml:space="preserve"> siguiente</w:t>
      </w:r>
      <w:r w:rsidR="00847A16">
        <w:rPr>
          <w:rFonts w:ascii="Verdana" w:eastAsia="Century Gothic" w:hAnsi="Verdana" w:cs="Century Gothic"/>
        </w:rPr>
        <w:t>s</w:t>
      </w:r>
      <w:r w:rsidRPr="00A77871">
        <w:rPr>
          <w:rFonts w:ascii="Verdana" w:eastAsia="Century Gothic" w:hAnsi="Verdana" w:cs="Century Gothic"/>
        </w:rPr>
        <w:t xml:space="preserve"> problema</w:t>
      </w:r>
      <w:r w:rsidR="00847A16">
        <w:rPr>
          <w:rFonts w:ascii="Verdana" w:eastAsia="Century Gothic" w:hAnsi="Verdana" w:cs="Century Gothic"/>
        </w:rPr>
        <w:t>s</w:t>
      </w:r>
      <w:r w:rsidRPr="00A77871">
        <w:rPr>
          <w:rFonts w:ascii="Verdana" w:eastAsia="Century Gothic" w:hAnsi="Verdana" w:cs="Century Gothic"/>
        </w:rPr>
        <w:t xml:space="preserve"> jurídico</w:t>
      </w:r>
      <w:r w:rsidR="00847A16">
        <w:rPr>
          <w:rFonts w:ascii="Verdana" w:eastAsia="Century Gothic" w:hAnsi="Verdana" w:cs="Century Gothic"/>
        </w:rPr>
        <w:t>s</w:t>
      </w:r>
      <w:r w:rsidRPr="00C853DB">
        <w:rPr>
          <w:rFonts w:ascii="Verdana" w:eastAsia="Century Gothic" w:hAnsi="Verdana" w:cs="Century Gothic"/>
        </w:rPr>
        <w:t>:</w:t>
      </w:r>
      <w:r w:rsidRPr="008D15EE">
        <w:rPr>
          <w:rFonts w:ascii="Verdana" w:eastAsia="Century Gothic" w:hAnsi="Verdana" w:cs="Century Gothic"/>
        </w:rPr>
        <w:t xml:space="preserve"> </w:t>
      </w:r>
      <w:r w:rsidR="00847A16" w:rsidRPr="000565B4">
        <w:rPr>
          <w:rFonts w:ascii="Verdana" w:eastAsia="Verdana" w:hAnsi="Verdana" w:cs="Verdana"/>
        </w:rPr>
        <w:t xml:space="preserve">i) </w:t>
      </w:r>
      <w:bookmarkStart w:id="3" w:name="_Hlk240739540"/>
      <w:r w:rsidR="00847A16" w:rsidRPr="000565B4">
        <w:rPr>
          <w:rFonts w:ascii="Verdana" w:eastAsia="Verdana" w:hAnsi="Verdana" w:cs="Verdana"/>
        </w:rPr>
        <w:t>¿Cuál es el procedimiento que debe adelantar la entidad contratante cuando a uno de los integrantes de un consorcio o unión temporal le sobreviene una inhabilidad o incompatibilidad durante la ejecución del contrato?; ii) Cuando el integrante respecto del cual sobreviene una inhabilidad o incompatibilidad no presenta un cesionario o la cesión de su participación a un tercero resulta materialmente imposible, ¿cuál es la consecuencia jurídica aplicable?; iii) ¿La renuncia a la ejecución del contrato prevista en el artículo 9 de la Ley 80 de 1993 resulta aplicable al integrante de un consorcio o unión temporal y constituye un requisito previo para que la entidad pueda adoptar la decisión correspondiente frente a la continuidad del contrato?</w:t>
      </w:r>
    </w:p>
    <w:bookmarkEnd w:id="3"/>
    <w:p w14:paraId="114348AD" w14:textId="77777777" w:rsidR="00D07146" w:rsidRPr="000565B4" w:rsidRDefault="00D07146" w:rsidP="00584DA6">
      <w:pPr>
        <w:spacing w:after="0" w:line="276" w:lineRule="auto"/>
        <w:jc w:val="both"/>
        <w:rPr>
          <w:rFonts w:ascii="Verdana" w:eastAsia="Verdana" w:hAnsi="Verdana" w:cs="Verdana"/>
        </w:rPr>
      </w:pPr>
    </w:p>
    <w:p w14:paraId="4BAEC1AC" w14:textId="6EEC558D" w:rsidR="00F242CC" w:rsidRPr="00F946AF" w:rsidRDefault="00F242CC" w:rsidP="00584DA6">
      <w:pPr>
        <w:numPr>
          <w:ilvl w:val="0"/>
          <w:numId w:val="16"/>
        </w:numPr>
        <w:tabs>
          <w:tab w:val="left" w:pos="142"/>
          <w:tab w:val="left" w:pos="284"/>
        </w:tabs>
        <w:spacing w:after="0" w:line="276" w:lineRule="auto"/>
        <w:ind w:left="0" w:firstLine="357"/>
        <w:contextualSpacing/>
        <w:jc w:val="both"/>
        <w:rPr>
          <w:rFonts w:ascii="Verdana" w:eastAsia="Century Gothic" w:hAnsi="Verdana" w:cs="Century Gothic"/>
          <w:b/>
          <w:bCs/>
        </w:rPr>
      </w:pPr>
      <w:r w:rsidRPr="00F946AF">
        <w:rPr>
          <w:rFonts w:ascii="Verdana" w:eastAsia="Century Gothic" w:hAnsi="Verdana" w:cs="Century Gothic"/>
          <w:b/>
          <w:bCs/>
        </w:rPr>
        <w:t xml:space="preserve"> Respuesta:</w:t>
      </w:r>
      <w:r w:rsidR="007A4668">
        <w:rPr>
          <w:rFonts w:ascii="Verdana" w:eastAsia="Century Gothic" w:hAnsi="Verdana" w:cs="Century Gothic"/>
          <w:b/>
          <w:bCs/>
        </w:rPr>
        <w:t xml:space="preserve"> </w:t>
      </w:r>
    </w:p>
    <w:p w14:paraId="0A48CCD6" w14:textId="77777777" w:rsidR="00F242CC" w:rsidRPr="001B63C6" w:rsidRDefault="00F242CC" w:rsidP="00584DA6">
      <w:pPr>
        <w:tabs>
          <w:tab w:val="left" w:pos="142"/>
          <w:tab w:val="left" w:pos="284"/>
        </w:tabs>
        <w:spacing w:after="0" w:line="276" w:lineRule="auto"/>
        <w:ind w:left="357"/>
        <w:contextualSpacing/>
        <w:jc w:val="both"/>
        <w:rPr>
          <w:rFonts w:ascii="Verdana" w:eastAsia="Century Gothic" w:hAnsi="Verdana" w:cs="Century Gothic"/>
          <w:b/>
          <w:bC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42CC" w:rsidRPr="00A77871" w14:paraId="4CAD1511" w14:textId="77777777" w:rsidTr="00B6747F">
        <w:trPr>
          <w:jc w:val="center"/>
        </w:trPr>
        <w:tc>
          <w:tcPr>
            <w:tcW w:w="8828" w:type="dxa"/>
          </w:tcPr>
          <w:p w14:paraId="5CC368BA" w14:textId="7CDD8A35" w:rsidR="00C83701" w:rsidRDefault="00C83701" w:rsidP="00D67477">
            <w:pPr>
              <w:spacing w:line="276" w:lineRule="auto"/>
              <w:jc w:val="both"/>
              <w:rPr>
                <w:rFonts w:ascii="Verdana" w:eastAsia="Verdana" w:hAnsi="Verdana" w:cs="Verdana"/>
              </w:rPr>
            </w:pPr>
            <w:bookmarkStart w:id="4" w:name="_Hlk171694685"/>
            <w:bookmarkStart w:id="5" w:name="_Hlk240739600"/>
            <w:r w:rsidRPr="000565B4">
              <w:rPr>
                <w:rFonts w:ascii="Verdana" w:eastAsia="Verdana" w:hAnsi="Verdana" w:cs="Verdana"/>
              </w:rPr>
              <w:t xml:space="preserve">Conforme a los problemas jurídicos, </w:t>
            </w:r>
            <w:r>
              <w:rPr>
                <w:rFonts w:ascii="Verdana" w:eastAsia="Verdana" w:hAnsi="Verdana" w:cs="Verdana"/>
              </w:rPr>
              <w:t>extraídos de su</w:t>
            </w:r>
            <w:r w:rsidRPr="000565B4">
              <w:rPr>
                <w:rFonts w:ascii="Verdana" w:eastAsia="Verdana" w:hAnsi="Verdana" w:cs="Verdana"/>
              </w:rPr>
              <w:t xml:space="preserve"> consulta, se señala lo siguiente:</w:t>
            </w:r>
          </w:p>
          <w:p w14:paraId="445A18E0" w14:textId="77777777" w:rsidR="00C83701" w:rsidRPr="000565B4" w:rsidRDefault="00C83701" w:rsidP="00584DA6">
            <w:pPr>
              <w:spacing w:after="120" w:line="276" w:lineRule="auto"/>
              <w:jc w:val="both"/>
              <w:rPr>
                <w:rFonts w:ascii="Verdana" w:eastAsia="Verdana" w:hAnsi="Verdana" w:cs="Verdana"/>
              </w:rPr>
            </w:pPr>
          </w:p>
          <w:p w14:paraId="4F95A11A" w14:textId="727C6CFF" w:rsidR="00C83701" w:rsidRPr="00584DA6" w:rsidRDefault="006B5BC9" w:rsidP="00D67477">
            <w:pPr>
              <w:spacing w:after="120" w:line="276" w:lineRule="auto"/>
              <w:jc w:val="both"/>
              <w:rPr>
                <w:rFonts w:ascii="Verdana" w:eastAsia="Verdana" w:hAnsi="Verdana" w:cs="Verdana"/>
              </w:rPr>
            </w:pPr>
            <w:r>
              <w:rPr>
                <w:rFonts w:ascii="Verdana" w:eastAsia="Verdana" w:hAnsi="Verdana" w:cs="Verdana"/>
              </w:rPr>
              <w:t xml:space="preserve">i) </w:t>
            </w:r>
            <w:r w:rsidR="00C83701" w:rsidRPr="00584DA6">
              <w:rPr>
                <w:rFonts w:ascii="Verdana" w:eastAsia="Verdana" w:hAnsi="Verdana" w:cs="Verdana"/>
              </w:rPr>
              <w:t>En torno al primer problema jurídico, se señala que las inhabilidades e incompatibilidades constituyen restricciones a la capacidad para contratar con el Estado, establecidas por el constituyente o el legislador con el propósito de garantizar la moralidad, la transparencia, la imparcialidad y la prevalencia del interés general en la contratación estatal. Por tratarse de limitaciones a la capacidad jurídica de los particulares, sus causales son de reserva legal y su interpretación debe ser taxativa y restrictiva, sin que sea posible extenderlas por analogía o por criterios amplios de interpretación.</w:t>
            </w:r>
          </w:p>
          <w:p w14:paraId="3A52541D"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 xml:space="preserve">En la Ley 80 de 1993, el tratamiento de las inhabilidades o incompatibilidades sobrevinientes varía según se trate de un proponente, un adjudicatario o un contratista. En relación con este último, el artículo 9 del Estatuto General de Contratación de la Administración Pública estableció un régimen especial para las circunstancias que sobrevienen durante la ejecución del contrato, cuyo propósito no es sancionar al contratista, sino impedir que continúe vinculado contractualmente con el Estado cuando ha perdido la capacidad para hacerlo, procurando al mismo tiempo la conservación del vínculo contractual cuando ello resulte jurídicamente posible. </w:t>
            </w:r>
          </w:p>
          <w:p w14:paraId="0371A512"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lastRenderedPageBreak/>
              <w:t xml:space="preserve">De manera preliminar, conviene precisar que, tal como lo delimita la propia consulta, las consideraciones que siguen se circunscriben al régimen general de las inhabilidades e incompatibilidades sobrevinientes, esto es, a aquellas distintas de la prevista en el literal j) del numeral 1 del artículo 8 de la Ley 80 de 1993, la cual cuenta con un tratamiento especial en el parágrafo 1º del artículo 9 </w:t>
            </w:r>
            <w:r w:rsidRPr="000565B4">
              <w:rPr>
                <w:rFonts w:ascii="Verdana" w:eastAsia="Verdana" w:hAnsi="Verdana" w:cs="Verdana"/>
                <w:i/>
                <w:iCs/>
              </w:rPr>
              <w:t>Ibídem</w:t>
            </w:r>
            <w:r w:rsidRPr="000565B4">
              <w:rPr>
                <w:rFonts w:ascii="Verdana" w:eastAsia="Verdana" w:hAnsi="Verdana" w:cs="Verdana"/>
              </w:rPr>
              <w:t>, adicionado por el artículo 6 de la Ley 2014 de 2019. En consecuencia, las reglas que se exponen a continuación no resultan aplicables a los eventos comprendidos en dicho régimen especial.</w:t>
            </w:r>
          </w:p>
          <w:p w14:paraId="39D6506C"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En consecuencia, cuando la inhabilidad o incompatibilidad sobreviene respecto de uno de los integrantes de un consorcio o unión temporal,</w:t>
            </w:r>
            <w:r w:rsidRPr="000565B4">
              <w:rPr>
                <w:rFonts w:cs="Times New Roman"/>
              </w:rPr>
              <w:t xml:space="preserve"> </w:t>
            </w:r>
            <w:r w:rsidRPr="000565B4">
              <w:rPr>
                <w:rFonts w:ascii="Verdana" w:eastAsia="Verdana" w:hAnsi="Verdana" w:cs="Verdana"/>
              </w:rPr>
              <w:t>el primer deber que se activa es el del propio contratista, quien, en desarrollo del principio de buena fe y de los deberes de conducta previstos en los artículos 23 y 26 de la Ley 80 de 1993, debe informar oportunamente a la entidad contratante la configuración de la circunstancia sobreviniente. Conocida esta —por información del contratista o por cualquier otro medio—, la entidad contratante deberá adelantar la actuación administrativa correspondiente para verificar la configuración de la causal, garantizando plenamente el debido proceso y, en particular, los derechos de defensa y contradicción del eventual afectado. Solo una vez establecida la existencia de la inhabilidad podrá exigir el cumplimiento de las consecuencias previstas por el legislador para esta clase de eventos.</w:t>
            </w:r>
          </w:p>
          <w:p w14:paraId="6DD81181"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En este aspecto, el efecto jurídico previsto en el inciso tercero del artículo 9 de la Ley 80 de 1993 consiste en que el integrante afectado deberá ceder su participación a un tercero, previa autorización escrita de la entidad contratante. La cesión constituye el mecanismo diseñado por el legislador para armonizar el principio de conservación del contrato con la necesidad de impedir que una persona incursa en una inhabilidad o incompatibilidad permanezca vinculada a la ejecución contractual. Por ello, dicha cesión únicamente puede efectuarse respecto de un tercero ajeno al consorcio o unión temporal, que reúna las condiciones jurídicas, técnicas, financieras y económicas necesarias para asumir la posición contractual, sin que resulte procedente redistribuir internamente la participación entre los demás integrantes del esquema asociativo.</w:t>
            </w:r>
          </w:p>
          <w:p w14:paraId="15246CA4" w14:textId="55D83E0F" w:rsidR="00C83701" w:rsidRDefault="00C83701" w:rsidP="00BB6F0B">
            <w:pPr>
              <w:spacing w:after="120" w:line="276" w:lineRule="auto"/>
              <w:ind w:firstLine="709"/>
              <w:jc w:val="both"/>
              <w:rPr>
                <w:rFonts w:ascii="Verdana" w:eastAsia="Verdana" w:hAnsi="Verdana" w:cs="Verdana"/>
              </w:rPr>
            </w:pPr>
            <w:r w:rsidRPr="000565B4">
              <w:rPr>
                <w:rFonts w:ascii="Verdana" w:eastAsia="Verdana" w:hAnsi="Verdana" w:cs="Verdana"/>
              </w:rPr>
              <w:t xml:space="preserve">En este aspecto la sustitución del contratista solo resulta procedente cuando el nuevo sujeto demuestre, de manera autónoma y verificable, que </w:t>
            </w:r>
            <w:r w:rsidRPr="000565B4">
              <w:rPr>
                <w:rFonts w:ascii="Verdana" w:eastAsia="Verdana" w:hAnsi="Verdana" w:cs="Verdana"/>
              </w:rPr>
              <w:lastRenderedPageBreak/>
              <w:t>cumple con todas las condiciones habilitantes que sirvieron de fundamento para la selección inicial: capacidad jurídica suficiente</w:t>
            </w:r>
            <w:r w:rsidR="00F32815">
              <w:rPr>
                <w:rFonts w:ascii="Verdana" w:eastAsia="Verdana" w:hAnsi="Verdana" w:cs="Verdana"/>
              </w:rPr>
              <w:t xml:space="preserve"> – y en la verificación de ella debe revisarse que el futuro cesionario no esté incurso en causal de inhabilidad - </w:t>
            </w:r>
            <w:r w:rsidRPr="000565B4">
              <w:rPr>
                <w:rFonts w:ascii="Verdana" w:eastAsia="Verdana" w:hAnsi="Verdana" w:cs="Verdana"/>
              </w:rPr>
              <w:t>, experiencia y solvencia técnica equivalente o superior, fortaleza financiera comprobable y una estructura económica que garantice la ejecución integral del objeto contractual. Esta idoneidad no puede presumirse ni derivarse de su vinculación con los miembros originales del consorcio o unión temporal; debe acreditarse de forma independiente, como si se tratara de un nuevo proceso de selección respecto del cesionario.</w:t>
            </w:r>
          </w:p>
          <w:p w14:paraId="63D1B53E" w14:textId="1818EA6A" w:rsidR="00E84F3E" w:rsidRDefault="00E84F3E" w:rsidP="00BB6F0B">
            <w:pPr>
              <w:spacing w:after="120" w:line="276" w:lineRule="auto"/>
              <w:ind w:firstLine="709"/>
              <w:jc w:val="both"/>
              <w:rPr>
                <w:rFonts w:ascii="Verdana" w:eastAsia="Verdana" w:hAnsi="Verdana" w:cs="Verdana"/>
              </w:rPr>
            </w:pPr>
            <w:r>
              <w:rPr>
                <w:rFonts w:ascii="Verdana" w:eastAsia="Verdana" w:hAnsi="Verdana" w:cs="Verdana"/>
              </w:rPr>
              <w:t xml:space="preserve">En este punto debe señalarse que corresponderá verificar a la Entidad Estatal que el posible cesionario no esté incurso en causal de inhabilidad, pues la figura de la cesión del contrato estatal frente a una inhabilidad sobreviniente no debe servir para burlar las consecuencias derivadas de dicha sanción. </w:t>
            </w:r>
          </w:p>
          <w:p w14:paraId="108CCC5E" w14:textId="77777777" w:rsidR="00C83701" w:rsidRPr="000565B4" w:rsidRDefault="00C83701" w:rsidP="00BB6F0B">
            <w:pPr>
              <w:spacing w:after="120" w:line="276" w:lineRule="auto"/>
              <w:jc w:val="both"/>
              <w:rPr>
                <w:rFonts w:ascii="Verdana" w:hAnsi="Verdana"/>
                <w:color w:val="0D0D0D"/>
              </w:rPr>
            </w:pPr>
            <w:r w:rsidRPr="00BB6F0B">
              <w:rPr>
                <w:rFonts w:ascii="Verdana" w:eastAsia="Verdana" w:hAnsi="Verdana" w:cs="Verdana"/>
              </w:rPr>
              <w:t xml:space="preserve">ii. </w:t>
            </w:r>
            <w:r w:rsidRPr="000565B4">
              <w:rPr>
                <w:rFonts w:ascii="Verdana" w:eastAsia="Verdana" w:hAnsi="Verdana" w:cs="Verdana"/>
              </w:rPr>
              <w:t>En relación con el segundo problema jurídico, se considera que el artículo 9 de la Ley 80 de 1993 reguló la consecuencia jurídica derivada de la configuración de una inhabilidad o incompatibilidad sobreviniente respecto de uno de los integrantes de un consorcio o unión temporal, consistente en el deber de ceder su participación a un tercero, previa autorización escrita de la entidad contratante. Sin embargo, la disposición no previó expresamente cuál es la consecuencia jurídica cuando el integrante afectado incumple dicho deber o cuando la cesión resulta materialmente imposible por la inexistencia de un cesionario idóneo, por la imposibilidad de obtener la autorización correspondiente o por cualquier otra circunstancia. En efecto, corresponde interpretar las reglas del sistema de compras públicas de manera sistemática, atendiendo a la finalidad del régimen de inhabilidades e incompatibilidades y a las potestades excepcionales conferidas a las entidades estatales por el Estatuto General de Contratación de la Administración Pública.</w:t>
            </w:r>
          </w:p>
          <w:p w14:paraId="0488DDD6"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 xml:space="preserve">En primer lugar, no resulta procedente acudir a la terminación unilateral prevista en el inciso segundo del artículo 45 de la Ley 80 de 1993, por cuanto dicha modalidad de terminación constituye una consecuencia de la configuración de una causal de nulidad absoluta del contrato. Esta figura presupone que la inhabilidad o incompatibilidad existía desde el momento mismo de la celebración del contrato y, por tanto, afectó su validez desde el origen. En contraste, la consulta versa sobre una inhabilidad sobreviniente, esto es, una circunstancia que surge durante la ejecución del contrato, </w:t>
            </w:r>
            <w:r w:rsidRPr="000565B4">
              <w:rPr>
                <w:rFonts w:ascii="Verdana" w:eastAsia="Verdana" w:hAnsi="Verdana" w:cs="Verdana"/>
              </w:rPr>
              <w:lastRenderedPageBreak/>
              <w:t>respecto de la cual el legislador estableció un tratamiento específico en el artículo 9 de la Ley 80 de 1993. Por ello, extender las consecuencias previstas para la nulidad absoluta a un supuesto diferente desconocería el carácter taxativo y de interpretación restrictiva tanto del régimen de inhabilidades e incompatibilidades como de las causales de nulidad absoluta del contrato estatal.</w:t>
            </w:r>
          </w:p>
          <w:p w14:paraId="11B30A40"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De igual manera, la sola negativa del integrante afectado a ceder su participación o la imposibilidad objetiva de materializar la cesión no conducen, por sí mismas, a la declaratoria de caducidad del contrato. Esta constituye una potestad excepcional de naturaleza sancionatoria, cuya procedencia exige la acreditación de los presupuestos establecidos en el artículo 18 de la Ley 80 de 1993, particularmente, la existencia de un incumplimiento grave y directo de las obligaciones contractuales que afecte la ejecución del contrato y evidencie que puede conducir a su paralización. En consecuencia, la mera configuración de una inhabilidad sobreviniente no permite identificar automáticamente la caducidad como la consecuencia jurídica prevista por el ordenamiento, sin perjuicio de que la entidad, en el caso concreto, valore si la renuencia persistente del integrante a cumplir el deber legal de cesión configura los presupuestos de dicha potestad.</w:t>
            </w:r>
          </w:p>
          <w:p w14:paraId="1C9CF2DF"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No obstante, una vez declarada la existencia de la inhabilidad con observancia del debido proceso, requerido el integrante para que cumpla el deber legal de ceder su participación y constatado que dicho mecanismo no pudo hacerse efectivo, la entidad estatal ya no dispone del instrumento expresamente diseñado por el legislador para preservar la continuidad del contrato. En tales condiciones, mantener la ejecución contractual con la participación de quien ha perdido la capacidad para contratar con el Estado implicaría desconocer la finalidad del artículo 9 de la Ley 80 de 1993 y permitir la permanencia de una situación incompatible con el régimen de inhabilidades e incompatibilidades.</w:t>
            </w:r>
          </w:p>
          <w:p w14:paraId="4C1E22A3"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 xml:space="preserve">En criterio de esta Agencia, en ese escenario la entidad podrá valorar la procedencia de la terminación unilateral prevista en el numeral 1 del artículo 17 de la Ley 80 de 1993, cuando la continuidad del contrato resulte incompatible con las exigencias del servicio público. Lo anterior encuentra sustento en la necesidad de preservar la legalidad, la moralidad, la transparencia y el interés general que inspiran la contratación estatal, así </w:t>
            </w:r>
            <w:r w:rsidRPr="000565B4">
              <w:rPr>
                <w:rFonts w:ascii="Verdana" w:eastAsia="Verdana" w:hAnsi="Verdana" w:cs="Verdana"/>
              </w:rPr>
              <w:lastRenderedPageBreak/>
              <w:t>como en la imposibilidad de admitir que el incumplimiento del deber legal de cesión produzca un efecto favorable para el integrante inhabilitado, permitiéndole permanecer vinculado a la ejecución del contrato. En todo caso, esta potestad deberá ejercerse mediante acto administrativo debidamente motivado, en el que la entidad justifique, con fundamento en las circunstancias concretas del caso, las razones de hecho y de derecho que hacen incompatible la continuidad del contrato con las finalidades del servicio público. En este aspecto, no basta la mera constatación formal de la inhabilidad: la entidad debe acreditar que su permanencia compromete de manera efectiva la ejecución del contrato y el cumplimiento de los fines estatales.</w:t>
            </w:r>
          </w:p>
          <w:p w14:paraId="3B23A7F3"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Con todo, la procedencia de esta vía está condicionada por el régimen de las cláusulas excepcionales previsto en el artículo 14 de la Ley 80 de 1993. De una parte, la terminación unilateral solo podrá ejercerse en aquellos contratos en los que, conforme al numeral 2 del artículo 14, las cláusulas excepcionales se pactaron o se entienden pactadas, de modo que no constituye una herramienta disponible en todas las tipologías contractuales. De otra parte, el numeral 1 del mismo artículo dispone que, al ejercerse esta potestad, deberá procederse al reconocimiento y orden de pago de las compensaciones e indemnizaciones a que tengan derecho las personas objeto de tales medidas. En consecuencia, al motivar el acto, la entidad deberá examinar cuidadosamente este aspecto, teniendo en cuenta que la jurisprudencia constitucional ha precisado que las consecuencias derivadas de la inhabilidad sobreviniente constituyen medidas objetivas que no comprometen la responsabilidad de la administración, de manera que la situación originada en la esfera del integrante inhabilitado no puede convertirse en fuente de reconocimientos patrimoniales injustificados a favor del contratista.</w:t>
            </w:r>
          </w:p>
          <w:p w14:paraId="61EEDBDC"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 xml:space="preserve">Sobre el particular, esta Subdirección precisa el alcance de la postura expuesta en el Concepto C-059 del 13 de junio de 2023, conforme a la cual, ante la inhabilidad sobreviniente de un integrante del consorcio o unión temporal, el ordenamiento solo prevé el mecanismo de la cesión de la participación como vía para la continuidad del contrato. Dicha conclusión se mantiene en cuanto a que la cesión es el único instrumento previsto por el legislador para conservar el vínculo contractual; no obstante, el presente concepto la complementa en el sentido de que, agotado dicho mecanismo sin </w:t>
            </w:r>
            <w:r w:rsidRPr="000565B4">
              <w:rPr>
                <w:rFonts w:ascii="Verdana" w:eastAsia="Verdana" w:hAnsi="Verdana" w:cs="Verdana"/>
              </w:rPr>
              <w:lastRenderedPageBreak/>
              <w:t>resultado, la entidad no está obligada a mantener indefinidamente la ejecución del contrato en condiciones contrarias al régimen de inhabilidades, sino que podrá valorar la terminación unilateral en los términos aquí expuestos.</w:t>
            </w:r>
          </w:p>
          <w:p w14:paraId="237564CF"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Ahora bien, cualquiera que sea la vía que la entidad adopte —terminación unilateral del numeral 1 del artículo 17 o, en el evento excepcional en que se acrediten sus presupuestos, la caducidad del artículo 18—, la validez del acto administrativo dependerá de la correspondencia estricta entre la causal legal invocada y los fundamentos fácticos y jurídicos expuestos en su motivación. La jurisprudencia del Consejo de Estado ha sido constante en señalar que estas potestades son de interpretación restrictiva y que su ejercicio por fuera de los supuestos legales, o con una sustentación fáctica que no corresponda a la causal invocada, vicia el acto de nulidad por falsa motivación o por infracción de las normas en que debía fundarse. En consecuencia, la entidad no puede motivar la terminación unilateral en la inhabilidad misma —pues esta no es causal autónoma de terminación—, sino en la incompatibilidad sobreviniente entre la continuidad del contrato y las exigencias del servicio público, debidamente acreditada; ni puede declarar la caducidad invocando la sola inhabilidad, sino únicamente un incumplimiento grave que afecte de manera directa la ejecución del contrato y amenace su paralización, plenamente demostrado en la actuación. La confusión entre estas causales, o la motivación del acto en una figura cuyos presupuestos no se configuran, expone la decisión a su anulación por el juez del contrato, con las consecuencias indemnizatorias correspondientes.</w:t>
            </w:r>
          </w:p>
          <w:p w14:paraId="69A92387" w14:textId="77777777" w:rsidR="00C83701" w:rsidRPr="000565B4" w:rsidRDefault="00C83701" w:rsidP="00BB6F0B">
            <w:pPr>
              <w:spacing w:after="120" w:line="276" w:lineRule="auto"/>
              <w:ind w:firstLine="709"/>
              <w:jc w:val="both"/>
              <w:rPr>
                <w:rFonts w:ascii="Verdana" w:eastAsia="Verdana" w:hAnsi="Verdana" w:cs="Verdana"/>
              </w:rPr>
            </w:pPr>
            <w:r w:rsidRPr="000565B4">
              <w:rPr>
                <w:rFonts w:ascii="Verdana" w:eastAsia="Verdana" w:hAnsi="Verdana" w:cs="Verdana"/>
              </w:rPr>
              <w:t xml:space="preserve">En todo caso, la Administración tiene el deber de analizar alternativas que permitan gestionar o superar la situación derivada de la inhabilidad sobreviniente, de modo que la terminación unilateral opere únicamente como último recurso para salvaguardar el interés público y asegurar la continuidad del servicio. Cuando ello sea procedente y compatible con los fines de la contratación estatal, la entidad puede valorar la celebración de un acuerdo con el contratista para la terminación del contrato, privilegiando soluciones concertadas que mitiguen los impactos negativos sobre la gestión pública y faciliten una transición ordenada en la ejecución contractual. Igualmente, cuando la entidad no disponga de la potestad de terminación unilateral o considere que sus presupuestos no se satisfacen, podrá acudir al juez del contrato mediante el medio de control de controversias contractuales previsto </w:t>
            </w:r>
            <w:r w:rsidRPr="000565B4">
              <w:rPr>
                <w:rFonts w:ascii="Verdana" w:eastAsia="Verdana" w:hAnsi="Verdana" w:cs="Verdana"/>
              </w:rPr>
              <w:lastRenderedPageBreak/>
              <w:t>en el artículo 141 de la Ley 1437 de 2011, con el fin de que se defina la terminación del vínculo y las consecuencias correspondientes.</w:t>
            </w:r>
          </w:p>
          <w:p w14:paraId="18C4D314" w14:textId="41DC115E" w:rsidR="00C83701" w:rsidRPr="000565B4" w:rsidRDefault="00C83701" w:rsidP="00BB6F0B">
            <w:pPr>
              <w:spacing w:after="120" w:line="276" w:lineRule="auto"/>
              <w:jc w:val="both"/>
              <w:rPr>
                <w:rFonts w:ascii="Verdana" w:eastAsia="Verdana" w:hAnsi="Verdana" w:cs="Verdana"/>
              </w:rPr>
            </w:pPr>
            <w:r w:rsidRPr="000565B4">
              <w:rPr>
                <w:rFonts w:ascii="Verdana" w:eastAsia="Verdana" w:hAnsi="Verdana" w:cs="Verdana"/>
              </w:rPr>
              <w:t>iii. En referencia al tercer problema jurídico, esta Agencia considera que la renuncia a la ejecución del contrato prevista en el artículo 9 de la Ley 80 de 1993 no resulta aplicable cuando la inhabilidad o incompatibilidad sobreviene respecto de uno de los integrantes de un consorcio o una unión temporal. El legislador estableció un tratamiento distinto para esta modalidad asociativa, disponiendo expresamente que, en tales eventos, el integrante afectado deberá ceder su participación a un tercero, previa autorización escrita de la entidad contratante. En este aspecto, la cesión constituye el mecanismo específico diseñado por el ordenamiento para remover la participación del integrante inhabilitado y preservar, en la medida de lo posible, la continuidad del contrato.</w:t>
            </w:r>
          </w:p>
          <w:p w14:paraId="51E2625B" w14:textId="77777777" w:rsidR="00C83701" w:rsidRPr="000565B4" w:rsidRDefault="00C83701" w:rsidP="00F32815">
            <w:pPr>
              <w:spacing w:after="120" w:line="276" w:lineRule="auto"/>
              <w:ind w:firstLine="709"/>
              <w:jc w:val="both"/>
              <w:rPr>
                <w:rFonts w:ascii="Verdana" w:eastAsia="Verdana" w:hAnsi="Verdana" w:cs="Verdana"/>
              </w:rPr>
            </w:pPr>
            <w:r w:rsidRPr="000565B4">
              <w:rPr>
                <w:rFonts w:ascii="Verdana" w:eastAsia="Verdana" w:hAnsi="Verdana" w:cs="Verdana"/>
              </w:rPr>
              <w:t xml:space="preserve">Esta interpretación encuentra respaldo tanto en el tenor literal del artículo 9 de la Ley 80 de 1993 como en la jurisprudencia constitucional y contencioso administrativa, que ha destacado que las consecuencias derivadas de las inhabilidades e incompatibilidades corresponden a medidas objetivas encaminadas a garantizar que quien se encuentra inmerso en una de estas no continúe vinculado a la ejecución del contrato. De igual forma, el Consejo de Estado ha precisado que, tratándose de consorcios y uniones temporales, el efecto jurídico previsto por el legislador es la cesión de la participación del integrante afectado y no la renuncia a la ejecución del contrato.  </w:t>
            </w:r>
          </w:p>
          <w:p w14:paraId="74E430D2"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En ese sentido, la renuncia no constituye un mecanismo alternativo a la cesión ni puede entenderse como un presupuesto para que la entidad ejerza las competencias que el ordenamiento le atribuye frente a la continuidad del contrato. Admitir lo contrario implicaría extender al consorcio o unión temporal una consecuencia prevista para el contratista individual, desconociendo que el propio legislador reguló de manera especial los efectos de las inhabilidades sobrevinientes en esta clase de esquemas asociativos.</w:t>
            </w:r>
          </w:p>
          <w:p w14:paraId="7131DA7A" w14:textId="77777777" w:rsidR="00C83701" w:rsidRPr="000565B4" w:rsidRDefault="00C83701">
            <w:pPr>
              <w:spacing w:after="120" w:line="276" w:lineRule="auto"/>
              <w:ind w:firstLine="709"/>
              <w:jc w:val="both"/>
              <w:rPr>
                <w:rFonts w:ascii="Verdana" w:eastAsia="Verdana" w:hAnsi="Verdana" w:cs="Verdana"/>
              </w:rPr>
            </w:pPr>
            <w:r w:rsidRPr="000565B4">
              <w:rPr>
                <w:rFonts w:ascii="Verdana" w:eastAsia="Verdana" w:hAnsi="Verdana" w:cs="Verdana"/>
              </w:rPr>
              <w:t xml:space="preserve">Por consiguiente, la decisión que finalmente adopte la entidad no depende de la manifestación de voluntad del integrante inhabilitado de renunciar o no a la ejecución del contrato, sino del cumplimiento de las actuaciones previstas por el ordenamiento jurídico y de la verificación de los presupuestos legales correspondientes. En virtud de lo anterior, una vez establecida la inhabilidad con observancia del debido proceso y constatado que </w:t>
            </w:r>
            <w:r w:rsidRPr="000565B4">
              <w:rPr>
                <w:rFonts w:ascii="Verdana" w:eastAsia="Verdana" w:hAnsi="Verdana" w:cs="Verdana"/>
              </w:rPr>
              <w:lastRenderedPageBreak/>
              <w:t>el mecanismo de cesión no pudo hacerse efectivo, la entidad podrá adoptar la decisión que en derecho corresponda, sin que la ausencia de una renuncia constituya un obstáculo para ello. Ello evita, además, que el integrante afectado pueda impedir la aplicación de los efectos jurídicos previstos por el legislador mediante su propia negativa a cumplir el deber legal de ceder su participación, resultado incompatible con los principios de buena fe, legalidad y moralidad administrativa que fundamentan la contratación estatal.</w:t>
            </w:r>
          </w:p>
          <w:p w14:paraId="19D648A1" w14:textId="209773A2" w:rsidR="00F242CC" w:rsidRPr="00A54773" w:rsidRDefault="00C83701" w:rsidP="00584DA6">
            <w:pPr>
              <w:tabs>
                <w:tab w:val="left" w:pos="426"/>
              </w:tabs>
              <w:spacing w:after="120" w:line="276" w:lineRule="auto"/>
              <w:ind w:firstLine="425"/>
              <w:jc w:val="both"/>
              <w:rPr>
                <w:rFonts w:ascii="Verdana" w:hAnsi="Verdana" w:cs="Arial"/>
                <w:lang w:val="es-ES"/>
              </w:rPr>
            </w:pPr>
            <w:r w:rsidRPr="000565B4">
              <w:rPr>
                <w:rFonts w:ascii="Verdana" w:eastAsia="Verdana" w:hAnsi="Verdana" w:cs="Verdana"/>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sobre las inhabilidades sobrevinientes, sino que brinda elementos de carácter general para que adopten la decisión que corresponda, lo cual es acorde con el principio de juridicidad. Así, cada entidad definirá la forma de adelantar su gestión contractual, sin que sea atribución de Colombia Compra Eficiente validarla.</w:t>
            </w:r>
            <w:bookmarkEnd w:id="5"/>
          </w:p>
        </w:tc>
      </w:tr>
      <w:bookmarkEnd w:id="4"/>
    </w:tbl>
    <w:p w14:paraId="1EB92289" w14:textId="77777777" w:rsidR="006B5BC9" w:rsidRDefault="006B5BC9" w:rsidP="00584DA6">
      <w:pPr>
        <w:tabs>
          <w:tab w:val="left" w:pos="142"/>
          <w:tab w:val="left" w:pos="284"/>
        </w:tabs>
        <w:spacing w:after="0" w:line="276" w:lineRule="auto"/>
        <w:ind w:left="360"/>
        <w:jc w:val="both"/>
        <w:rPr>
          <w:rFonts w:ascii="Verdana" w:eastAsia="Century Gothic" w:hAnsi="Verdana" w:cs="Century Gothic"/>
          <w:b/>
          <w:bCs/>
        </w:rPr>
      </w:pPr>
    </w:p>
    <w:p w14:paraId="270DF914" w14:textId="71673069" w:rsidR="00F242CC" w:rsidRPr="00A77871" w:rsidRDefault="00F242CC" w:rsidP="00584DA6">
      <w:pPr>
        <w:numPr>
          <w:ilvl w:val="0"/>
          <w:numId w:val="16"/>
        </w:numPr>
        <w:tabs>
          <w:tab w:val="left" w:pos="142"/>
          <w:tab w:val="left" w:pos="284"/>
        </w:tabs>
        <w:spacing w:after="0" w:line="276" w:lineRule="auto"/>
        <w:jc w:val="both"/>
        <w:rPr>
          <w:rFonts w:ascii="Verdana" w:eastAsia="Century Gothic" w:hAnsi="Verdana" w:cs="Century Gothic"/>
          <w:b/>
          <w:bCs/>
        </w:rPr>
      </w:pPr>
      <w:r w:rsidRPr="00A77871">
        <w:rPr>
          <w:rFonts w:ascii="Verdana" w:eastAsia="Century Gothic" w:hAnsi="Verdana" w:cs="Century Gothic"/>
          <w:b/>
          <w:bCs/>
        </w:rPr>
        <w:t>Razones de la respuesta:</w:t>
      </w:r>
    </w:p>
    <w:p w14:paraId="538A50C0" w14:textId="77777777" w:rsidR="006B5BC9" w:rsidRDefault="006B5BC9" w:rsidP="006B5BC9">
      <w:pPr>
        <w:spacing w:after="0" w:line="276" w:lineRule="auto"/>
        <w:jc w:val="both"/>
        <w:rPr>
          <w:rFonts w:ascii="Verdana" w:eastAsia="Calibri" w:hAnsi="Verdana" w:cs="Arial"/>
        </w:rPr>
      </w:pPr>
    </w:p>
    <w:p w14:paraId="5E194E2E" w14:textId="082D7912" w:rsidR="00F242CC" w:rsidRDefault="00F242CC" w:rsidP="00584DA6">
      <w:pPr>
        <w:spacing w:after="0" w:line="276" w:lineRule="auto"/>
        <w:jc w:val="both"/>
        <w:rPr>
          <w:rFonts w:ascii="Verdana" w:eastAsia="Calibri" w:hAnsi="Verdana" w:cs="Arial"/>
        </w:rPr>
      </w:pPr>
      <w:r w:rsidRPr="00454A35">
        <w:rPr>
          <w:rFonts w:ascii="Verdana" w:eastAsia="Calibri" w:hAnsi="Verdana" w:cs="Arial"/>
        </w:rPr>
        <w:t>Lo anterior se sustenta en las siguientes consideraciones:</w:t>
      </w:r>
    </w:p>
    <w:p w14:paraId="0CAE882F" w14:textId="77777777" w:rsidR="006B5BC9" w:rsidRDefault="006B5BC9" w:rsidP="006B5BC9">
      <w:pPr>
        <w:spacing w:after="0" w:line="276" w:lineRule="auto"/>
        <w:jc w:val="both"/>
        <w:rPr>
          <w:rFonts w:ascii="Verdana" w:eastAsia="Verdana" w:hAnsi="Verdana" w:cs="Verdana"/>
        </w:rPr>
      </w:pPr>
    </w:p>
    <w:p w14:paraId="6CF0B259" w14:textId="7C48B757" w:rsidR="001F2C08" w:rsidRPr="000565B4" w:rsidRDefault="001F2C08" w:rsidP="00584DA6">
      <w:pPr>
        <w:spacing w:after="0" w:line="276" w:lineRule="auto"/>
        <w:jc w:val="both"/>
        <w:rPr>
          <w:rFonts w:ascii="Verdana" w:eastAsia="Verdana" w:hAnsi="Verdana" w:cs="Verdana"/>
        </w:rPr>
      </w:pPr>
      <w:r w:rsidRPr="000565B4">
        <w:rPr>
          <w:rFonts w:ascii="Verdana" w:eastAsia="Verdana" w:hAnsi="Verdana" w:cs="Verdana"/>
        </w:rPr>
        <w:t xml:space="preserve">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 De igual modo, en torno a la incompatibilidad, la Corte Constitucional ha señalado: </w:t>
      </w:r>
    </w:p>
    <w:p w14:paraId="68F6EABA" w14:textId="77777777" w:rsidR="001F2C08" w:rsidRPr="000565B4" w:rsidRDefault="001F2C08" w:rsidP="006B5BC9">
      <w:pPr>
        <w:spacing w:after="0" w:line="276" w:lineRule="auto"/>
        <w:jc w:val="both"/>
        <w:rPr>
          <w:rFonts w:ascii="Verdana" w:eastAsia="Verdana" w:hAnsi="Verdana" w:cs="Verdana"/>
          <w:sz w:val="20"/>
          <w:szCs w:val="20"/>
        </w:rPr>
      </w:pPr>
    </w:p>
    <w:p w14:paraId="6397DF13"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 xml:space="preserve"> “[…]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w:t>
      </w:r>
      <w:r w:rsidRPr="000565B4">
        <w:rPr>
          <w:rFonts w:ascii="Verdana" w:eastAsia="Verdana" w:hAnsi="Verdana" w:cs="Verdana"/>
          <w:sz w:val="20"/>
          <w:szCs w:val="20"/>
        </w:rPr>
        <w:lastRenderedPageBreak/>
        <w:t>todo caso, de afectar la imparcialidad y la independencia que deben guiar las actuaciones de quien ejerce la autoridad en nombre del Estado”</w:t>
      </w:r>
      <w:r w:rsidRPr="000565B4">
        <w:rPr>
          <w:rFonts w:ascii="Verdana" w:eastAsia="Verdana" w:hAnsi="Verdana" w:cs="Verdana"/>
          <w:sz w:val="20"/>
          <w:szCs w:val="20"/>
          <w:vertAlign w:val="superscript"/>
        </w:rPr>
        <w:footnoteReference w:id="2"/>
      </w:r>
      <w:r w:rsidRPr="000565B4">
        <w:rPr>
          <w:rFonts w:ascii="Verdana" w:eastAsia="Verdana" w:hAnsi="Verdana" w:cs="Verdana"/>
          <w:sz w:val="20"/>
          <w:szCs w:val="20"/>
        </w:rPr>
        <w:t>.</w:t>
      </w:r>
    </w:p>
    <w:p w14:paraId="5455BF42" w14:textId="77777777" w:rsidR="001F2C08" w:rsidRPr="000565B4" w:rsidRDefault="001F2C08" w:rsidP="001F2C08">
      <w:pPr>
        <w:spacing w:after="0" w:line="240" w:lineRule="auto"/>
        <w:ind w:left="709" w:right="709"/>
        <w:jc w:val="both"/>
        <w:rPr>
          <w:rFonts w:ascii="Verdana" w:eastAsia="Verdana" w:hAnsi="Verdana" w:cs="Verdana"/>
          <w:sz w:val="21"/>
          <w:szCs w:val="21"/>
        </w:rPr>
      </w:pPr>
    </w:p>
    <w:p w14:paraId="78971B45" w14:textId="03181FCF" w:rsidR="001F2C08" w:rsidRPr="000565B4" w:rsidRDefault="001F2C08" w:rsidP="001F2C08">
      <w:pPr>
        <w:spacing w:after="120" w:line="276" w:lineRule="auto"/>
        <w:ind w:firstLine="709"/>
        <w:jc w:val="both"/>
        <w:rPr>
          <w:rFonts w:ascii="Verdana" w:eastAsia="Verdana" w:hAnsi="Verdana" w:cs="Verdana"/>
        </w:rPr>
      </w:pPr>
      <w:r w:rsidRPr="000565B4">
        <w:rPr>
          <w:rFonts w:ascii="Verdana" w:eastAsia="Verdana" w:hAnsi="Verdana" w:cs="Verdana"/>
        </w:rPr>
        <w:t xml:space="preserve">Las inhabilidades e incompatibilidades pueden enfocarse en varios asuntos: en primer lugar, se encuentran las inhabilidades e incompatibilidades que impiden que una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con lo expuesto, se señala que la Agencia Nacional de Contratación Pública </w:t>
      </w:r>
      <w:r w:rsidR="00741708">
        <w:rPr>
          <w:rFonts w:ascii="Verdana" w:eastAsia="Verdana" w:hAnsi="Verdana" w:cs="Verdana"/>
        </w:rPr>
        <w:t xml:space="preserve">– Colombia Compra Eficiente </w:t>
      </w:r>
      <w:r w:rsidRPr="000565B4">
        <w:rPr>
          <w:rFonts w:ascii="Verdana" w:eastAsia="Verdana" w:hAnsi="Verdana" w:cs="Verdana"/>
        </w:rPr>
        <w:t xml:space="preserve">es competente para resolver consultas sobre normas del sistema de compras y contratación públicas que establezcan inhabilidades e incompatibilidades para contratar con el Estado. </w:t>
      </w:r>
    </w:p>
    <w:p w14:paraId="57FE0D2B" w14:textId="6C2FB898" w:rsidR="001F2C08" w:rsidRPr="000565B4" w:rsidRDefault="001F2C08" w:rsidP="001F2C08">
      <w:pPr>
        <w:spacing w:after="120" w:line="276" w:lineRule="auto"/>
        <w:ind w:firstLine="709"/>
        <w:jc w:val="both"/>
        <w:rPr>
          <w:rFonts w:ascii="Verdana" w:eastAsia="Verdana" w:hAnsi="Verdana" w:cs="Verdana"/>
        </w:rPr>
      </w:pPr>
      <w:r w:rsidRPr="000565B4">
        <w:rPr>
          <w:rFonts w:ascii="Verdana" w:eastAsia="Verdana" w:hAnsi="Verdana" w:cs="Verdana"/>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0565B4">
        <w:rPr>
          <w:rFonts w:ascii="Verdana" w:eastAsia="Verdana" w:hAnsi="Verdana" w:cs="Verdana"/>
          <w:vertAlign w:val="superscript"/>
        </w:rPr>
        <w:footnoteReference w:id="3"/>
      </w:r>
      <w:r w:rsidR="009232B4">
        <w:rPr>
          <w:rFonts w:ascii="Verdana" w:eastAsia="Verdana" w:hAnsi="Verdana" w:cs="Verdana"/>
        </w:rPr>
        <w:t>.</w:t>
      </w:r>
    </w:p>
    <w:p w14:paraId="484C0210" w14:textId="77777777" w:rsidR="001F2C08" w:rsidRPr="000565B4" w:rsidRDefault="001F2C08" w:rsidP="001F2C08">
      <w:pPr>
        <w:spacing w:before="120" w:after="0" w:line="276" w:lineRule="auto"/>
        <w:ind w:firstLine="709"/>
        <w:jc w:val="both"/>
        <w:rPr>
          <w:rFonts w:ascii="Verdana" w:eastAsia="Verdana" w:hAnsi="Verdana" w:cs="Verdana"/>
        </w:rPr>
      </w:pPr>
      <w:r w:rsidRPr="000565B4">
        <w:rPr>
          <w:rFonts w:ascii="Verdana" w:eastAsia="Verdana" w:hAnsi="Verdana" w:cs="Verdana"/>
        </w:rPr>
        <w:t xml:space="preserve">La regulación de las inhabilidades implica limitaciones a la capacidad jurídica para contratar, que desarrolla los principios de la función administrativa consagrados en el artículo 209 de la Constitución Política, con especial énfasis, el de moralidad. Así lo entiende el Consejo de Estado: </w:t>
      </w:r>
    </w:p>
    <w:p w14:paraId="26F7F8AE" w14:textId="77777777" w:rsidR="001F2C08" w:rsidRPr="000565B4" w:rsidRDefault="001F2C08" w:rsidP="001F2C08">
      <w:pPr>
        <w:spacing w:after="0" w:line="276" w:lineRule="auto"/>
        <w:jc w:val="both"/>
        <w:rPr>
          <w:rFonts w:ascii="Verdana" w:eastAsia="Verdana" w:hAnsi="Verdana" w:cs="Verdana"/>
        </w:rPr>
      </w:pPr>
    </w:p>
    <w:p w14:paraId="120BEF06" w14:textId="77777777" w:rsidR="001F2C08" w:rsidRPr="000565B4" w:rsidRDefault="001F2C08" w:rsidP="009232B4">
      <w:pPr>
        <w:shd w:val="clear" w:color="auto" w:fill="FFFFFF"/>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lastRenderedPageBreak/>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EDD7B6A" w14:textId="77777777" w:rsidR="001F2C08" w:rsidRPr="000565B4" w:rsidRDefault="001F2C08">
      <w:pPr>
        <w:shd w:val="clear" w:color="auto" w:fill="FFFFFF"/>
        <w:spacing w:after="0" w:line="240" w:lineRule="auto"/>
        <w:ind w:left="709" w:right="709"/>
        <w:jc w:val="both"/>
        <w:rPr>
          <w:rFonts w:ascii="Verdana" w:eastAsia="Verdana" w:hAnsi="Verdana" w:cs="Verdana"/>
          <w:sz w:val="20"/>
          <w:szCs w:val="20"/>
        </w:rPr>
      </w:pPr>
    </w:p>
    <w:p w14:paraId="41D4813A" w14:textId="77777777" w:rsidR="001F2C08" w:rsidRPr="000565B4" w:rsidRDefault="001F2C08">
      <w:pPr>
        <w:shd w:val="clear" w:color="auto" w:fill="FFFFFF"/>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0565B4">
        <w:rPr>
          <w:rFonts w:ascii="Verdana" w:eastAsia="Verdana" w:hAnsi="Verdana" w:cs="Verdana"/>
          <w:sz w:val="20"/>
          <w:szCs w:val="20"/>
          <w:vertAlign w:val="superscript"/>
        </w:rPr>
        <w:footnoteReference w:id="4"/>
      </w:r>
    </w:p>
    <w:p w14:paraId="106E6152" w14:textId="77777777" w:rsidR="001F2C08" w:rsidRPr="00584DA6" w:rsidRDefault="001F2C08" w:rsidP="00584DA6">
      <w:pPr>
        <w:shd w:val="clear" w:color="auto" w:fill="FFFFFF"/>
        <w:spacing w:after="0" w:line="276" w:lineRule="auto"/>
        <w:ind w:left="709" w:right="709"/>
        <w:jc w:val="both"/>
        <w:rPr>
          <w:rFonts w:ascii="Verdana" w:eastAsia="Verdana" w:hAnsi="Verdana" w:cs="Verdana"/>
        </w:rPr>
      </w:pPr>
    </w:p>
    <w:p w14:paraId="759832B2" w14:textId="77777777" w:rsidR="001F2C08" w:rsidRPr="000565B4" w:rsidRDefault="001F2C08" w:rsidP="009232B4">
      <w:pPr>
        <w:spacing w:after="0" w:line="276" w:lineRule="auto"/>
        <w:ind w:firstLine="709"/>
        <w:jc w:val="both"/>
        <w:rPr>
          <w:rFonts w:ascii="Verdana" w:eastAsia="Verdana" w:hAnsi="Verdana" w:cs="Verdana"/>
        </w:rPr>
      </w:pPr>
      <w:r w:rsidRPr="000565B4">
        <w:rPr>
          <w:rFonts w:ascii="Verdana" w:eastAsia="Verdana" w:hAnsi="Verdana" w:cs="Verdana"/>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6ADDC16F" w14:textId="77777777" w:rsidR="001F2C08" w:rsidRPr="000565B4" w:rsidRDefault="001F2C08">
      <w:pPr>
        <w:spacing w:after="0" w:line="276" w:lineRule="auto"/>
        <w:rPr>
          <w:rFonts w:ascii="Verdana" w:eastAsia="Verdana" w:hAnsi="Verdana" w:cs="Verdana"/>
          <w:sz w:val="21"/>
          <w:szCs w:val="21"/>
          <w:highlight w:val="white"/>
        </w:rPr>
      </w:pPr>
    </w:p>
    <w:p w14:paraId="5852B962"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r w:rsidRPr="000565B4">
        <w:rPr>
          <w:rFonts w:ascii="Verdana" w:eastAsia="Verdana" w:hAnsi="Verdana" w:cs="Verdana"/>
          <w:sz w:val="20"/>
          <w:szCs w:val="20"/>
        </w:rPr>
        <w:lastRenderedPageBreak/>
        <w:t>incompatibilidades, se erige en causal de nulidad del contrato celebrado en esas condiciones (ley 80 de 1993, art. 44).</w:t>
      </w:r>
    </w:p>
    <w:p w14:paraId="789EBA64" w14:textId="77777777" w:rsidR="001F2C08" w:rsidRPr="000565B4" w:rsidRDefault="001F2C08" w:rsidP="001F2C08">
      <w:pPr>
        <w:spacing w:after="0" w:line="240" w:lineRule="auto"/>
        <w:ind w:left="709" w:right="709"/>
        <w:jc w:val="both"/>
        <w:rPr>
          <w:rFonts w:ascii="Verdana" w:eastAsia="Verdana" w:hAnsi="Verdana" w:cs="Verdana"/>
          <w:sz w:val="20"/>
          <w:szCs w:val="20"/>
        </w:rPr>
      </w:pPr>
    </w:p>
    <w:p w14:paraId="7C618DB4"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0565B4">
        <w:rPr>
          <w:rFonts w:ascii="Verdana" w:eastAsia="Verdana" w:hAnsi="Verdana" w:cs="Verdana"/>
          <w:sz w:val="20"/>
          <w:szCs w:val="20"/>
          <w:vertAlign w:val="superscript"/>
        </w:rPr>
        <w:footnoteReference w:id="5"/>
      </w:r>
      <w:r w:rsidRPr="000565B4">
        <w:rPr>
          <w:rFonts w:ascii="Verdana" w:eastAsia="Verdana" w:hAnsi="Verdana" w:cs="Verdana"/>
          <w:sz w:val="20"/>
          <w:szCs w:val="20"/>
        </w:rPr>
        <w:t xml:space="preserve">. </w:t>
      </w:r>
    </w:p>
    <w:p w14:paraId="45862A80" w14:textId="77777777" w:rsidR="001F2C08" w:rsidRPr="000565B4" w:rsidRDefault="001F2C08" w:rsidP="00584DA6">
      <w:pPr>
        <w:spacing w:after="0" w:line="276" w:lineRule="auto"/>
        <w:jc w:val="both"/>
        <w:rPr>
          <w:rFonts w:ascii="Verdana" w:eastAsia="Verdana" w:hAnsi="Verdana" w:cs="Verdana"/>
          <w:sz w:val="20"/>
          <w:szCs w:val="20"/>
        </w:rPr>
      </w:pPr>
    </w:p>
    <w:p w14:paraId="471950EF" w14:textId="77777777" w:rsidR="001F2C08" w:rsidRPr="000565B4" w:rsidRDefault="001F2C08" w:rsidP="00D11E02">
      <w:pPr>
        <w:spacing w:after="0" w:line="276" w:lineRule="auto"/>
        <w:ind w:firstLine="709"/>
        <w:jc w:val="both"/>
        <w:rPr>
          <w:rFonts w:ascii="Verdana" w:eastAsia="Verdana" w:hAnsi="Verdana" w:cs="Verdana"/>
        </w:rPr>
      </w:pPr>
      <w:r w:rsidRPr="000565B4">
        <w:rPr>
          <w:rFonts w:ascii="Verdana" w:eastAsia="Verdana" w:hAnsi="Verdana" w:cs="Verdana"/>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3142B1E6" w14:textId="77777777" w:rsidR="001F2C08" w:rsidRPr="000565B4" w:rsidRDefault="001F2C08">
      <w:pPr>
        <w:tabs>
          <w:tab w:val="left" w:pos="1532"/>
        </w:tabs>
        <w:spacing w:after="0" w:line="276" w:lineRule="auto"/>
        <w:jc w:val="both"/>
        <w:rPr>
          <w:rFonts w:ascii="Verdana" w:eastAsia="Verdana" w:hAnsi="Verdana" w:cs="Verdana"/>
        </w:rPr>
      </w:pPr>
    </w:p>
    <w:p w14:paraId="66AF8C8F"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77B03924"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 xml:space="preserve">[…] </w:t>
      </w:r>
    </w:p>
    <w:p w14:paraId="3E8D0932"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0565B4">
        <w:rPr>
          <w:rFonts w:ascii="Verdana" w:eastAsia="Verdana" w:hAnsi="Verdana" w:cs="Verdana"/>
          <w:sz w:val="20"/>
          <w:szCs w:val="20"/>
          <w:vertAlign w:val="superscript"/>
        </w:rPr>
        <w:footnoteReference w:id="6"/>
      </w:r>
      <w:r w:rsidRPr="000565B4">
        <w:rPr>
          <w:rFonts w:ascii="Verdana" w:eastAsia="Verdana" w:hAnsi="Verdana" w:cs="Verdana"/>
          <w:sz w:val="20"/>
          <w:szCs w:val="20"/>
        </w:rPr>
        <w:t>.</w:t>
      </w:r>
    </w:p>
    <w:p w14:paraId="43A6AB64" w14:textId="77777777" w:rsidR="001F2C08" w:rsidRPr="00584DA6" w:rsidRDefault="001F2C08" w:rsidP="00B42F06">
      <w:pPr>
        <w:spacing w:after="0" w:line="276" w:lineRule="auto"/>
        <w:ind w:left="709" w:right="709"/>
        <w:jc w:val="both"/>
        <w:rPr>
          <w:rFonts w:ascii="Verdana" w:eastAsia="Verdana" w:hAnsi="Verdana" w:cs="Verdana"/>
        </w:rPr>
      </w:pPr>
    </w:p>
    <w:p w14:paraId="6C09E834" w14:textId="77777777" w:rsidR="001F2C08" w:rsidRPr="000565B4" w:rsidRDefault="001F2C08" w:rsidP="00D925A4">
      <w:pPr>
        <w:spacing w:after="120" w:line="276" w:lineRule="auto"/>
        <w:ind w:firstLine="709"/>
        <w:jc w:val="both"/>
        <w:rPr>
          <w:rFonts w:ascii="Verdana" w:eastAsia="Verdana" w:hAnsi="Verdana" w:cs="Verdana"/>
        </w:rPr>
      </w:pPr>
      <w:r w:rsidRPr="000565B4">
        <w:rPr>
          <w:rFonts w:ascii="Verdana" w:eastAsia="Verdana" w:hAnsi="Verdana" w:cs="Verdana"/>
        </w:rPr>
        <w:lastRenderedPageBreak/>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0565B4">
        <w:rPr>
          <w:rFonts w:ascii="Verdana" w:eastAsia="Verdana" w:hAnsi="Verdana" w:cs="Verdana"/>
          <w:vertAlign w:val="superscript"/>
        </w:rPr>
        <w:footnoteReference w:id="7"/>
      </w:r>
      <w:r w:rsidRPr="000565B4">
        <w:rPr>
          <w:rFonts w:ascii="Verdana" w:eastAsia="Verdana" w:hAnsi="Verdana" w:cs="Verdana"/>
        </w:rPr>
        <w:t>.</w:t>
      </w:r>
    </w:p>
    <w:p w14:paraId="531DFAAA" w14:textId="77777777" w:rsidR="001F2C08" w:rsidRPr="000565B4" w:rsidRDefault="001F2C08" w:rsidP="001F2C08">
      <w:pPr>
        <w:spacing w:before="120" w:after="120" w:line="276" w:lineRule="auto"/>
        <w:ind w:firstLine="708"/>
        <w:jc w:val="both"/>
        <w:rPr>
          <w:rFonts w:ascii="Verdana" w:eastAsia="Verdana" w:hAnsi="Verdana" w:cs="Verdana"/>
        </w:rPr>
      </w:pPr>
      <w:r w:rsidRPr="000565B4">
        <w:rPr>
          <w:rFonts w:ascii="Verdana" w:eastAsia="Verdana" w:hAnsi="Verdana" w:cs="Verdana"/>
        </w:rPr>
        <w:t>A manera de ejemplo, en materia contractual, los literales c), d) y j) del numeral 1 del artículo 8 de la Ley 80 de 1993</w:t>
      </w:r>
      <w:r w:rsidRPr="000565B4">
        <w:rPr>
          <w:rFonts w:ascii="Verdana" w:eastAsia="Verdana" w:hAnsi="Verdana" w:cs="Verdana"/>
          <w:vertAlign w:val="superscript"/>
        </w:rPr>
        <w:footnoteReference w:id="8"/>
      </w:r>
      <w:r w:rsidRPr="000565B4">
        <w:rPr>
          <w:rFonts w:ascii="Verdana" w:eastAsia="Verdana" w:hAnsi="Verdana" w:cs="Verdana"/>
        </w:rPr>
        <w:t xml:space="preserve"> establecen inhabilidades-sanción, </w:t>
      </w:r>
      <w:r w:rsidRPr="000565B4">
        <w:rPr>
          <w:rFonts w:ascii="Verdana" w:eastAsia="Verdana" w:hAnsi="Verdana" w:cs="Verdana"/>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0263BA0" w14:textId="77777777" w:rsidR="001F2C08" w:rsidRPr="000565B4" w:rsidRDefault="001F2C08" w:rsidP="001F2C08">
      <w:pPr>
        <w:spacing w:before="120" w:after="120" w:line="276" w:lineRule="auto"/>
        <w:ind w:firstLine="709"/>
        <w:jc w:val="both"/>
        <w:rPr>
          <w:rFonts w:ascii="Verdana" w:eastAsia="Verdana" w:hAnsi="Verdana" w:cs="Verdana"/>
        </w:rPr>
      </w:pPr>
      <w:r w:rsidRPr="000565B4">
        <w:rPr>
          <w:rFonts w:ascii="Verdana" w:eastAsia="Verdana" w:hAnsi="Verdana" w:cs="Verdana"/>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15CA4A3C" w14:textId="77777777" w:rsidR="001F2C08" w:rsidRPr="000565B4" w:rsidRDefault="001F2C08" w:rsidP="001F2C08">
      <w:pPr>
        <w:spacing w:before="120" w:after="120" w:line="276" w:lineRule="auto"/>
        <w:ind w:firstLine="709"/>
        <w:jc w:val="both"/>
        <w:rPr>
          <w:rFonts w:ascii="Verdana" w:eastAsia="Verdana" w:hAnsi="Verdana" w:cs="Verdana"/>
        </w:rPr>
      </w:pPr>
      <w:r w:rsidRPr="000565B4">
        <w:rPr>
          <w:rFonts w:ascii="Verdana" w:eastAsia="Verdana" w:hAnsi="Verdana" w:cs="Verdana"/>
        </w:rPr>
        <w:lastRenderedPageBreak/>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0565B4">
        <w:rPr>
          <w:rFonts w:ascii="Verdana" w:eastAsia="Verdana" w:hAnsi="Verdana" w:cs="Verdana"/>
          <w:i/>
        </w:rPr>
        <w:t>restrictiva</w:t>
      </w:r>
      <w:r w:rsidRPr="000565B4">
        <w:rPr>
          <w:rFonts w:ascii="Verdana" w:eastAsia="Verdana" w:hAnsi="Verdana" w:cs="Verdana"/>
          <w:i/>
          <w:vertAlign w:val="superscript"/>
        </w:rPr>
        <w:footnoteReference w:id="9"/>
      </w:r>
      <w:r w:rsidRPr="000565B4">
        <w:rPr>
          <w:rFonts w:ascii="Verdana" w:eastAsia="Verdana" w:hAnsi="Verdana" w:cs="Verdana"/>
          <w:i/>
        </w:rPr>
        <w:t xml:space="preserve">, </w:t>
      </w:r>
      <w:r w:rsidRPr="000565B4">
        <w:rPr>
          <w:rFonts w:ascii="Verdana" w:eastAsia="Verdana" w:hAnsi="Verdana" w:cs="Verdana"/>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0C8EA2DC" w14:textId="77777777" w:rsidR="001F2C08" w:rsidRPr="000565B4" w:rsidRDefault="001F2C08" w:rsidP="001F2C08">
      <w:pPr>
        <w:spacing w:after="120" w:line="276" w:lineRule="auto"/>
        <w:ind w:firstLine="709"/>
        <w:jc w:val="both"/>
        <w:rPr>
          <w:rFonts w:ascii="Verdana" w:eastAsia="Verdana" w:hAnsi="Verdana" w:cs="Verdana"/>
        </w:rPr>
      </w:pPr>
      <w:r w:rsidRPr="000565B4">
        <w:rPr>
          <w:rFonts w:ascii="Verdana" w:eastAsia="Verdana" w:hAnsi="Verdana" w:cs="Verdana"/>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0565B4">
        <w:rPr>
          <w:rFonts w:ascii="Verdana" w:eastAsia="Verdana" w:hAnsi="Verdana" w:cs="Verdana"/>
          <w:vertAlign w:val="superscript"/>
        </w:rPr>
        <w:footnoteReference w:id="10"/>
      </w:r>
      <w:r w:rsidRPr="000565B4">
        <w:rPr>
          <w:rFonts w:ascii="Verdana" w:eastAsia="Verdana" w:hAnsi="Verdana" w:cs="Verdana"/>
        </w:rPr>
        <w:t xml:space="preserve">. </w:t>
      </w:r>
    </w:p>
    <w:p w14:paraId="570A9B33" w14:textId="77777777" w:rsidR="001F2C08" w:rsidRPr="000565B4" w:rsidRDefault="001F2C08" w:rsidP="001F2C08">
      <w:pPr>
        <w:spacing w:after="0" w:line="276" w:lineRule="auto"/>
        <w:ind w:firstLine="709"/>
        <w:jc w:val="both"/>
        <w:rPr>
          <w:rFonts w:ascii="Verdana" w:eastAsia="Verdana" w:hAnsi="Verdana" w:cs="Verdana"/>
        </w:rPr>
      </w:pPr>
      <w:r w:rsidRPr="000565B4">
        <w:rPr>
          <w:rFonts w:ascii="Verdana" w:eastAsia="Verdana" w:hAnsi="Verdana" w:cs="Verdana"/>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0565B4">
        <w:rPr>
          <w:rFonts w:ascii="Verdana" w:eastAsia="Verdana" w:hAnsi="Verdana" w:cs="Verdana"/>
          <w:vertAlign w:val="superscript"/>
        </w:rPr>
        <w:footnoteReference w:id="11"/>
      </w:r>
      <w:r w:rsidRPr="000565B4">
        <w:rPr>
          <w:rFonts w:ascii="Verdana" w:eastAsia="Verdana" w:hAnsi="Verdana" w:cs="Verdana"/>
        </w:rPr>
        <w:t>. En tal sentido, la Sección Tercera ha señalado que:</w:t>
      </w:r>
    </w:p>
    <w:p w14:paraId="4CF0E618" w14:textId="77777777" w:rsidR="001F2C08" w:rsidRPr="000565B4" w:rsidRDefault="001F2C08" w:rsidP="001F2C08">
      <w:pPr>
        <w:spacing w:after="0" w:line="276" w:lineRule="auto"/>
        <w:ind w:firstLine="709"/>
        <w:jc w:val="both"/>
        <w:rPr>
          <w:rFonts w:ascii="Verdana" w:eastAsia="Verdana" w:hAnsi="Verdana" w:cs="Verdana"/>
        </w:rPr>
      </w:pPr>
    </w:p>
    <w:p w14:paraId="50B7F624" w14:textId="77777777" w:rsidR="001F2C08" w:rsidRPr="000565B4" w:rsidRDefault="001F2C08" w:rsidP="001F2C08">
      <w:pPr>
        <w:spacing w:after="0" w:line="240" w:lineRule="auto"/>
        <w:ind w:left="709" w:right="709"/>
        <w:jc w:val="both"/>
        <w:rPr>
          <w:rFonts w:ascii="Verdana" w:eastAsia="Verdana" w:hAnsi="Verdana" w:cs="Verdana"/>
          <w:sz w:val="20"/>
          <w:szCs w:val="20"/>
        </w:rPr>
      </w:pPr>
      <w:r w:rsidRPr="000565B4">
        <w:rPr>
          <w:rFonts w:ascii="Verdana" w:eastAsia="Verdana" w:hAnsi="Verdana" w:cs="Verdana"/>
          <w:sz w:val="20"/>
          <w:szCs w:val="20"/>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w:t>
      </w:r>
      <w:r w:rsidRPr="000565B4">
        <w:rPr>
          <w:rFonts w:ascii="Verdana" w:eastAsia="Verdana" w:hAnsi="Verdana" w:cs="Verdana"/>
          <w:sz w:val="20"/>
          <w:szCs w:val="20"/>
        </w:rPr>
        <w:lastRenderedPageBreak/>
        <w:t>restrictiva que no permite su extensión, por vía de la figura de la analogía, a supuestos no contemplados por el ordenamiento</w:t>
      </w:r>
      <w:r w:rsidRPr="000565B4">
        <w:rPr>
          <w:rFonts w:ascii="Verdana" w:eastAsia="Verdana" w:hAnsi="Verdana" w:cs="Verdana"/>
          <w:sz w:val="20"/>
          <w:szCs w:val="20"/>
          <w:vertAlign w:val="superscript"/>
        </w:rPr>
        <w:footnoteReference w:id="12"/>
      </w:r>
      <w:r w:rsidRPr="000565B4">
        <w:rPr>
          <w:rFonts w:ascii="Verdana" w:eastAsia="Verdana" w:hAnsi="Verdana" w:cs="Verdana"/>
          <w:sz w:val="20"/>
          <w:szCs w:val="20"/>
        </w:rPr>
        <w:t>.</w:t>
      </w:r>
    </w:p>
    <w:p w14:paraId="3C6AB199" w14:textId="77777777" w:rsidR="001F2C08" w:rsidRPr="000565B4" w:rsidRDefault="001F2C08" w:rsidP="001F2C08">
      <w:pPr>
        <w:spacing w:after="0" w:line="240" w:lineRule="auto"/>
        <w:ind w:firstLine="709"/>
        <w:jc w:val="both"/>
        <w:rPr>
          <w:rFonts w:ascii="Verdana" w:eastAsia="Verdana" w:hAnsi="Verdana" w:cs="Verdana"/>
          <w:sz w:val="20"/>
          <w:szCs w:val="20"/>
        </w:rPr>
      </w:pPr>
    </w:p>
    <w:p w14:paraId="642C1159" w14:textId="77777777" w:rsidR="001F2C08" w:rsidRPr="000565B4" w:rsidRDefault="001F2C08" w:rsidP="001F2C08">
      <w:pPr>
        <w:spacing w:after="0" w:line="240" w:lineRule="auto"/>
        <w:ind w:firstLine="709"/>
        <w:jc w:val="both"/>
        <w:rPr>
          <w:rFonts w:ascii="Verdana" w:eastAsia="Verdana" w:hAnsi="Verdana" w:cs="Verdana"/>
          <w:sz w:val="20"/>
          <w:szCs w:val="20"/>
        </w:rPr>
      </w:pPr>
      <w:r w:rsidRPr="000565B4">
        <w:rPr>
          <w:rFonts w:ascii="Verdana" w:eastAsia="Verdana" w:hAnsi="Verdana" w:cs="Verdana"/>
          <w:sz w:val="20"/>
          <w:szCs w:val="20"/>
        </w:rPr>
        <w:t>También ha dicho que:</w:t>
      </w:r>
    </w:p>
    <w:p w14:paraId="09A26A36" w14:textId="77777777" w:rsidR="001F2C08" w:rsidRPr="000565B4" w:rsidRDefault="001F2C08" w:rsidP="001F2C08">
      <w:pPr>
        <w:spacing w:after="0" w:line="240" w:lineRule="auto"/>
        <w:ind w:left="709" w:right="616"/>
        <w:jc w:val="both"/>
        <w:rPr>
          <w:rFonts w:ascii="Verdana" w:eastAsia="Verdana" w:hAnsi="Verdana" w:cs="Verdana"/>
          <w:sz w:val="20"/>
          <w:szCs w:val="20"/>
        </w:rPr>
      </w:pPr>
      <w:r w:rsidRPr="000565B4">
        <w:rPr>
          <w:rFonts w:ascii="Verdana" w:eastAsia="Verdana" w:hAnsi="Verdana" w:cs="Verdana"/>
          <w:sz w:val="20"/>
          <w:szCs w:val="20"/>
        </w:rPr>
        <w:t xml:space="preserve">[…] la aplicación de estos preceptos exige una interpretación restrictiva, dado que según el principio hermenéutico </w:t>
      </w:r>
      <w:r w:rsidRPr="000565B4">
        <w:rPr>
          <w:rFonts w:ascii="Verdana" w:eastAsia="Verdana" w:hAnsi="Verdana" w:cs="Verdana"/>
          <w:i/>
          <w:sz w:val="20"/>
          <w:szCs w:val="20"/>
        </w:rPr>
        <w:t>pro libertate</w:t>
      </w:r>
      <w:r w:rsidRPr="000565B4">
        <w:rPr>
          <w:rFonts w:ascii="Verdana" w:eastAsia="Verdana" w:hAnsi="Verdana" w:cs="Verdana"/>
          <w:sz w:val="20"/>
          <w:szCs w:val="20"/>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0565B4">
        <w:rPr>
          <w:rFonts w:ascii="Verdana" w:eastAsia="Verdana" w:hAnsi="Verdana" w:cs="Verdana"/>
          <w:sz w:val="20"/>
          <w:szCs w:val="20"/>
          <w:vertAlign w:val="superscript"/>
        </w:rPr>
        <w:footnoteReference w:id="13"/>
      </w:r>
      <w:r w:rsidRPr="000565B4">
        <w:rPr>
          <w:rFonts w:ascii="Verdana" w:eastAsia="Verdana" w:hAnsi="Verdana" w:cs="Verdana"/>
          <w:sz w:val="20"/>
          <w:szCs w:val="20"/>
        </w:rPr>
        <w:t>.</w:t>
      </w:r>
    </w:p>
    <w:p w14:paraId="36D15C28" w14:textId="77777777" w:rsidR="001F2C08" w:rsidRPr="000565B4" w:rsidRDefault="001F2C08" w:rsidP="001F2C08">
      <w:pPr>
        <w:spacing w:after="0" w:line="276" w:lineRule="auto"/>
        <w:jc w:val="both"/>
        <w:rPr>
          <w:rFonts w:ascii="Verdana" w:eastAsia="Verdana" w:hAnsi="Verdana" w:cs="Verdana"/>
          <w:color w:val="000000"/>
          <w:sz w:val="20"/>
          <w:szCs w:val="20"/>
        </w:rPr>
      </w:pPr>
    </w:p>
    <w:p w14:paraId="18C92966" w14:textId="32932CE0" w:rsidR="001F2C08" w:rsidRPr="000565B4" w:rsidRDefault="001F2C08" w:rsidP="001F2C08">
      <w:pPr>
        <w:spacing w:after="120" w:line="276" w:lineRule="auto"/>
        <w:ind w:firstLine="708"/>
        <w:jc w:val="both"/>
        <w:rPr>
          <w:rFonts w:ascii="Verdana" w:eastAsia="Verdana" w:hAnsi="Verdana" w:cs="Verdana"/>
          <w:color w:val="000000"/>
        </w:rPr>
      </w:pPr>
      <w:r w:rsidRPr="000565B4">
        <w:rPr>
          <w:rFonts w:ascii="Verdana" w:eastAsia="Verdana" w:hAnsi="Verdana" w:cs="Verdana"/>
          <w:color w:val="000000"/>
        </w:rPr>
        <w:t xml:space="preserve">Como se aprecia, el principio </w:t>
      </w:r>
      <w:r w:rsidRPr="000565B4">
        <w:rPr>
          <w:rFonts w:ascii="Verdana" w:eastAsia="Verdana" w:hAnsi="Verdana" w:cs="Verdana"/>
          <w:i/>
          <w:color w:val="000000"/>
        </w:rPr>
        <w:t>pro libertate</w:t>
      </w:r>
      <w:r w:rsidRPr="000565B4">
        <w:rPr>
          <w:rFonts w:ascii="Verdana" w:eastAsia="Verdana" w:hAnsi="Verdana" w:cs="Verdana"/>
          <w:color w:val="000000"/>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 Corte Constitucional ha resaltado que la competencia para determinar qué hechos o situaciones generan inhabilidades o incompatibilidades para contratar con el Estado la tiene el legislador, pues este régimen es un aspecto propio del </w:t>
      </w:r>
      <w:r w:rsidR="00B91F5E">
        <w:rPr>
          <w:rFonts w:ascii="Verdana" w:eastAsia="Verdana" w:hAnsi="Verdana" w:cs="Verdana"/>
          <w:color w:val="000000"/>
        </w:rPr>
        <w:t>EGCAP</w:t>
      </w:r>
      <w:r w:rsidRPr="000565B4">
        <w:rPr>
          <w:rFonts w:ascii="Verdana" w:eastAsia="Verdana" w:hAnsi="Verdana" w:cs="Verdana"/>
          <w:color w:val="000000"/>
        </w:rPr>
        <w:t>, cuya expedición compete al Congreso de la República, conforme al artículo 150 de la Constitución Política, y que en esta materia rige el principio de legalidad</w:t>
      </w:r>
      <w:r w:rsidRPr="000565B4">
        <w:rPr>
          <w:rFonts w:ascii="Verdana" w:eastAsia="Verdana" w:hAnsi="Verdana" w:cs="Verdana"/>
          <w:color w:val="000000"/>
          <w:vertAlign w:val="superscript"/>
        </w:rPr>
        <w:footnoteReference w:id="14"/>
      </w:r>
    </w:p>
    <w:p w14:paraId="7845F0BD" w14:textId="77777777" w:rsidR="001F2C08" w:rsidRPr="007C2393" w:rsidRDefault="001F2C08" w:rsidP="00BB6F0B">
      <w:pPr>
        <w:pBdr>
          <w:top w:val="nil"/>
          <w:left w:val="nil"/>
          <w:bottom w:val="nil"/>
          <w:right w:val="nil"/>
          <w:between w:val="nil"/>
        </w:pBdr>
        <w:spacing w:after="120" w:line="276" w:lineRule="auto"/>
        <w:ind w:firstLine="709"/>
        <w:jc w:val="both"/>
        <w:rPr>
          <w:rFonts w:ascii="Verdana" w:eastAsia="Verdana" w:hAnsi="Verdana" w:cs="Verdana"/>
          <w:color w:val="000000"/>
        </w:rPr>
      </w:pPr>
      <w:r w:rsidRPr="000565B4">
        <w:rPr>
          <w:rFonts w:ascii="Verdana" w:eastAsia="Verdana" w:hAnsi="Verdana" w:cs="Verdana"/>
          <w:highlight w:val="white"/>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0565B4">
        <w:rPr>
          <w:rFonts w:ascii="Verdana" w:eastAsia="Verdana" w:hAnsi="Verdana" w:cs="Verdana"/>
          <w:highlight w:val="white"/>
          <w:vertAlign w:val="superscript"/>
        </w:rPr>
        <w:footnoteReference w:id="15"/>
      </w:r>
      <w:r w:rsidRPr="000565B4">
        <w:rPr>
          <w:rFonts w:ascii="Verdana" w:eastAsia="Verdana" w:hAnsi="Verdana" w:cs="Verdana"/>
          <w:highlight w:val="white"/>
        </w:rPr>
        <w:t xml:space="preserve"> En similar sentido, la Sala de Consulta y Servicio Civil del Consejo de Estado expresó </w:t>
      </w:r>
      <w:r w:rsidRPr="000565B4">
        <w:rPr>
          <w:rFonts w:ascii="Verdana" w:eastAsia="Verdana" w:hAnsi="Verdana" w:cs="Verdana"/>
          <w:color w:val="000000"/>
          <w:highlight w:val="white"/>
        </w:rPr>
        <w:t xml:space="preserve">que “[…] las </w:t>
      </w:r>
      <w:r w:rsidRPr="000565B4">
        <w:rPr>
          <w:rFonts w:ascii="Verdana" w:eastAsia="Verdana" w:hAnsi="Verdana" w:cs="Verdana"/>
          <w:color w:val="000000"/>
          <w:highlight w:val="white"/>
        </w:rPr>
        <w:lastRenderedPageBreak/>
        <w:t>causales de inhabilidad e incompatibilidad deben estar expresa y taxativamente establecidas en la Constitución o en la ley y son de aplicación e interpretación restrictivas […]”</w:t>
      </w:r>
      <w:r w:rsidRPr="000565B4">
        <w:rPr>
          <w:rFonts w:ascii="Verdana" w:eastAsia="Verdana" w:hAnsi="Verdana" w:cs="Verdana"/>
          <w:color w:val="000000"/>
          <w:highlight w:val="white"/>
          <w:vertAlign w:val="superscript"/>
        </w:rPr>
        <w:footnoteReference w:id="16"/>
      </w:r>
      <w:r w:rsidRPr="000565B4">
        <w:rPr>
          <w:rFonts w:ascii="Verdana" w:eastAsia="Verdana" w:hAnsi="Verdana" w:cs="Verdana"/>
          <w:color w:val="000000"/>
          <w:highlight w:val="white"/>
        </w:rPr>
        <w:t xml:space="preserve">. Como se observa, existe consenso, incluso como lo ha expresado esta Agencia en ocasiones anteriores, que la creación de inhabilidades </w:t>
      </w:r>
      <w:r w:rsidRPr="007C2393">
        <w:rPr>
          <w:rFonts w:ascii="Verdana" w:eastAsia="Verdana" w:hAnsi="Verdana" w:cs="Verdana"/>
          <w:color w:val="000000"/>
        </w:rPr>
        <w:t>o incompatibilidades está reservada al constituyente o al legislador.</w:t>
      </w:r>
    </w:p>
    <w:p w14:paraId="49E694DB" w14:textId="6E6B1E79" w:rsidR="000F4739" w:rsidRPr="000565B4" w:rsidRDefault="001F2C08" w:rsidP="007C2393">
      <w:pPr>
        <w:pBdr>
          <w:top w:val="nil"/>
          <w:left w:val="nil"/>
          <w:bottom w:val="nil"/>
          <w:right w:val="nil"/>
          <w:between w:val="nil"/>
        </w:pBdr>
        <w:spacing w:after="120" w:line="276" w:lineRule="auto"/>
        <w:ind w:firstLine="709"/>
        <w:jc w:val="both"/>
        <w:rPr>
          <w:rFonts w:ascii="Verdana" w:eastAsia="Verdana" w:hAnsi="Verdana" w:cs="Verdana"/>
          <w:color w:val="000000"/>
        </w:rPr>
      </w:pPr>
      <w:r w:rsidRPr="000565B4">
        <w:rPr>
          <w:rFonts w:ascii="Verdana" w:eastAsia="Verdana" w:hAnsi="Verdana" w:cs="Verdana"/>
          <w:color w:val="000000"/>
        </w:rPr>
        <w:t xml:space="preserve">Por otra parte, frente </w:t>
      </w:r>
      <w:r w:rsidR="00815F9B" w:rsidRPr="000565B4">
        <w:rPr>
          <w:rFonts w:ascii="Verdana" w:eastAsia="Verdana" w:hAnsi="Verdana" w:cs="Verdana"/>
          <w:color w:val="000000"/>
        </w:rPr>
        <w:t>a las</w:t>
      </w:r>
      <w:r w:rsidRPr="000565B4">
        <w:rPr>
          <w:rFonts w:ascii="Verdana" w:eastAsia="Verdana" w:hAnsi="Verdana" w:cs="Verdana"/>
          <w:color w:val="000000"/>
        </w:rPr>
        <w:t xml:space="preserve"> inhabilidades o incompatibilidades que tienen carácter sobreviniente, es necesario tener en cuenta que el ordenamiento jurídico trata de manera distinta al oferente, al adjudicatario y al contratista. </w:t>
      </w:r>
      <w:r w:rsidRPr="000565B4">
        <w:rPr>
          <w:rFonts w:ascii="Verdana" w:eastAsia="Verdana" w:hAnsi="Verdana" w:cs="Verdana"/>
          <w:i/>
          <w:color w:val="000000"/>
        </w:rPr>
        <w:t>Respecto al oferente</w:t>
      </w:r>
      <w:r w:rsidRPr="000565B4">
        <w:rPr>
          <w:rFonts w:ascii="Verdana" w:eastAsia="Verdana" w:hAnsi="Verdana" w:cs="Verdana"/>
          <w:color w:val="000000"/>
        </w:rPr>
        <w:t>, el inciso segundo del artículo 9 de la Ley 80 de 1993 dispone que “Cuando la inhabilidad o incompatibilidad sobrevenga en un proponente dentro de un proceso de selección, se entenderá que renuncia a la participación en el proceso de selección y a los derechos surgidos del mismo”.</w:t>
      </w:r>
      <w:r w:rsidR="000F4739">
        <w:rPr>
          <w:rFonts w:ascii="Verdana" w:eastAsia="Verdana" w:hAnsi="Verdana" w:cs="Verdana"/>
          <w:color w:val="000000"/>
        </w:rPr>
        <w:t xml:space="preserve"> </w:t>
      </w:r>
    </w:p>
    <w:p w14:paraId="53F05886" w14:textId="1274949A" w:rsidR="001F2C08" w:rsidRPr="000565B4" w:rsidRDefault="001F2C08" w:rsidP="00584DA6">
      <w:pPr>
        <w:pBdr>
          <w:top w:val="nil"/>
          <w:left w:val="nil"/>
          <w:bottom w:val="nil"/>
          <w:right w:val="nil"/>
          <w:between w:val="nil"/>
        </w:pBdr>
        <w:spacing w:after="120" w:line="276" w:lineRule="auto"/>
        <w:ind w:firstLine="709"/>
        <w:jc w:val="both"/>
        <w:rPr>
          <w:rFonts w:ascii="Verdana" w:eastAsia="Verdana" w:hAnsi="Verdana" w:cs="Verdana"/>
          <w:color w:val="000000"/>
        </w:rPr>
      </w:pPr>
      <w:r w:rsidRPr="000565B4">
        <w:rPr>
          <w:rFonts w:ascii="Verdana" w:eastAsia="Verdana" w:hAnsi="Verdana" w:cs="Verdana"/>
          <w:color w:val="000000"/>
        </w:rPr>
        <w:t>Dicha presunción de renuncia a la participación y a los derechos surgidos del mismo, en caso de contar con resolución de adjudicación, debe interpretarse en conjunto con el artículo 9 de la Ley 1150 de 2007, el cual consagra dos (2)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que el acto se obtuvo por medios ilegales, caso en el cual, “la entidad podrá aplicar lo previsto en el inciso final del numeral 12 del artículo 30 de la Ley 80 de 1993”.</w:t>
      </w:r>
      <w:r w:rsidR="000F4739">
        <w:rPr>
          <w:rFonts w:ascii="Verdana" w:eastAsia="Verdana" w:hAnsi="Verdana" w:cs="Verdana"/>
          <w:color w:val="000000"/>
        </w:rPr>
        <w:t xml:space="preserve"> </w:t>
      </w:r>
      <w:r w:rsidRPr="000565B4">
        <w:rPr>
          <w:rFonts w:ascii="Verdana" w:eastAsia="Verdana" w:hAnsi="Verdana" w:cs="Verdana"/>
          <w:color w:val="000000"/>
        </w:rPr>
        <w:t>La segunda regla, trata de aquellos casos en que la Entidad Estatal declare la caducidad del contrato y se encuentre pendiente de ejecución un porcentaje igual o superior al cincuenta por ciento (50%) del mismo, la norma indica que la Entidad Estatal podrá contratar al proponente calificado en el segundo lugar en el proceso de selección respectivo, previa revisión de las condiciones a que haya lugar, con excepción de los contratos de concesión.</w:t>
      </w:r>
    </w:p>
    <w:p w14:paraId="4680FE1F" w14:textId="1D759876" w:rsidR="001F2C08" w:rsidRPr="000565B4" w:rsidRDefault="001F2C08" w:rsidP="001F2C08">
      <w:pPr>
        <w:spacing w:after="0" w:line="276" w:lineRule="auto"/>
        <w:ind w:firstLine="708"/>
        <w:jc w:val="both"/>
        <w:rPr>
          <w:rFonts w:ascii="Verdana" w:eastAsia="Verdana" w:hAnsi="Verdana" w:cs="Verdana"/>
          <w:color w:val="000000"/>
        </w:rPr>
      </w:pPr>
      <w:r w:rsidRPr="000565B4">
        <w:rPr>
          <w:rFonts w:ascii="Verdana" w:eastAsia="Verdana" w:hAnsi="Verdana" w:cs="Verdana"/>
          <w:color w:val="000000"/>
        </w:rPr>
        <w:t xml:space="preserve">En relación </w:t>
      </w:r>
      <w:r w:rsidRPr="000565B4">
        <w:rPr>
          <w:rFonts w:ascii="Verdana" w:eastAsia="Verdana" w:hAnsi="Verdana" w:cs="Verdana"/>
          <w:i/>
          <w:iCs/>
          <w:color w:val="000000"/>
        </w:rPr>
        <w:t>al contratista</w:t>
      </w:r>
      <w:r w:rsidRPr="000565B4">
        <w:rPr>
          <w:rFonts w:ascii="Verdana" w:eastAsia="Verdana" w:hAnsi="Verdana" w:cs="Verdana"/>
          <w:color w:val="000000"/>
        </w:rPr>
        <w:t xml:space="preserve">, el inciso primero del artículo 9 de la Ley 80 de 1993 dispone que “Si llegare a sobrevenir inhabilidad o incompatibilidad en el contratista, este cederá el contrato previa autorización escrita de la entidad contratante o, si ello no fuere posible, renunciará a su ejecución”. El inciso tercero </w:t>
      </w:r>
      <w:r w:rsidRPr="000565B4">
        <w:rPr>
          <w:rFonts w:ascii="Verdana" w:eastAsia="Verdana" w:hAnsi="Verdana" w:cs="Verdana"/>
          <w:i/>
          <w:iCs/>
          <w:color w:val="000000"/>
        </w:rPr>
        <w:t>ibidem</w:t>
      </w:r>
      <w:r w:rsidRPr="000565B4">
        <w:rPr>
          <w:rFonts w:ascii="Verdana" w:eastAsia="Verdana" w:hAnsi="Verdana" w:cs="Verdana"/>
          <w:color w:val="000000"/>
        </w:rPr>
        <w:t xml:space="preserve"> agrega lo siguiente: “Si la inhabilidad o incompatibilidad </w:t>
      </w:r>
      <w:r w:rsidRPr="000565B4">
        <w:rPr>
          <w:rFonts w:ascii="Verdana" w:eastAsia="Verdana" w:hAnsi="Verdana" w:cs="Verdana"/>
          <w:color w:val="000000"/>
        </w:rPr>
        <w:lastRenderedPageBreak/>
        <w:t xml:space="preserve">sobreviene en uno de los miembros de un consorcio o unión temporal, este cederá su participación a un tercero previa autorización escrita de la entidad contratante. En ningún caso podrá haber cesión del contrato entre quienes integran el consorcio o unión temporal”. </w:t>
      </w:r>
      <w:r w:rsidR="005847AD">
        <w:rPr>
          <w:rFonts w:ascii="Verdana" w:eastAsia="Verdana" w:hAnsi="Verdana" w:cs="Verdana"/>
          <w:color w:val="000000"/>
        </w:rPr>
        <w:t>Sobre</w:t>
      </w:r>
      <w:r w:rsidRPr="000565B4">
        <w:rPr>
          <w:rFonts w:ascii="Verdana" w:eastAsia="Verdana" w:hAnsi="Verdana" w:cs="Verdana"/>
          <w:color w:val="000000"/>
        </w:rPr>
        <w:t xml:space="preserve"> este último supuesto, la doctrina expresa:</w:t>
      </w:r>
    </w:p>
    <w:p w14:paraId="5DA1C540" w14:textId="77777777" w:rsidR="001F2C08" w:rsidRPr="000565B4" w:rsidRDefault="001F2C08" w:rsidP="001F2C08">
      <w:pPr>
        <w:spacing w:after="0" w:line="276" w:lineRule="auto"/>
        <w:ind w:firstLine="708"/>
        <w:jc w:val="both"/>
        <w:rPr>
          <w:rFonts w:ascii="Verdana" w:eastAsia="Verdana" w:hAnsi="Verdana" w:cs="Verdana"/>
          <w:color w:val="000000"/>
        </w:rPr>
      </w:pPr>
    </w:p>
    <w:p w14:paraId="221907DC" w14:textId="77777777" w:rsidR="001F2C08" w:rsidRPr="000565B4" w:rsidRDefault="001F2C08" w:rsidP="001F2C08">
      <w:pP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sz w:val="20"/>
          <w:szCs w:val="20"/>
        </w:rPr>
        <w:t>“</w:t>
      </w:r>
      <w:r w:rsidRPr="000565B4">
        <w:rPr>
          <w:rFonts w:ascii="Verdana" w:eastAsia="Verdana" w:hAnsi="Verdana" w:cs="Verdana"/>
          <w:color w:val="000000"/>
          <w:sz w:val="20"/>
          <w:szCs w:val="20"/>
        </w:rPr>
        <w:t>Es de resaltar que en este supuesto se está en presencia de una cesión de contrato y no, simplemente, de la cesión de la participación que tiene uno de los integrantes en el consorcio o unión temporal, a favor de un tercero. Esto es así, por cuanto existe una mutación subjetiva en una de las partes de la relación contractual: en efecto, el consorcio o la unión temporal que inicialmente se integra por A, B y C, deja de ser tal, al integrarse, luego de la cesión de A a favor de Z, por los siguientes sujetos: Z, B y C. Esta inferencia es relevante, pues en caso de que se admita que en dicho supuesto no existe cesión de contrato, se habilita la desintegración interna del consorcio, sin que la administración pueda tener control respecto del cambio, lo que desconoce lo dispuesto por el inciso tercero del Artículo 41 de la Ley 80 de 1993. Piénsese, por ejemplo, que en el consorcio o unión temporal que se integra por A, B y C, cada uno de ellos cede su participación respectivamente, a favor de Z, X y Y; en este supuesto, por una voluntad autónoma de A, B y C, este consorcio o unión temporal desaparece para dar al conformado por Z, X y Y</w:t>
      </w:r>
      <w:r w:rsidRPr="000565B4">
        <w:rPr>
          <w:rFonts w:ascii="Verdana" w:eastAsia="Verdana" w:hAnsi="Verdana" w:cs="Verdana"/>
          <w:color w:val="000000"/>
          <w:sz w:val="20"/>
          <w:szCs w:val="20"/>
          <w:vertAlign w:val="superscript"/>
        </w:rPr>
        <w:footnoteReference w:id="17"/>
      </w:r>
      <w:r w:rsidRPr="000565B4">
        <w:rPr>
          <w:rFonts w:ascii="Verdana" w:eastAsia="Verdana" w:hAnsi="Verdana" w:cs="Verdana"/>
          <w:sz w:val="21"/>
          <w:szCs w:val="21"/>
        </w:rPr>
        <w:t>[…]”</w:t>
      </w:r>
      <w:r w:rsidRPr="000565B4">
        <w:rPr>
          <w:rFonts w:ascii="Verdana" w:eastAsia="Verdana" w:hAnsi="Verdana" w:cs="Verdana"/>
          <w:color w:val="000000"/>
          <w:sz w:val="20"/>
          <w:szCs w:val="20"/>
        </w:rPr>
        <w:t xml:space="preserve">. </w:t>
      </w:r>
    </w:p>
    <w:p w14:paraId="354F5412" w14:textId="77777777" w:rsidR="001F2C08" w:rsidRPr="00584DA6" w:rsidRDefault="001F2C08" w:rsidP="00584DA6">
      <w:pPr>
        <w:spacing w:after="0" w:line="276" w:lineRule="auto"/>
        <w:ind w:left="709" w:right="709"/>
        <w:jc w:val="both"/>
        <w:rPr>
          <w:rFonts w:ascii="Verdana" w:eastAsia="Verdana" w:hAnsi="Verdana" w:cs="Verdana"/>
          <w:color w:val="000000"/>
        </w:rPr>
      </w:pPr>
    </w:p>
    <w:p w14:paraId="3F590584" w14:textId="77777777" w:rsidR="001F2C08" w:rsidRPr="000565B4" w:rsidRDefault="001F2C08" w:rsidP="001F2C08">
      <w:pPr>
        <w:spacing w:after="120" w:line="276" w:lineRule="auto"/>
        <w:ind w:firstLine="708"/>
        <w:jc w:val="both"/>
        <w:rPr>
          <w:rFonts w:ascii="Verdana" w:eastAsia="Verdana" w:hAnsi="Verdana" w:cs="Verdana"/>
          <w:color w:val="000000"/>
        </w:rPr>
      </w:pPr>
      <w:r w:rsidRPr="000565B4">
        <w:rPr>
          <w:rFonts w:ascii="Verdana" w:eastAsia="Verdana" w:hAnsi="Verdana" w:cs="Verdana"/>
        </w:rPr>
        <w:t>En este escenario, en el que la inhabilidad o incompatibilidad sobreviene en uno de los miembros de un consorcio o unión temporal, este deberá ceder su participación a un tercero previa autorización escrita de la entidad contratante, lo cual implica que la continuidad del contrato solo puede asegurarse mediante una cesión externa, autorizada de manera previa, expresa y formal por la entidad, conforme a las exigencias del inciso tercero del artículo 41 de la Ley 80 de 1993</w:t>
      </w:r>
      <w:r w:rsidRPr="000565B4">
        <w:rPr>
          <w:rFonts w:ascii="Verdana" w:eastAsia="Verdana" w:hAnsi="Verdana" w:cs="Verdana"/>
          <w:vertAlign w:val="superscript"/>
        </w:rPr>
        <w:footnoteReference w:id="18"/>
      </w:r>
      <w:r w:rsidRPr="000565B4">
        <w:rPr>
          <w:rFonts w:ascii="Verdana" w:eastAsia="Verdana" w:hAnsi="Verdana" w:cs="Verdana"/>
        </w:rPr>
        <w:t xml:space="preserve">. Así mismo, la expresión según la cual “en ningún caso podrá haber cesión del contrato entre quienes integran el consorcio o unión temporal” significa que los miembros de estas figuras asociativas no pueden transferirse entre sí la participación contractual ni redistribuir internamente las obligaciones, porcentajes o derechos derivados del contrato estatal. </w:t>
      </w:r>
      <w:r w:rsidRPr="000565B4">
        <w:t xml:space="preserve">     </w:t>
      </w:r>
    </w:p>
    <w:p w14:paraId="4BA77D87" w14:textId="77777777" w:rsidR="00736982" w:rsidRDefault="001F2C08" w:rsidP="001F2C08">
      <w:pPr>
        <w:spacing w:after="120" w:line="276" w:lineRule="auto"/>
        <w:ind w:firstLine="708"/>
        <w:jc w:val="both"/>
        <w:rPr>
          <w:rFonts w:ascii="Verdana" w:eastAsia="Verdana" w:hAnsi="Verdana" w:cs="Verdana"/>
        </w:rPr>
      </w:pPr>
      <w:r w:rsidRPr="000565B4">
        <w:rPr>
          <w:rFonts w:ascii="Verdana" w:eastAsia="Verdana" w:hAnsi="Verdana" w:cs="Verdana"/>
        </w:rPr>
        <w:t xml:space="preserve">En efecto, la jurisprudencia constitucional ha precisado el alcance del artículo 9 de la Ley 80 de 1993 y el régimen aplicable a las inhabilidades e </w:t>
      </w:r>
      <w:r w:rsidRPr="000565B4">
        <w:rPr>
          <w:rFonts w:ascii="Verdana" w:eastAsia="Verdana" w:hAnsi="Verdana" w:cs="Verdana"/>
        </w:rPr>
        <w:lastRenderedPageBreak/>
        <w:t xml:space="preserve">incompatibilidades sobrevinientes. En la Sentencia C-221 de 1996, la Corte Constitucional explicó que, dado que estas circunstancias no siempre se presentan antes de la celebración del contrato, el legislador debía establecer reglas claras para los eventos en que surgieran en la etapa de ejecución contractual. Bajo ese entendimiento, declaró ajustada a la Constitución la obligación del contratista afectado por una inhabilidad sobreviniente de ceder el contrato, previa autorización de la entidad estatal, o renunciar a su ejecución cuando ello no fuere posible, así como la obligación especial para el integrante de un consorcio o unión temporal de ceder su participación a un tercero cuando la causal recaiga exclusivamente sobre uno de sus miembros - evento en el cual no es posible la renuncia-. La Corte resaltó que estas medidas no tienen naturaleza sancionatoria, ni dependen de la culpabilidad o de la voluntad del contratista, sino que constituyen reglas objetivas encaminadas a impedir que quien se encuentra incurso en una causal de inhabilidad o incompatibilidad continúe vinculado con el Estado, preservando la moralidad, la transparencia y la integridad de la contratación pública. </w:t>
      </w:r>
    </w:p>
    <w:p w14:paraId="55355DA9" w14:textId="73877BC8" w:rsidR="001F2C08" w:rsidRDefault="001F2C08" w:rsidP="00736982">
      <w:pPr>
        <w:spacing w:after="0" w:line="276" w:lineRule="auto"/>
        <w:ind w:firstLine="708"/>
        <w:jc w:val="both"/>
        <w:rPr>
          <w:rFonts w:ascii="Verdana" w:eastAsia="Verdana" w:hAnsi="Verdana" w:cs="Verdana"/>
          <w:color w:val="EE0000"/>
        </w:rPr>
      </w:pPr>
      <w:r w:rsidRPr="000565B4">
        <w:rPr>
          <w:rFonts w:ascii="Verdana" w:eastAsia="Verdana" w:hAnsi="Verdana" w:cs="Verdana"/>
        </w:rPr>
        <w:t xml:space="preserve">En consecuencia, la obligación de ceder o renunciar responde a una finalidad eminentemente institucional, orientada a garantizar que la ejecución del contrato continúe desarrollándose conforme a los principios que rigen la función administrativa: </w:t>
      </w:r>
      <w:r w:rsidRPr="000565B4">
        <w:rPr>
          <w:rFonts w:ascii="Verdana" w:eastAsia="Verdana" w:hAnsi="Verdana" w:cs="Verdana"/>
          <w:color w:val="EE0000"/>
        </w:rPr>
        <w:t xml:space="preserve">     </w:t>
      </w:r>
    </w:p>
    <w:p w14:paraId="2FA49C65" w14:textId="77777777" w:rsidR="00736982" w:rsidRPr="000565B4" w:rsidRDefault="00736982" w:rsidP="00584DA6">
      <w:pPr>
        <w:spacing w:after="0" w:line="276" w:lineRule="auto"/>
        <w:ind w:firstLine="708"/>
        <w:jc w:val="both"/>
        <w:rPr>
          <w:rFonts w:ascii="Verdana" w:eastAsia="Verdana" w:hAnsi="Verdana" w:cs="Verdana"/>
          <w:color w:val="EE0000"/>
        </w:rPr>
      </w:pPr>
    </w:p>
    <w:p w14:paraId="7B570BE2" w14:textId="104524AD" w:rsidR="001F2C08" w:rsidRPr="000565B4" w:rsidRDefault="00736982" w:rsidP="00053EA3">
      <w:pPr>
        <w:spacing w:after="0" w:line="240" w:lineRule="auto"/>
        <w:ind w:left="709" w:right="709"/>
        <w:jc w:val="both"/>
        <w:rPr>
          <w:rFonts w:ascii="Verdana" w:eastAsia="Verdana" w:hAnsi="Verdana" w:cs="Verdana"/>
          <w:color w:val="000000"/>
          <w:sz w:val="20"/>
          <w:szCs w:val="20"/>
          <w:highlight w:val="white"/>
        </w:rPr>
      </w:pPr>
      <w:r>
        <w:rPr>
          <w:rFonts w:ascii="Verdana" w:eastAsia="Verdana" w:hAnsi="Verdana" w:cs="Verdana"/>
          <w:color w:val="000000"/>
          <w:sz w:val="20"/>
          <w:szCs w:val="20"/>
          <w:highlight w:val="white"/>
        </w:rPr>
        <w:t>“</w:t>
      </w:r>
      <w:r w:rsidR="001F2C08" w:rsidRPr="000565B4">
        <w:rPr>
          <w:rFonts w:ascii="Verdana" w:eastAsia="Verdana" w:hAnsi="Verdana" w:cs="Verdana"/>
          <w:color w:val="000000"/>
          <w:sz w:val="20"/>
          <w:szCs w:val="20"/>
          <w:highlight w:val="white"/>
        </w:rPr>
        <w:t xml:space="preserve">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w:t>
      </w:r>
      <w:r w:rsidR="001F2C08" w:rsidRPr="000565B4">
        <w:rPr>
          <w:rFonts w:ascii="Verdana" w:eastAsia="Verdana" w:hAnsi="Verdana" w:cs="Verdana"/>
          <w:sz w:val="20"/>
          <w:szCs w:val="20"/>
          <w:highlight w:val="white"/>
        </w:rPr>
        <w:t>aquello</w:t>
      </w:r>
      <w:r w:rsidR="001F2C08" w:rsidRPr="000565B4">
        <w:rPr>
          <w:rFonts w:ascii="Verdana" w:eastAsia="Verdana" w:hAnsi="Verdana" w:cs="Verdana"/>
          <w:color w:val="000000"/>
          <w:sz w:val="20"/>
          <w:szCs w:val="20"/>
          <w:highlight w:val="white"/>
        </w:rPr>
        <w:t xml:space="preserve">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w:t>
      </w:r>
      <w:r>
        <w:rPr>
          <w:rFonts w:ascii="Verdana" w:eastAsia="Verdana" w:hAnsi="Verdana" w:cs="Verdana"/>
          <w:color w:val="000000"/>
          <w:sz w:val="20"/>
          <w:szCs w:val="20"/>
          <w:highlight w:val="white"/>
        </w:rPr>
        <w:t>”</w:t>
      </w:r>
      <w:r w:rsidR="001F2C08" w:rsidRPr="000565B4">
        <w:rPr>
          <w:rFonts w:ascii="Verdana" w:eastAsia="Verdana" w:hAnsi="Verdana" w:cs="Verdana"/>
          <w:color w:val="000000"/>
          <w:sz w:val="20"/>
          <w:szCs w:val="20"/>
          <w:highlight w:val="white"/>
          <w:vertAlign w:val="superscript"/>
        </w:rPr>
        <w:footnoteReference w:id="19"/>
      </w:r>
      <w:r w:rsidR="001F2C08" w:rsidRPr="000565B4">
        <w:rPr>
          <w:rFonts w:ascii="Verdana" w:eastAsia="Verdana" w:hAnsi="Verdana" w:cs="Verdana"/>
          <w:color w:val="000000"/>
          <w:sz w:val="20"/>
          <w:szCs w:val="20"/>
          <w:highlight w:val="white"/>
        </w:rPr>
        <w:t xml:space="preserve">. </w:t>
      </w:r>
    </w:p>
    <w:p w14:paraId="4127B876" w14:textId="77777777" w:rsidR="001F2C08" w:rsidRPr="000565B4" w:rsidRDefault="001F2C08" w:rsidP="00584DA6">
      <w:pPr>
        <w:spacing w:after="0" w:line="240" w:lineRule="auto"/>
        <w:ind w:right="709"/>
        <w:jc w:val="both"/>
        <w:rPr>
          <w:rFonts w:ascii="Verdana" w:eastAsia="Verdana" w:hAnsi="Verdana" w:cs="Verdana"/>
          <w:color w:val="000000"/>
          <w:sz w:val="20"/>
          <w:szCs w:val="20"/>
          <w:highlight w:val="white"/>
        </w:rPr>
      </w:pPr>
    </w:p>
    <w:p w14:paraId="1FFB6C76" w14:textId="7647D7FD" w:rsidR="00666255" w:rsidRDefault="001F2C08" w:rsidP="001F2C08">
      <w:pPr>
        <w:spacing w:after="120" w:line="276" w:lineRule="auto"/>
        <w:ind w:firstLine="708"/>
        <w:jc w:val="both"/>
        <w:rPr>
          <w:rFonts w:ascii="Verdana" w:eastAsia="Verdana" w:hAnsi="Verdana" w:cs="Verdana"/>
        </w:rPr>
      </w:pPr>
      <w:r w:rsidRPr="000565B4">
        <w:rPr>
          <w:rFonts w:ascii="Verdana" w:eastAsia="Verdana" w:hAnsi="Verdana" w:cs="Verdana"/>
        </w:rPr>
        <w:t xml:space="preserve">Ahora bien, el régimen descrito corresponde a la regla general aplicable a las inhabilidades e incompatibilidades sobrevinientes. El legislador estableció, sin embargo, un tratamiento especial para la inhabilidad prevista en el literal j) </w:t>
      </w:r>
      <w:r w:rsidRPr="000565B4">
        <w:rPr>
          <w:rFonts w:ascii="Verdana" w:eastAsia="Verdana" w:hAnsi="Verdana" w:cs="Verdana"/>
        </w:rPr>
        <w:lastRenderedPageBreak/>
        <w:t xml:space="preserve">del numeral 1 del artículo 8 de la Ley 80 de 1993, mediante el parágrafo 1º del artículo 9 </w:t>
      </w:r>
      <w:r w:rsidR="00A87404">
        <w:rPr>
          <w:rFonts w:ascii="Verdana" w:eastAsia="Verdana" w:hAnsi="Verdana" w:cs="Verdana"/>
          <w:i/>
          <w:iCs/>
        </w:rPr>
        <w:t>i</w:t>
      </w:r>
      <w:r w:rsidRPr="000565B4">
        <w:rPr>
          <w:rFonts w:ascii="Verdana" w:eastAsia="Verdana" w:hAnsi="Verdana" w:cs="Verdana"/>
          <w:i/>
          <w:iCs/>
        </w:rPr>
        <w:t>bídem</w:t>
      </w:r>
      <w:r w:rsidRPr="000565B4">
        <w:rPr>
          <w:rFonts w:ascii="Verdana" w:eastAsia="Verdana" w:hAnsi="Verdana" w:cs="Verdana"/>
        </w:rPr>
        <w:t xml:space="preserve">, adicionado por el artículo 6 de la Ley 2014 de 2019, en el marco del fortalecimiento de las medidas de lucha contra la corrupción en la contratación estatal. En dicho supuesto, el ordenamiento excluyó la aplicación de los mecanismos ordinarios de conservación del vínculo contractual, previendo consecuencias más severas frente al contratista o al integrante del esquema asociativo incurso en la causal. </w:t>
      </w:r>
    </w:p>
    <w:p w14:paraId="2BDC553E" w14:textId="29FE687E" w:rsidR="001F2C08" w:rsidRPr="000565B4" w:rsidRDefault="001F2C08" w:rsidP="001F2C08">
      <w:pPr>
        <w:spacing w:after="120" w:line="276" w:lineRule="auto"/>
        <w:ind w:firstLine="708"/>
        <w:jc w:val="both"/>
        <w:rPr>
          <w:rFonts w:ascii="Verdana" w:eastAsia="Verdana" w:hAnsi="Verdana" w:cs="Verdana"/>
        </w:rPr>
      </w:pPr>
      <w:r w:rsidRPr="000565B4">
        <w:rPr>
          <w:rFonts w:ascii="Verdana" w:eastAsia="Verdana" w:hAnsi="Verdana" w:cs="Verdana"/>
        </w:rPr>
        <w:t>Como la consulta delimitó expresamente su objeto a las inhabilidades sobrevinientes distintas de la contemplada en el referido literal j), las consideraciones del presente concepto se circunscriben al régimen general, sin que resulten extensibles a los eventos comprendidos en el régimen especial mencionado. Esta delimitación es, además, consistente con el carácter taxativo y de interpretación restrictiva del régimen de inhabilidades, pues impide trasladar a la regla general las consecuencias agravadas que el legislador reservó para un supuesto específico.</w:t>
      </w:r>
    </w:p>
    <w:p w14:paraId="3EBF0537" w14:textId="0B7CB7AC" w:rsidR="001F2C08" w:rsidRPr="000565B4" w:rsidRDefault="001F2C08" w:rsidP="00584DA6">
      <w:pPr>
        <w:spacing w:after="0" w:line="276" w:lineRule="auto"/>
        <w:ind w:firstLine="709"/>
        <w:jc w:val="both"/>
        <w:rPr>
          <w:rFonts w:ascii="Verdana" w:eastAsia="Verdana" w:hAnsi="Verdana" w:cs="Verdana"/>
          <w:highlight w:val="white"/>
        </w:rPr>
      </w:pPr>
      <w:r w:rsidRPr="000565B4">
        <w:rPr>
          <w:rFonts w:ascii="Verdana" w:eastAsia="Verdana" w:hAnsi="Verdana" w:cs="Verdana"/>
          <w:highlight w:val="white"/>
        </w:rPr>
        <w:t>Por otro lado</w:t>
      </w:r>
      <w:r w:rsidR="00666255">
        <w:rPr>
          <w:rFonts w:ascii="Verdana" w:eastAsia="Verdana" w:hAnsi="Verdana" w:cs="Verdana"/>
          <w:highlight w:val="white"/>
        </w:rPr>
        <w:t>,</w:t>
      </w:r>
      <w:r w:rsidRPr="000565B4">
        <w:rPr>
          <w:rFonts w:ascii="Verdana" w:eastAsia="Verdana" w:hAnsi="Verdana" w:cs="Verdana"/>
          <w:highlight w:val="white"/>
        </w:rPr>
        <w:t xml:space="preserve"> esta Agencia</w:t>
      </w:r>
      <w:r w:rsidRPr="000565B4">
        <w:rPr>
          <w:rFonts w:ascii="Verdana" w:eastAsia="Verdana" w:hAnsi="Verdana" w:cs="Verdana"/>
          <w:highlight w:val="white"/>
          <w:vertAlign w:val="superscript"/>
        </w:rPr>
        <w:footnoteReference w:id="20"/>
      </w:r>
      <w:r w:rsidRPr="000565B4">
        <w:rPr>
          <w:rFonts w:ascii="Verdana" w:eastAsia="Verdana" w:hAnsi="Verdana" w:cs="Verdana"/>
          <w:highlight w:val="white"/>
        </w:rPr>
        <w:t xml:space="preserve"> ha resaltado que 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subentra en la relación con el cedido […]”</w:t>
      </w:r>
      <w:r w:rsidRPr="000565B4">
        <w:rPr>
          <w:rFonts w:ascii="Verdana" w:eastAsia="Verdana" w:hAnsi="Verdana" w:cs="Verdana"/>
          <w:highlight w:val="white"/>
          <w:vertAlign w:val="superscript"/>
        </w:rPr>
        <w:footnoteReference w:id="21"/>
      </w:r>
      <w:r w:rsidRPr="000565B4">
        <w:rPr>
          <w:rFonts w:ascii="Verdana" w:eastAsia="Verdana" w:hAnsi="Verdana" w:cs="Verdana"/>
          <w:highlight w:val="white"/>
        </w:rPr>
        <w:t>. Por otro, “[…] es la transferencia de la posición contractual de un contratante a otro sujeto, que le subentra en la relación con la contraparte […]”</w:t>
      </w:r>
      <w:r w:rsidRPr="000565B4">
        <w:rPr>
          <w:rFonts w:ascii="Verdana" w:eastAsia="Verdana" w:hAnsi="Verdana" w:cs="Verdana"/>
          <w:highlight w:val="white"/>
          <w:vertAlign w:val="superscript"/>
        </w:rPr>
        <w:footnoteReference w:id="22"/>
      </w:r>
      <w:r w:rsidRPr="000565B4">
        <w:rPr>
          <w:rFonts w:ascii="Verdana" w:eastAsia="Verdana" w:hAnsi="Verdana" w:cs="Verdana"/>
          <w:highlight w:val="white"/>
        </w:rPr>
        <w:t>. De esta manera, concurren tres (3) sujetos: i) el cedente, esto es, el contratista inicial; ii) el cesionario, es decir, quien asume total o parcialmente los derechos y obligaciones de este último; y iii) el cedido que, en el caso de los contratos estatales, sería la entidad que suscribió el contrato.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4137D2B7" w14:textId="77777777" w:rsidR="001F2C08" w:rsidRPr="000565B4" w:rsidRDefault="001F2C08" w:rsidP="001F2C08">
      <w:pPr>
        <w:spacing w:after="0" w:line="276" w:lineRule="auto"/>
        <w:ind w:firstLine="708"/>
        <w:jc w:val="both"/>
        <w:rPr>
          <w:rFonts w:ascii="Verdana" w:eastAsia="Verdana" w:hAnsi="Verdana" w:cs="Verdana"/>
          <w:highlight w:val="white"/>
        </w:rPr>
      </w:pPr>
    </w:p>
    <w:p w14:paraId="159B981D" w14:textId="77777777" w:rsidR="001F2C08" w:rsidRPr="000565B4" w:rsidRDefault="001F2C08" w:rsidP="001F2C08">
      <w:pPr>
        <w:tabs>
          <w:tab w:val="left" w:pos="709"/>
        </w:tabs>
        <w:spacing w:after="0" w:line="240" w:lineRule="auto"/>
        <w:ind w:left="709" w:right="709"/>
        <w:jc w:val="both"/>
        <w:rPr>
          <w:rFonts w:ascii="Verdana" w:eastAsia="Verdana" w:hAnsi="Verdana" w:cs="Verdana"/>
          <w:sz w:val="20"/>
          <w:szCs w:val="20"/>
          <w:highlight w:val="white"/>
        </w:rPr>
      </w:pPr>
      <w:r w:rsidRPr="000565B4">
        <w:rPr>
          <w:rFonts w:ascii="Verdana" w:eastAsia="Verdana" w:hAnsi="Verdana" w:cs="Verdana"/>
          <w:sz w:val="20"/>
          <w:szCs w:val="20"/>
          <w:highlight w:val="white"/>
        </w:rPr>
        <w:t xml:space="preserve">“[…] cuando lo que se cede (o asume) es un contrato, el punto de partida es la presencia de uno o varios créditos y otras tantas obligaciones, </w:t>
      </w:r>
      <w:r w:rsidRPr="000565B4">
        <w:rPr>
          <w:rFonts w:ascii="Verdana" w:eastAsia="Verdana" w:hAnsi="Verdana" w:cs="Verdana"/>
          <w:sz w:val="20"/>
          <w:szCs w:val="20"/>
          <w:highlight w:val="white"/>
        </w:rPr>
        <w:lastRenderedPageBreak/>
        <w:t>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0565B4">
        <w:rPr>
          <w:rFonts w:ascii="Verdana" w:eastAsia="Verdana" w:hAnsi="Verdana" w:cs="Verdana"/>
          <w:sz w:val="20"/>
          <w:szCs w:val="20"/>
          <w:highlight w:val="white"/>
          <w:vertAlign w:val="superscript"/>
        </w:rPr>
        <w:footnoteReference w:id="23"/>
      </w:r>
      <w:r w:rsidRPr="000565B4">
        <w:rPr>
          <w:rFonts w:ascii="Verdana" w:eastAsia="Verdana" w:hAnsi="Verdana" w:cs="Verdana"/>
          <w:sz w:val="20"/>
          <w:szCs w:val="20"/>
          <w:highlight w:val="white"/>
        </w:rPr>
        <w:t>.</w:t>
      </w:r>
    </w:p>
    <w:p w14:paraId="0D275E04" w14:textId="77777777" w:rsidR="001F2C08" w:rsidRPr="000565B4" w:rsidRDefault="001F2C08" w:rsidP="001F2C08">
      <w:pPr>
        <w:spacing w:after="0" w:line="276" w:lineRule="auto"/>
        <w:ind w:firstLine="709"/>
        <w:jc w:val="both"/>
        <w:rPr>
          <w:rFonts w:ascii="Verdana" w:eastAsia="Verdana" w:hAnsi="Verdana" w:cs="Verdana"/>
          <w:highlight w:val="white"/>
        </w:rPr>
      </w:pPr>
    </w:p>
    <w:p w14:paraId="3A4E6BE3" w14:textId="3D35F813" w:rsidR="001F2C08" w:rsidRPr="000565B4" w:rsidRDefault="001F2C08" w:rsidP="001F2C08">
      <w:pPr>
        <w:spacing w:after="120" w:line="276" w:lineRule="auto"/>
        <w:ind w:firstLine="708"/>
        <w:jc w:val="both"/>
        <w:rPr>
          <w:rFonts w:ascii="Verdana" w:eastAsia="Verdana" w:hAnsi="Verdana" w:cs="Verdana"/>
          <w:highlight w:val="white"/>
        </w:rPr>
      </w:pPr>
      <w:r w:rsidRPr="000565B4">
        <w:rPr>
          <w:rFonts w:ascii="Verdana" w:eastAsia="Verdana" w:hAnsi="Verdana" w:cs="Verdana"/>
          <w:highlight w:val="white"/>
        </w:rPr>
        <w:t xml:space="preserve">En este sentido, el </w:t>
      </w:r>
      <w:r w:rsidR="008F2102">
        <w:rPr>
          <w:rFonts w:ascii="Verdana" w:eastAsia="Verdana" w:hAnsi="Verdana" w:cs="Verdana"/>
          <w:highlight w:val="white"/>
        </w:rPr>
        <w:t xml:space="preserve">EGCAP </w:t>
      </w:r>
      <w:r w:rsidRPr="000565B4">
        <w:rPr>
          <w:rFonts w:ascii="Verdana" w:eastAsia="Verdana" w:hAnsi="Verdana" w:cs="Verdana"/>
          <w:highlight w:val="white"/>
        </w:rPr>
        <w:t>establece disposiciones específicas relativas a la institución de la cesión contractual. Por ejemplo, el artículo 41, inciso tercero del EGCAP prescribe que “Los contratos estatales son</w:t>
      </w:r>
      <w:r w:rsidRPr="000565B4">
        <w:rPr>
          <w:rFonts w:ascii="Verdana" w:eastAsia="Verdana" w:hAnsi="Verdana" w:cs="Verdana"/>
          <w:i/>
          <w:iCs/>
          <w:highlight w:val="white"/>
        </w:rPr>
        <w:t xml:space="preserve"> intuito personae </w:t>
      </w:r>
      <w:r w:rsidRPr="000565B4">
        <w:rPr>
          <w:rFonts w:ascii="Verdana" w:eastAsia="Verdana" w:hAnsi="Verdana" w:cs="Verdana"/>
          <w:highlight w:val="white"/>
        </w:rPr>
        <w:t>y, en consecuencia, una vez celebrados no podrán cederse sin previa autorización escrita de la entidad contratante”. Esta norma contiene una prohibición general –faceta negativa– y una autorización excepcional –faceta positiva–.</w:t>
      </w:r>
    </w:p>
    <w:p w14:paraId="6D8DB249" w14:textId="77777777" w:rsidR="001F2C08" w:rsidRPr="000565B4" w:rsidRDefault="001F2C08" w:rsidP="001F2C08">
      <w:pPr>
        <w:tabs>
          <w:tab w:val="left" w:pos="709"/>
        </w:tabs>
        <w:spacing w:after="120" w:line="276" w:lineRule="auto"/>
        <w:jc w:val="both"/>
        <w:rPr>
          <w:rFonts w:ascii="Century Gothic" w:eastAsia="Century Gothic" w:hAnsi="Century Gothic" w:cs="Century Gothic"/>
          <w:color w:val="000000"/>
        </w:rPr>
      </w:pPr>
      <w:r w:rsidRPr="000565B4">
        <w:rPr>
          <w:rFonts w:ascii="Verdana" w:eastAsia="Verdana" w:hAnsi="Verdana" w:cs="Verdana"/>
          <w:highlight w:val="white"/>
        </w:rPr>
        <w:tab/>
        <w:t>En lo que respecta a la faceta negativa,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0565B4">
        <w:rPr>
          <w:rFonts w:ascii="Century Gothic" w:eastAsia="Century Gothic" w:hAnsi="Century Gothic" w:cs="Century Gothic"/>
          <w:color w:val="000000"/>
        </w:rPr>
        <w:t>”</w:t>
      </w:r>
      <w:r w:rsidRPr="000565B4">
        <w:rPr>
          <w:rFonts w:ascii="Century Gothic" w:eastAsia="Century Gothic" w:hAnsi="Century Gothic" w:cs="Century Gothic"/>
          <w:color w:val="000000"/>
          <w:vertAlign w:val="superscript"/>
        </w:rPr>
        <w:footnoteReference w:id="24"/>
      </w:r>
      <w:r w:rsidRPr="000565B4">
        <w:rPr>
          <w:rFonts w:ascii="Century Gothic" w:eastAsia="Century Gothic" w:hAnsi="Century Gothic" w:cs="Century Gothic"/>
          <w:color w:val="000000"/>
        </w:rPr>
        <w:t xml:space="preserve">.  </w:t>
      </w:r>
    </w:p>
    <w:p w14:paraId="6FFD9E04" w14:textId="77777777" w:rsidR="001F2C08" w:rsidRPr="000565B4" w:rsidRDefault="001F2C08" w:rsidP="001F2C08">
      <w:pPr>
        <w:spacing w:after="0" w:line="276" w:lineRule="auto"/>
        <w:ind w:firstLine="708"/>
        <w:jc w:val="both"/>
        <w:rPr>
          <w:rFonts w:ascii="Century Gothic" w:eastAsia="Century Gothic" w:hAnsi="Century Gothic" w:cs="Century Gothic"/>
          <w:color w:val="000000"/>
        </w:rPr>
      </w:pPr>
      <w:r w:rsidRPr="000565B4">
        <w:rPr>
          <w:rFonts w:ascii="Verdana" w:eastAsia="Verdana" w:hAnsi="Verdana" w:cs="Verdana"/>
          <w:highlight w:val="white"/>
        </w:rPr>
        <w:lastRenderedPageBreak/>
        <w:t>En su faceta positiva, la Ley 80 de 1993 permite excepcionalmente la cesión del contrato estatal siempre que exista autorización previa escrita de la entidad contratante. Por ello, “[…] El cocontratante que ‘ceda’ el contrato sin estar autorizado para ello incurre en grave responsabilidad: su actitud implica ‘incumplimiento’ del contrato; de ahí que esa cesión ilícita no resulte oponible a la Administración Pública […]”</w:t>
      </w:r>
      <w:r w:rsidRPr="000565B4">
        <w:rPr>
          <w:rFonts w:ascii="Verdana" w:eastAsia="Verdana" w:hAnsi="Verdana" w:cs="Verdana"/>
          <w:highlight w:val="white"/>
          <w:vertAlign w:val="superscript"/>
        </w:rPr>
        <w:footnoteReference w:id="25"/>
      </w:r>
      <w:r w:rsidRPr="000565B4">
        <w:rPr>
          <w:rFonts w:ascii="Verdana" w:eastAsia="Verdana" w:hAnsi="Verdana" w:cs="Verdana"/>
          <w:highlight w:val="white"/>
        </w:rPr>
        <w:t>.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En relación con lo anterior la doctrina define la cesión en los contratos estatales de la siguiente manera:</w:t>
      </w:r>
    </w:p>
    <w:p w14:paraId="6FA3F743" w14:textId="77777777" w:rsidR="001F2C08" w:rsidRPr="000565B4" w:rsidRDefault="001F2C08" w:rsidP="004E516B">
      <w:pPr>
        <w:spacing w:after="0" w:line="276" w:lineRule="auto"/>
        <w:ind w:firstLine="708"/>
        <w:jc w:val="both"/>
        <w:rPr>
          <w:rFonts w:ascii="Century Gothic" w:eastAsia="Century Gothic" w:hAnsi="Century Gothic" w:cs="Century Gothic"/>
          <w:color w:val="000000"/>
          <w:sz w:val="20"/>
          <w:szCs w:val="20"/>
        </w:rPr>
      </w:pPr>
      <w:r w:rsidRPr="000565B4">
        <w:rPr>
          <w:rFonts w:ascii="Century Gothic" w:eastAsia="Century Gothic" w:hAnsi="Century Gothic" w:cs="Century Gothic"/>
          <w:color w:val="000000"/>
          <w:sz w:val="20"/>
          <w:szCs w:val="20"/>
        </w:rPr>
        <w:t xml:space="preserve"> </w:t>
      </w:r>
    </w:p>
    <w:p w14:paraId="0051B044" w14:textId="77777777" w:rsidR="001F2C08" w:rsidRPr="000565B4" w:rsidRDefault="001F2C08" w:rsidP="004E516B">
      <w:pP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 xml:space="preserve">“La cesión en la contratación estatal supone, previa autorización de la entidad contratante, la sustitución </w:t>
      </w:r>
      <w:r w:rsidRPr="000565B4">
        <w:rPr>
          <w:rFonts w:ascii="Verdana" w:eastAsia="Verdana" w:hAnsi="Verdana" w:cs="Verdana"/>
          <w:i/>
          <w:iCs/>
          <w:color w:val="000000"/>
          <w:sz w:val="20"/>
          <w:szCs w:val="20"/>
        </w:rPr>
        <w:t>in genere</w:t>
      </w:r>
      <w:r w:rsidRPr="000565B4">
        <w:rPr>
          <w:rFonts w:ascii="Verdana" w:eastAsia="Verdana" w:hAnsi="Verdana" w:cs="Verdana"/>
          <w:color w:val="000000"/>
          <w:sz w:val="20"/>
          <w:szCs w:val="20"/>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0565B4">
        <w:rPr>
          <w:rFonts w:ascii="Verdana" w:eastAsia="Verdana" w:hAnsi="Verdana" w:cs="Verdana"/>
          <w:color w:val="000000"/>
          <w:sz w:val="20"/>
          <w:szCs w:val="20"/>
          <w:vertAlign w:val="superscript"/>
        </w:rPr>
        <w:footnoteReference w:id="26"/>
      </w:r>
      <w:r w:rsidRPr="000565B4">
        <w:rPr>
          <w:rFonts w:ascii="Verdana" w:eastAsia="Verdana" w:hAnsi="Verdana" w:cs="Verdana"/>
          <w:color w:val="000000"/>
          <w:sz w:val="20"/>
          <w:szCs w:val="20"/>
        </w:rPr>
        <w:t>.</w:t>
      </w:r>
    </w:p>
    <w:p w14:paraId="58E3DBF8" w14:textId="77777777" w:rsidR="001F2C08" w:rsidRPr="000565B4" w:rsidRDefault="001F2C08" w:rsidP="004E516B">
      <w:pPr>
        <w:spacing w:after="0" w:line="276" w:lineRule="auto"/>
        <w:jc w:val="both"/>
        <w:rPr>
          <w:rFonts w:ascii="Century Gothic" w:eastAsia="Century Gothic" w:hAnsi="Century Gothic" w:cs="Century Gothic"/>
          <w:color w:val="000000"/>
        </w:rPr>
      </w:pPr>
    </w:p>
    <w:p w14:paraId="387AACEF" w14:textId="77777777" w:rsidR="001F2C08" w:rsidRPr="000565B4" w:rsidRDefault="001F2C08" w:rsidP="001F2C08">
      <w:pPr>
        <w:spacing w:after="120" w:line="276" w:lineRule="auto"/>
        <w:ind w:firstLine="709"/>
        <w:jc w:val="both"/>
        <w:rPr>
          <w:rFonts w:ascii="Century Gothic" w:eastAsia="Century Gothic" w:hAnsi="Century Gothic" w:cs="Century Gothic"/>
          <w:color w:val="000000"/>
        </w:rPr>
      </w:pPr>
      <w:r w:rsidRPr="000565B4">
        <w:rPr>
          <w:rFonts w:ascii="Verdana" w:eastAsia="Verdana" w:hAnsi="Verdana" w:cs="Verdana"/>
        </w:rPr>
        <w:t xml:space="preserve">Autorizada previamente por la entidad cedida, esta forma de cesión requiere la suscripción de un contrato entre el cedente y el cesionario, por lo que es bilateral en la medida en que es el resultado de un acuerdo voluntades. Con fundamento en el mismo, el cesionario reemplaza –en todo o en parte– al contratista cedente en la ejecución del contrato estatal, respondiendo por el cumplimiento de las obligaciones frente a la Administración. 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 </w:t>
      </w:r>
    </w:p>
    <w:p w14:paraId="55492E01" w14:textId="77777777" w:rsidR="001F2C08" w:rsidRPr="000565B4" w:rsidRDefault="001F2C08" w:rsidP="001F2C08">
      <w:pPr>
        <w:tabs>
          <w:tab w:val="left" w:pos="709"/>
        </w:tabs>
        <w:spacing w:after="120" w:line="276" w:lineRule="auto"/>
        <w:jc w:val="both"/>
        <w:rPr>
          <w:rFonts w:ascii="Verdana" w:eastAsia="Verdana" w:hAnsi="Verdana" w:cs="Verdana"/>
          <w:color w:val="000000"/>
        </w:rPr>
      </w:pPr>
      <w:bookmarkStart w:id="6" w:name="_heading=h.mhb2pnem5v19" w:colFirst="0" w:colLast="0"/>
      <w:bookmarkEnd w:id="6"/>
      <w:r w:rsidRPr="000565B4">
        <w:rPr>
          <w:rFonts w:ascii="Century Gothic" w:eastAsia="Century Gothic" w:hAnsi="Century Gothic" w:cs="Century Gothic"/>
          <w:color w:val="000000"/>
        </w:rPr>
        <w:tab/>
      </w:r>
      <w:r w:rsidRPr="000565B4">
        <w:rPr>
          <w:rFonts w:ascii="Verdana" w:eastAsia="Verdana" w:hAnsi="Verdana" w:cs="Verdana"/>
        </w:rPr>
        <w:t xml:space="preserve">Por lo demás, el Consejo de Estado ha precisado como requisitos de la cesión del contrato estatal los siguientes: i) debe recaer en un tercero; ii) el cesionario debe tener capacidad jurídica para continuar con la ejecución del </w:t>
      </w:r>
      <w:r w:rsidRPr="000565B4">
        <w:rPr>
          <w:rFonts w:ascii="Verdana" w:eastAsia="Verdana" w:hAnsi="Verdana" w:cs="Verdana"/>
        </w:rPr>
        <w:lastRenderedPageBreak/>
        <w:t xml:space="preserve">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w:t>
      </w:r>
      <w:r w:rsidRPr="000565B4">
        <w:rPr>
          <w:rFonts w:ascii="Verdana" w:eastAsia="Verdana" w:hAnsi="Verdana" w:cs="Verdana"/>
          <w:color w:val="000000"/>
        </w:rPr>
        <w:t>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r w:rsidRPr="000565B4">
        <w:rPr>
          <w:rFonts w:ascii="Verdana" w:eastAsia="Verdana" w:hAnsi="Verdana" w:cs="Verdana"/>
          <w:color w:val="000000"/>
          <w:vertAlign w:val="superscript"/>
        </w:rPr>
        <w:footnoteReference w:id="27"/>
      </w:r>
      <w:r w:rsidRPr="000565B4">
        <w:rPr>
          <w:rFonts w:ascii="Verdana" w:eastAsia="Verdana" w:hAnsi="Verdana" w:cs="Verdana"/>
          <w:color w:val="000000"/>
        </w:rPr>
        <w:t>.</w:t>
      </w:r>
    </w:p>
    <w:p w14:paraId="7376CCC1" w14:textId="34CEE08A" w:rsidR="001F2C08" w:rsidRPr="000565B4" w:rsidRDefault="001F2C08" w:rsidP="001F2C08">
      <w:pPr>
        <w:tabs>
          <w:tab w:val="left" w:pos="709"/>
        </w:tabs>
        <w:spacing w:after="120" w:line="276" w:lineRule="auto"/>
        <w:ind w:firstLine="709"/>
        <w:jc w:val="both"/>
        <w:rPr>
          <w:rFonts w:ascii="Verdana" w:eastAsia="Verdana" w:hAnsi="Verdana" w:cs="Verdana"/>
          <w:color w:val="000000"/>
        </w:rPr>
      </w:pPr>
      <w:bookmarkStart w:id="7" w:name="_heading=h.5ten6mki767" w:colFirst="0" w:colLast="0"/>
      <w:bookmarkEnd w:id="7"/>
      <w:r w:rsidRPr="000565B4">
        <w:rPr>
          <w:rFonts w:ascii="Verdana" w:eastAsia="Verdana" w:hAnsi="Verdana" w:cs="Verdana"/>
          <w:color w:val="000000"/>
        </w:rPr>
        <w:t xml:space="preserve">Por lo tanto, la </w:t>
      </w:r>
      <w:r w:rsidR="004E516B">
        <w:rPr>
          <w:rFonts w:ascii="Verdana" w:eastAsia="Verdana" w:hAnsi="Verdana" w:cs="Verdana"/>
          <w:color w:val="000000"/>
        </w:rPr>
        <w:t>E</w:t>
      </w:r>
      <w:r w:rsidRPr="000565B4">
        <w:rPr>
          <w:rFonts w:ascii="Verdana" w:eastAsia="Verdana" w:hAnsi="Verdana" w:cs="Verdana"/>
          <w:color w:val="000000"/>
        </w:rPr>
        <w:t xml:space="preserve">ntidad </w:t>
      </w:r>
      <w:r w:rsidR="004E516B">
        <w:rPr>
          <w:rFonts w:ascii="Verdana" w:eastAsia="Verdana" w:hAnsi="Verdana" w:cs="Verdana"/>
          <w:color w:val="000000"/>
        </w:rPr>
        <w:t>E</w:t>
      </w:r>
      <w:r w:rsidRPr="000565B4">
        <w:rPr>
          <w:rFonts w:ascii="Verdana" w:eastAsia="Verdana" w:hAnsi="Verdana" w:cs="Verdana"/>
          <w:color w:val="000000"/>
        </w:rPr>
        <w:t>statal en el trámite de autorización de una cesión de posición contractual está obligada a respetar los criterios normativos que resulten aplicables al proceso de contratación, entre otros, los principios de transparencia, selección objetiva e igualdad. En otros términos, so pretexto de una cesión contractual, no pueden vulnerarse las reglas y principios de la contratación estatal.</w:t>
      </w:r>
    </w:p>
    <w:p w14:paraId="2F99F3A3" w14:textId="77777777" w:rsidR="001F2C08" w:rsidRPr="000565B4" w:rsidRDefault="001F2C08" w:rsidP="001F2C08">
      <w:pPr>
        <w:tabs>
          <w:tab w:val="left" w:pos="709"/>
        </w:tabs>
        <w:spacing w:after="120" w:line="276" w:lineRule="auto"/>
        <w:ind w:firstLine="709"/>
        <w:jc w:val="both"/>
        <w:rPr>
          <w:rFonts w:ascii="Verdana" w:eastAsia="Verdana" w:hAnsi="Verdana" w:cs="Verdana"/>
          <w:color w:val="000000"/>
        </w:rPr>
      </w:pPr>
      <w:r w:rsidRPr="000565B4">
        <w:rPr>
          <w:rFonts w:ascii="Verdana" w:eastAsia="Verdana" w:hAnsi="Verdana" w:cs="Verdana"/>
          <w:color w:val="00000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402480DE" w14:textId="77777777" w:rsidR="001F2C08" w:rsidRPr="000565B4" w:rsidRDefault="001F2C08" w:rsidP="001F2C08">
      <w:pPr>
        <w:spacing w:after="120" w:line="276" w:lineRule="auto"/>
        <w:ind w:right="51" w:firstLine="709"/>
        <w:jc w:val="both"/>
        <w:rPr>
          <w:rFonts w:ascii="Verdana" w:eastAsia="Verdana" w:hAnsi="Verdana" w:cs="Verdana"/>
          <w:color w:val="000000"/>
        </w:rPr>
      </w:pPr>
      <w:bookmarkStart w:id="8" w:name="_heading=h.1wluew5qb6pv" w:colFirst="0" w:colLast="0"/>
      <w:bookmarkEnd w:id="8"/>
      <w:r w:rsidRPr="000565B4">
        <w:rPr>
          <w:rFonts w:ascii="Verdana" w:eastAsia="Verdana" w:hAnsi="Verdana" w:cs="Verdana"/>
          <w:color w:val="000000"/>
        </w:rPr>
        <w:t xml:space="preserve">En suma, la Ley 80 de 1993 no reguló en su integridad la cesión del contrato, como tampoco lo hizo el Código Civil en el que se consagra la </w:t>
      </w:r>
      <w:r w:rsidRPr="000565B4">
        <w:rPr>
          <w:rFonts w:ascii="Verdana" w:eastAsia="Verdana" w:hAnsi="Verdana" w:cs="Verdana"/>
          <w:color w:val="000000"/>
        </w:rPr>
        <w:lastRenderedPageBreak/>
        <w:t xml:space="preserve">institución de la cesión de créditos –arts. 1959 y ss.–. En cambio, los artículos 887 a 896 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 </w:t>
      </w:r>
    </w:p>
    <w:p w14:paraId="53709785" w14:textId="77777777" w:rsidR="001F2C08" w:rsidRPr="000565B4" w:rsidRDefault="001F2C08" w:rsidP="001F2C08">
      <w:pPr>
        <w:spacing w:after="120" w:line="276" w:lineRule="auto"/>
        <w:ind w:firstLine="708"/>
        <w:jc w:val="both"/>
        <w:rPr>
          <w:rFonts w:ascii="Verdana" w:eastAsia="Verdana" w:hAnsi="Verdana" w:cs="Verdana"/>
          <w:color w:val="000000"/>
        </w:rPr>
      </w:pPr>
      <w:r w:rsidRPr="000565B4">
        <w:rPr>
          <w:rFonts w:ascii="Verdana" w:eastAsia="Verdana" w:hAnsi="Verdana" w:cs="Verdana"/>
          <w:color w:val="000000"/>
        </w:rPr>
        <w:t xml:space="preserve">De conformidad con los requisitos y las restricciones explicadas </w:t>
      </w:r>
      <w:r w:rsidRPr="000565B4">
        <w:rPr>
          <w:rFonts w:ascii="Verdana" w:eastAsia="Verdana" w:hAnsi="Verdana" w:cs="Verdana"/>
          <w:i/>
          <w:iCs/>
          <w:color w:val="000000"/>
        </w:rPr>
        <w:t>ut supra</w:t>
      </w:r>
      <w:r w:rsidRPr="000565B4">
        <w:rPr>
          <w:rFonts w:ascii="Verdana" w:eastAsia="Verdana" w:hAnsi="Verdana" w:cs="Verdana"/>
          <w:color w:val="000000"/>
        </w:rPr>
        <w:t>, en los contratos estatales cuya ejecución aún no haya sido cumplida en todo o en parte, el contratista podrá hacerse sustituir por un tercero en la relación derivada del contrato, quien en adelante ocupará su posición jurídica. Es una de las posibilidades en las cuales existe una modificación de uno de los extremos 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21719F1D" w14:textId="77777777" w:rsidR="001F2C08" w:rsidRPr="000565B4" w:rsidRDefault="001F2C08" w:rsidP="001F2C08">
      <w:pPr>
        <w:spacing w:after="120" w:line="276" w:lineRule="auto"/>
        <w:ind w:firstLine="720"/>
        <w:jc w:val="both"/>
        <w:rPr>
          <w:rFonts w:ascii="Verdana" w:eastAsia="Verdana" w:hAnsi="Verdana" w:cs="Verdana"/>
          <w:color w:val="000000"/>
        </w:rPr>
      </w:pPr>
      <w:r w:rsidRPr="000565B4">
        <w:rPr>
          <w:rFonts w:ascii="Verdana" w:eastAsia="Verdana" w:hAnsi="Verdana" w:cs="Verdana"/>
        </w:rPr>
        <w:t>Si bien las personas pueden presentarse individualmente a los procesos de selección, también pueden hacerlo en forma plural a través de consorcios o uniones temporales. En efecto, 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1EF1CE30" w14:textId="77777777" w:rsidR="001F2C08" w:rsidRPr="000565B4" w:rsidRDefault="001F2C08" w:rsidP="001F2C08">
      <w:pPr>
        <w:spacing w:after="0" w:line="276" w:lineRule="auto"/>
        <w:ind w:firstLine="720"/>
        <w:jc w:val="both"/>
        <w:rPr>
          <w:rFonts w:ascii="Verdana" w:eastAsia="Verdana" w:hAnsi="Verdana" w:cs="Verdana"/>
          <w:color w:val="000000"/>
        </w:rPr>
      </w:pPr>
      <w:r w:rsidRPr="000565B4">
        <w:rPr>
          <w:rFonts w:ascii="Verdana" w:eastAsia="Verdana" w:hAnsi="Verdana" w:cs="Verdana"/>
          <w:color w:val="000000"/>
        </w:rPr>
        <w:t xml:space="preserve">La capacidad para contratar, e incluso la de realizar actos jurídicamente vinculantes como la presentación de una oferta en un procedimiento de selección </w:t>
      </w:r>
      <w:r w:rsidRPr="000565B4">
        <w:rPr>
          <w:rFonts w:ascii="Verdana" w:eastAsia="Verdana" w:hAnsi="Verdana" w:cs="Verdana"/>
          <w:color w:val="000000"/>
        </w:rPr>
        <w:lastRenderedPageBreak/>
        <w:t>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3D7FD92F" w14:textId="77777777" w:rsidR="001F2C08" w:rsidRPr="000565B4" w:rsidRDefault="001F2C08" w:rsidP="001F2C08">
      <w:pPr>
        <w:spacing w:after="0" w:line="240" w:lineRule="auto"/>
        <w:jc w:val="both"/>
        <w:rPr>
          <w:rFonts w:ascii="Verdana" w:eastAsia="Verdana" w:hAnsi="Verdana" w:cs="Verdana"/>
          <w:color w:val="000000"/>
        </w:rPr>
      </w:pPr>
    </w:p>
    <w:p w14:paraId="6CBBC06E" w14:textId="77777777" w:rsidR="001F2C08" w:rsidRPr="000565B4" w:rsidRDefault="001F2C08" w:rsidP="001F2C08">
      <w:pP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79D22C6D" w14:textId="77777777" w:rsidR="001F2C08" w:rsidRPr="000565B4" w:rsidRDefault="001F2C08" w:rsidP="001F2C08">
      <w:pPr>
        <w:spacing w:after="0" w:line="240" w:lineRule="auto"/>
        <w:ind w:left="709" w:right="709"/>
        <w:jc w:val="both"/>
        <w:rPr>
          <w:rFonts w:ascii="Verdana" w:eastAsia="Verdana" w:hAnsi="Verdana" w:cs="Verdana"/>
          <w:color w:val="000000"/>
          <w:sz w:val="20"/>
          <w:szCs w:val="20"/>
        </w:rPr>
      </w:pPr>
    </w:p>
    <w:p w14:paraId="0EFF442B" w14:textId="77777777" w:rsidR="001F2C08" w:rsidRPr="000565B4" w:rsidRDefault="001F2C08" w:rsidP="001F2C08">
      <w:pPr>
        <w:spacing w:after="12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w:t>
      </w:r>
    </w:p>
    <w:p w14:paraId="71E6CEC1" w14:textId="77777777" w:rsidR="001F2C08" w:rsidRPr="000565B4" w:rsidRDefault="001F2C08" w:rsidP="001F2C08">
      <w:pP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0565B4">
        <w:rPr>
          <w:rFonts w:ascii="Verdana" w:eastAsia="Verdana" w:hAnsi="Verdana" w:cs="Verdana"/>
          <w:color w:val="000000"/>
          <w:vertAlign w:val="superscript"/>
        </w:rPr>
        <w:footnoteReference w:id="28"/>
      </w:r>
      <w:r w:rsidRPr="000565B4">
        <w:rPr>
          <w:rFonts w:ascii="Verdana" w:eastAsia="Verdana" w:hAnsi="Verdana" w:cs="Verdana"/>
          <w:color w:val="000000"/>
          <w:sz w:val="20"/>
          <w:szCs w:val="20"/>
        </w:rPr>
        <w:t>.</w:t>
      </w:r>
    </w:p>
    <w:p w14:paraId="3E96B79A" w14:textId="77777777" w:rsidR="001F2C08" w:rsidRPr="000565B4" w:rsidRDefault="001F2C08" w:rsidP="001F2C08">
      <w:pPr>
        <w:spacing w:after="0" w:line="240" w:lineRule="auto"/>
        <w:ind w:left="720" w:right="731"/>
        <w:jc w:val="both"/>
        <w:rPr>
          <w:rFonts w:ascii="Verdana" w:eastAsia="Verdana" w:hAnsi="Verdana" w:cs="Verdana"/>
          <w:color w:val="000000"/>
        </w:rPr>
      </w:pPr>
    </w:p>
    <w:p w14:paraId="370E6198" w14:textId="77777777" w:rsidR="001F2C08" w:rsidRPr="000565B4" w:rsidRDefault="001F2C08" w:rsidP="001F2C08">
      <w:pPr>
        <w:spacing w:after="120" w:line="276" w:lineRule="auto"/>
        <w:ind w:firstLine="720"/>
        <w:jc w:val="both"/>
        <w:rPr>
          <w:rFonts w:ascii="Verdana" w:eastAsia="Verdana" w:hAnsi="Verdana" w:cs="Verdana"/>
          <w:color w:val="000000"/>
        </w:rPr>
      </w:pPr>
      <w:bookmarkStart w:id="9" w:name="_heading=h.dbd329tyicjx" w:colFirst="0" w:colLast="0"/>
      <w:bookmarkEnd w:id="9"/>
      <w:r w:rsidRPr="000565B4">
        <w:rPr>
          <w:rFonts w:ascii="Verdana" w:eastAsia="Verdana" w:hAnsi="Verdana" w:cs="Verdana"/>
          <w:color w:val="000000"/>
        </w:rPr>
        <w:t xml:space="preserve">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w:t>
      </w:r>
      <w:r w:rsidRPr="000565B4">
        <w:rPr>
          <w:rFonts w:ascii="Verdana" w:eastAsia="Verdana" w:hAnsi="Verdana" w:cs="Verdana"/>
          <w:color w:val="000000"/>
        </w:rPr>
        <w:lastRenderedPageBreak/>
        <w:t>condición de su ejercicio que sean personas morales lo que, hasta cierto punto, podría considerarse una evolución en la teoría de la personalidad jurídica.</w:t>
      </w:r>
    </w:p>
    <w:p w14:paraId="3DC2C51B" w14:textId="77777777" w:rsidR="001F2C08" w:rsidRPr="000565B4" w:rsidRDefault="001F2C08" w:rsidP="001F2C08">
      <w:pPr>
        <w:spacing w:after="120" w:line="276" w:lineRule="auto"/>
        <w:ind w:firstLine="709"/>
        <w:jc w:val="both"/>
        <w:rPr>
          <w:rFonts w:ascii="Verdana" w:eastAsia="Verdana" w:hAnsi="Verdana" w:cs="Verdana"/>
          <w:color w:val="000000"/>
        </w:rPr>
      </w:pPr>
      <w:r w:rsidRPr="000565B4">
        <w:rPr>
          <w:rFonts w:ascii="Verdana" w:eastAsia="Verdana" w:hAnsi="Verdana" w:cs="Verdana"/>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Este</w:t>
      </w:r>
      <w:r w:rsidRPr="000565B4">
        <w:rPr>
          <w:rFonts w:ascii="Verdana" w:eastAsia="Verdana" w:hAnsi="Verdana" w:cs="Verdana"/>
          <w:color w:val="000000"/>
        </w:rPr>
        <w:t xml:space="preserve"> artículo citado señala que el consorcio o la unión temporal se </w:t>
      </w:r>
      <w:r w:rsidRPr="000565B4">
        <w:rPr>
          <w:rFonts w:ascii="Verdana" w:eastAsia="Verdana" w:hAnsi="Verdana" w:cs="Verdana"/>
        </w:rPr>
        <w:t xml:space="preserve">presenta </w:t>
      </w:r>
      <w:r w:rsidRPr="000565B4">
        <w:rPr>
          <w:rFonts w:ascii="Verdana" w:eastAsia="Verdana" w:hAnsi="Verdana" w:cs="Verdana"/>
          <w:color w:val="000000"/>
        </w:rPr>
        <w:t xml:space="preserve">“Cuando dos o más personas en forma conjunta presentan una misma propuesta para la adjudicación, celebración y ejecución de un contrato </w:t>
      </w:r>
      <w:r w:rsidRPr="000565B4">
        <w:rPr>
          <w:rFonts w:ascii="Verdana" w:eastAsia="Verdana" w:hAnsi="Verdana" w:cs="Verdana"/>
        </w:rPr>
        <w:t>[…]</w:t>
      </w:r>
      <w:r w:rsidRPr="000565B4">
        <w:rPr>
          <w:rFonts w:ascii="Verdana" w:eastAsia="Verdana" w:hAnsi="Verdana" w:cs="Verdana"/>
          <w:color w:val="00000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7410822F" w14:textId="77777777" w:rsidR="001F2C08" w:rsidRPr="000565B4" w:rsidRDefault="001F2C08" w:rsidP="001F2C08">
      <w:pPr>
        <w:spacing w:after="120" w:line="276" w:lineRule="auto"/>
        <w:jc w:val="both"/>
        <w:rPr>
          <w:rFonts w:ascii="Verdana" w:eastAsia="Verdana" w:hAnsi="Verdana" w:cs="Verdana"/>
          <w:color w:val="000000"/>
        </w:rPr>
      </w:pPr>
      <w:r w:rsidRPr="000565B4">
        <w:rPr>
          <w:rFonts w:ascii="Verdana" w:eastAsia="Verdana" w:hAnsi="Verdana" w:cs="Verdana"/>
          <w:color w:val="000000"/>
        </w:rPr>
        <w:tab/>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588F163E" w14:textId="6D2E19B9" w:rsidR="001F2C08" w:rsidRPr="000565B4" w:rsidRDefault="001F2C08" w:rsidP="00584DA6">
      <w:pPr>
        <w:spacing w:after="120" w:line="276" w:lineRule="auto"/>
        <w:jc w:val="both"/>
        <w:rPr>
          <w:rFonts w:ascii="Verdana" w:eastAsia="Verdana" w:hAnsi="Verdana" w:cs="Verdana"/>
        </w:rPr>
      </w:pPr>
      <w:r w:rsidRPr="000565B4">
        <w:rPr>
          <w:rFonts w:ascii="Verdana" w:eastAsia="Verdana" w:hAnsi="Verdana" w:cs="Verdana"/>
          <w:color w:val="000000"/>
        </w:rPr>
        <w:tab/>
        <w:t xml:space="preserve">La capacidad jurídica de los proponentes plurales se limita al campo de la contratación estatal de las entidades sometidas al EGCAP, es decir, a las relaciones en consorcios y las uniones temporales con las entidades estatales del artículo 2 de la Ley 80 de 1993. </w:t>
      </w:r>
    </w:p>
    <w:p w14:paraId="341D71AC" w14:textId="77777777" w:rsidR="00F57C0A" w:rsidRDefault="001F2C08" w:rsidP="00815F9B">
      <w:pPr>
        <w:spacing w:after="120" w:line="276" w:lineRule="auto"/>
        <w:ind w:firstLine="709"/>
        <w:jc w:val="both"/>
        <w:rPr>
          <w:rFonts w:ascii="Verdana" w:eastAsia="Verdana" w:hAnsi="Verdana" w:cs="Verdana"/>
        </w:rPr>
      </w:pPr>
      <w:r w:rsidRPr="000565B4">
        <w:rPr>
          <w:rFonts w:ascii="Verdana" w:eastAsia="Verdana" w:hAnsi="Verdana" w:cs="Verdana"/>
        </w:rPr>
        <w:t xml:space="preserve">Ahora bien, el régimen previsto en el artículo 9 de la Ley 80 de 1993 evidencia que la aparición de una inhabilidad o incompatibilidad sobreviniente durante la ejecución del contrato no conduce, por sí sola, a la terminación </w:t>
      </w:r>
      <w:r w:rsidRPr="000565B4">
        <w:rPr>
          <w:rFonts w:ascii="Verdana" w:eastAsia="Verdana" w:hAnsi="Verdana" w:cs="Verdana"/>
        </w:rPr>
        <w:lastRenderedPageBreak/>
        <w:t>automática del vínculo contractual. Por el contrario, el legislador diseñó un mecanismo específico para preservar la continuidad de la ejecución y, al mismo tiempo, garantizar el respeto del régimen de inhabilidades e incompatibilidades, consistente en la obligación del integrante afectado de ceder su participación a un tercero, previa autorización escrita de la entidad contratante, sin que sea jurídicamente posible realizar dicha cesión entre quienes integran el consorcio o la unión temporal</w:t>
      </w:r>
      <w:r w:rsidRPr="000565B4">
        <w:rPr>
          <w:rFonts w:ascii="Verdana" w:eastAsia="Verdana" w:hAnsi="Verdana" w:cs="Verdana"/>
          <w:vertAlign w:val="superscript"/>
        </w:rPr>
        <w:footnoteReference w:id="29"/>
      </w:r>
      <w:r w:rsidRPr="000565B4">
        <w:rPr>
          <w:rFonts w:ascii="Verdana" w:eastAsia="Verdana" w:hAnsi="Verdana" w:cs="Verdana"/>
        </w:rPr>
        <w:t xml:space="preserve">. </w:t>
      </w:r>
    </w:p>
    <w:p w14:paraId="0455292F" w14:textId="5157E5F3" w:rsidR="001F2C08" w:rsidRPr="000565B4" w:rsidRDefault="001F2C08" w:rsidP="00815F9B">
      <w:pPr>
        <w:spacing w:after="120" w:line="276" w:lineRule="auto"/>
        <w:ind w:firstLine="709"/>
        <w:jc w:val="both"/>
      </w:pPr>
      <w:r w:rsidRPr="000565B4">
        <w:rPr>
          <w:rFonts w:ascii="Verdana" w:eastAsia="Verdana" w:hAnsi="Verdana" w:cs="Verdana"/>
        </w:rPr>
        <w:t>En desarrollo de esta disposición, el Consejo de Estado ha precisado que, tratándose de consorcios y uniones temporales, no resulta procedente la renuncia a la ejecución del contrato, pues el legislador estableció una regla especial para estos esquemas asociativos, consistente en la cesión de la participación del integrante afectado a un tercero, como mecanismo destinado a garantizar la continuidad del contrato y el respeto del régimen de inhabilidades e incompatibilidades. De esta manera, la cesión constituye la respuesta prevista por el ordenamiento jurídico para conjugar el principio de conservación del contrato con la necesidad de impedir que una persona incursa en una inhabilidad o incompatibilidad permanezca vinculada a la ejecución de un contrato estatal</w:t>
      </w:r>
      <w:r w:rsidRPr="000565B4">
        <w:t xml:space="preserve">. </w:t>
      </w:r>
    </w:p>
    <w:p w14:paraId="5219AFB0" w14:textId="77777777" w:rsidR="001F2C08" w:rsidRPr="000565B4" w:rsidRDefault="001F2C08" w:rsidP="001F2C08">
      <w:pPr>
        <w:spacing w:after="120" w:line="276" w:lineRule="auto"/>
        <w:jc w:val="both"/>
        <w:rPr>
          <w:rFonts w:ascii="Verdana" w:eastAsia="Verdana" w:hAnsi="Verdana" w:cs="Verdana"/>
          <w:b/>
          <w:bCs/>
          <w:color w:val="000000"/>
        </w:rPr>
      </w:pPr>
      <w:r w:rsidRPr="000565B4">
        <w:tab/>
      </w:r>
      <w:r w:rsidRPr="000565B4">
        <w:rPr>
          <w:rFonts w:ascii="Verdana" w:hAnsi="Verdana"/>
        </w:rPr>
        <w:t>De manera previa a la actuación administrativa de verificación, debe señalarse que el primer deber que surge ante la configuración de una inhabilidad o incompatibilidad sobreviniente recae en el propio contratista. En efecto, los artículos 23 y 26 de la Ley 80 de 1993 imponen a los partícipes de la actividad contractual la obligación de actuar conforme a los principios de buena fe y responsabilidad, lo que comprende el deber de informar oportunamente a la entidad contratante las circunstancias sobrevinientes que afecten su capacidad para continuar la ejecución del contrato. Este deber de información constituye una manifestación concreta del principio de buena fe objetiva que rige las relaciones contractuales del Estado –arts. 83 de la C. P. y 28 de la Ley 80 de 1993–, y su omisión puede ser valorada por la entidad como un elemento relevante al examinar la conducta contractual del integrante afectado. Con todo, el conocimiento de la circunstancia por parte de la entidad no depende exclusivamente de la información suministrada por el contratista: la entidad puede advertirla por cualquier otro medio, caso en el cual deberá igualmente iniciar la actuación administrativa correspondiente.</w:t>
      </w:r>
    </w:p>
    <w:p w14:paraId="3E75D4F2" w14:textId="77777777" w:rsidR="001F2C08" w:rsidRPr="000565B4" w:rsidRDefault="001F2C08" w:rsidP="001F2C08">
      <w:pPr>
        <w:spacing w:after="120" w:line="276" w:lineRule="auto"/>
        <w:ind w:firstLine="720"/>
        <w:jc w:val="both"/>
        <w:rPr>
          <w:rFonts w:ascii="Verdana" w:eastAsia="Verdana" w:hAnsi="Verdana" w:cs="Verdana"/>
        </w:rPr>
      </w:pPr>
      <w:r w:rsidRPr="000565B4">
        <w:rPr>
          <w:rFonts w:ascii="Verdana" w:eastAsia="Verdana" w:hAnsi="Verdana" w:cs="Verdana"/>
        </w:rPr>
        <w:lastRenderedPageBreak/>
        <w:t>No obstante, es importante precisar que la configuración de una inhabilidad o incompatibilidad sobreviniente no produce automáticamente los efectos previstos en el ordenamiento jurídico, sino que exige el respeto del derecho fundamental al debido proceso. Sobre el particular, la Sala de Consulta y Servicio Civil del Consejo de Estado precisó que, por tratarse de una restricción a la capacidad para contratar con el Estado, "es necesario garantizar y acatar el principio del debido proceso (art. 29 C.P.) y, en particular, los derechos de defensa y contradicción del eventual afectado, para que la entidad estatal declare la existencia de la causal correspondiente y se pueda aplicar la inhabilidad"</w:t>
      </w:r>
      <w:r w:rsidRPr="000565B4">
        <w:rPr>
          <w:rFonts w:ascii="Verdana" w:eastAsia="Verdana" w:hAnsi="Verdana" w:cs="Verdana"/>
          <w:vertAlign w:val="superscript"/>
        </w:rPr>
        <w:footnoteReference w:id="30"/>
      </w:r>
      <w:r w:rsidRPr="000565B4">
        <w:rPr>
          <w:rFonts w:ascii="Verdana" w:eastAsia="Verdana" w:hAnsi="Verdana" w:cs="Verdana"/>
        </w:rPr>
        <w:t>. De esta manera, la autoridad contratante no puede partir de la simple existencia de un hecho que, en principio, configure una inhabilidad o incompatibilidad, sino que debe verificar su ocurrencia mediante una actuación administrativa que permita al contratista ejercer plenamente sus derechos de defensa y contradicción.</w:t>
      </w:r>
    </w:p>
    <w:p w14:paraId="77F55633" w14:textId="7C02290A" w:rsidR="001F2C08" w:rsidRPr="000565B4" w:rsidRDefault="001F2C08" w:rsidP="00584DA6">
      <w:pPr>
        <w:spacing w:after="120" w:line="276" w:lineRule="auto"/>
        <w:ind w:firstLine="720"/>
        <w:jc w:val="both"/>
        <w:rPr>
          <w:rFonts w:ascii="Verdana" w:eastAsia="Verdana" w:hAnsi="Verdana" w:cs="Verdana"/>
          <w:color w:val="000000"/>
        </w:rPr>
      </w:pPr>
      <w:r w:rsidRPr="000565B4">
        <w:rPr>
          <w:rFonts w:ascii="Verdana" w:eastAsia="Verdana" w:hAnsi="Verdana" w:cs="Verdana"/>
        </w:rPr>
        <w:t>En el mismo sentido, el Consejo de Estado explicó que la decisión mediante la cual se determina la existencia de la causal constituye una manifestación del ejercicio de la función administrativa y, por ello, debe adoptarse mediante un acto debidamente motivado, precedido de una actuación en la que el afectado tenga la oportunidad de pronunciarse, aportar pruebas y controvertir los hechos que sirven de fundamento a la decisión. Por tanto, una vez la entidad tenga conocimiento de la posible configuración de una inhabilidad o incompatibilidad sobreviniente, deberá adelantar la actuación administrativa correspondiente para establecer la efectiva configuración de la causal y garantizar el ejercicio de los derechos de defensa y contradicción del contratista. Solo una vez concluida dicha actuación y determinada la existencia de la inhabilidad, procederá requerir al integrante afectado para que cumpla el deber previsto en el artículo 9 de la Ley 80 de 1993, consistente en ceder su participación a un tercero, previa autorización escrita de la entidad contratante.</w:t>
      </w:r>
    </w:p>
    <w:p w14:paraId="19F8D997" w14:textId="79ED4DC1" w:rsidR="001F2C08" w:rsidRPr="000565B4" w:rsidRDefault="001F2C08" w:rsidP="00A6741F">
      <w:pPr>
        <w:spacing w:after="120" w:line="276" w:lineRule="auto"/>
        <w:ind w:firstLine="709"/>
        <w:jc w:val="both"/>
      </w:pPr>
      <w:r w:rsidRPr="000565B4">
        <w:rPr>
          <w:rFonts w:ascii="Verdana" w:eastAsia="Verdana" w:hAnsi="Verdana" w:cs="Verdana"/>
        </w:rPr>
        <w:t xml:space="preserve">No obstante, cuando el integrante del consorcio o unión temporal incumple el deber legal de ceder su participación o, por circunstancias objetivas, la cesión no puede materializarse, el ordenamiento jurídico no establece expresamente las consecuencias aplicables. En efecto, el artículo 9 de la Ley 80 de 1993 regula la obligación de ceder la participación del integrante inhabilitado, </w:t>
      </w:r>
      <w:r w:rsidRPr="000565B4">
        <w:rPr>
          <w:rFonts w:ascii="Verdana" w:eastAsia="Verdana" w:hAnsi="Verdana" w:cs="Verdana"/>
        </w:rPr>
        <w:lastRenderedPageBreak/>
        <w:t xml:space="preserve">pero no prevé el procedimiento ni las medidas que debe adoptar la entidad contratante cuando dicha obligación resulta incumplida o de imposible ejecución por alguna circunstancia. En este escenario, corresponde interpretar de manera sistemática el </w:t>
      </w:r>
      <w:r w:rsidR="00435858">
        <w:rPr>
          <w:rFonts w:ascii="Verdana" w:eastAsia="Verdana" w:hAnsi="Verdana" w:cs="Verdana"/>
        </w:rPr>
        <w:t>EGCAP</w:t>
      </w:r>
      <w:r w:rsidR="003B34BF">
        <w:rPr>
          <w:rFonts w:ascii="Verdana" w:eastAsia="Verdana" w:hAnsi="Verdana" w:cs="Verdana"/>
        </w:rPr>
        <w:t>,</w:t>
      </w:r>
      <w:r w:rsidRPr="000565B4">
        <w:rPr>
          <w:rFonts w:ascii="Verdana" w:eastAsia="Verdana" w:hAnsi="Verdana" w:cs="Verdana"/>
        </w:rPr>
        <w:t xml:space="preserve"> con el fin de determinar los mecanismos jurídicos que permitan garantizar el cumplimiento del régimen de inhabilidades e incompatibilidades y evitar que la ejecución del contrato continúe en condiciones contrarias al principio de legalidad.</w:t>
      </w:r>
    </w:p>
    <w:p w14:paraId="7AC04174" w14:textId="77777777" w:rsidR="001F2C08" w:rsidRPr="000565B4" w:rsidRDefault="001F2C08" w:rsidP="001F2C08">
      <w:pPr>
        <w:spacing w:after="120" w:line="276" w:lineRule="auto"/>
        <w:ind w:firstLine="720"/>
        <w:jc w:val="both"/>
      </w:pPr>
      <w:r w:rsidRPr="000565B4">
        <w:rPr>
          <w:rFonts w:ascii="Verdana" w:eastAsia="Verdana" w:hAnsi="Verdana" w:cs="Verdana"/>
        </w:rPr>
        <w:t>En primer lugar, no resulta aplicable la regla prevista en el inciso segundo del artículo 9 de la Ley 80 de 1993, conforme a la cual el proponente afectado por una inhabilidad o incompatibilidad sobreviniente durante un proceso de selección debe renunciar a su participación y a los derechos derivados de la oferta. Esta disposición regula una hipótesis propia de la etapa precontractual, en la que aún no existe un vínculo contractual perfeccionado, razón por la cual no resulta extensible al supuesto del integrante de un consorcio o unión temporal respecto del cual la inhabilidad sobreviene durante la ejecución del contrato. Admitir esa extensión implicaría aplicar por analogía una consecuencia jurídica prevista para un supuesto distinto, desconociendo el carácter restrictivo que rige la interpretación del régimen de inhabilidades e incompatibilidades. Además, tratándose de consorcios y uniones temporales, el propio inciso tercero del artículo 9 diseñó una solución específica, consistente en la cesión de la participación a un tercero, lo que excluye la aplicación de la regla de la renuncia prevista para el contratista individual.</w:t>
      </w:r>
    </w:p>
    <w:p w14:paraId="3C9C09E9" w14:textId="77777777" w:rsidR="001F2C08" w:rsidRPr="000565B4" w:rsidRDefault="001F2C08" w:rsidP="001F2C08">
      <w:pPr>
        <w:spacing w:after="120" w:line="276" w:lineRule="auto"/>
        <w:ind w:firstLine="720"/>
        <w:jc w:val="both"/>
        <w:rPr>
          <w:rFonts w:ascii="Verdana" w:eastAsia="Verdana" w:hAnsi="Verdana" w:cs="Verdana"/>
        </w:rPr>
      </w:pPr>
      <w:r w:rsidRPr="000565B4">
        <w:rPr>
          <w:rFonts w:ascii="Verdana" w:eastAsia="Verdana" w:hAnsi="Verdana" w:cs="Verdana"/>
        </w:rPr>
        <w:t xml:space="preserve">En segundo lugar, tampoco resulta procedente la regla de terminación unilateral prevista en el inciso segundo del artículo 45 de la Ley 80 de 1993, fundada en la configuración de una causal de nulidad absoluta del contrato por haberse celebrado con una persona incursa en inhabilidad o incompatibilidad. En efecto, esta consecuencia jurídica parte del supuesto previsto en el numeral 1 del artículo 44 </w:t>
      </w:r>
      <w:r w:rsidRPr="000565B4">
        <w:rPr>
          <w:rFonts w:ascii="Verdana" w:eastAsia="Verdana" w:hAnsi="Verdana" w:cs="Verdana"/>
          <w:i/>
          <w:iCs/>
        </w:rPr>
        <w:t>ibídem</w:t>
      </w:r>
      <w:r w:rsidRPr="000565B4">
        <w:rPr>
          <w:rFonts w:ascii="Verdana" w:eastAsia="Verdana" w:hAnsi="Verdana" w:cs="Verdana"/>
        </w:rPr>
        <w:t>, esto es, que el contrato se celebre con una persona que, desde el momento de su perfeccionamiento, se encuentre incursa en una causal de inhabilidad o incompatibilidad prevista en la Constitución o la ley.</w:t>
      </w:r>
    </w:p>
    <w:p w14:paraId="4934F268" w14:textId="1FCCDF53" w:rsidR="001F2C08" w:rsidRPr="000565B4" w:rsidRDefault="001F2C08" w:rsidP="00584DA6">
      <w:pPr>
        <w:spacing w:after="120" w:line="276" w:lineRule="auto"/>
        <w:ind w:firstLine="720"/>
        <w:jc w:val="both"/>
      </w:pPr>
      <w:r w:rsidRPr="000565B4">
        <w:t xml:space="preserve"> </w:t>
      </w:r>
      <w:r w:rsidRPr="000565B4">
        <w:rPr>
          <w:rFonts w:ascii="Verdana" w:eastAsia="Verdana" w:hAnsi="Verdana" w:cs="Verdana"/>
        </w:rPr>
        <w:t>En contraste, el supuesto objeto de análisis corresponde a una inhabilidad o incompatibilidad sobreviniente; esto es, a una circunstancia que aparece con posterioridad a la celebración del contrato. Precisamente por ello el legislador le otorgó un tratamiento diferenciado en el artículo 9 de la Ley 80 de 1993. En virtud</w:t>
      </w:r>
      <w:r w:rsidR="00A77532">
        <w:rPr>
          <w:rFonts w:ascii="Verdana" w:eastAsia="Verdana" w:hAnsi="Verdana" w:cs="Verdana"/>
        </w:rPr>
        <w:t xml:space="preserve"> de ello</w:t>
      </w:r>
      <w:r w:rsidRPr="000565B4">
        <w:rPr>
          <w:rFonts w:ascii="Verdana" w:eastAsia="Verdana" w:hAnsi="Verdana" w:cs="Verdana"/>
        </w:rPr>
        <w:t xml:space="preserve">, extender a esta hipótesis las consecuencias previstas para las </w:t>
      </w:r>
      <w:r w:rsidRPr="000565B4">
        <w:rPr>
          <w:rFonts w:ascii="Verdana" w:eastAsia="Verdana" w:hAnsi="Verdana" w:cs="Verdana"/>
        </w:rPr>
        <w:lastRenderedPageBreak/>
        <w:t>inhabilidades originarias supondría desconocer el carácter taxativo y de interpretación estricta que gobierna el régimen de inhabilidades, incompatibilidades y nulidades en la contratación estatal.</w:t>
      </w:r>
    </w:p>
    <w:p w14:paraId="4B4624E9" w14:textId="62881F82" w:rsidR="001F2C08" w:rsidRPr="000565B4" w:rsidRDefault="00D829D7" w:rsidP="001F2C08">
      <w:pPr>
        <w:spacing w:after="120" w:line="276" w:lineRule="auto"/>
        <w:jc w:val="both"/>
        <w:rPr>
          <w:rFonts w:ascii="Verdana" w:eastAsia="Verdana" w:hAnsi="Verdana" w:cs="Verdana"/>
        </w:rPr>
      </w:pPr>
      <w:r>
        <w:rPr>
          <w:rFonts w:ascii="Verdana" w:eastAsia="Verdana" w:hAnsi="Verdana" w:cs="Verdana"/>
        </w:rPr>
        <w:tab/>
      </w:r>
      <w:r w:rsidR="001F2C08" w:rsidRPr="000565B4">
        <w:rPr>
          <w:rFonts w:ascii="Verdana" w:eastAsia="Verdana" w:hAnsi="Verdana" w:cs="Verdana"/>
        </w:rPr>
        <w:t>La Sección Tercera del Consejo de Estado</w:t>
      </w:r>
      <w:r w:rsidR="001F2C08" w:rsidRPr="000565B4">
        <w:rPr>
          <w:rFonts w:ascii="Verdana" w:eastAsia="Verdana" w:hAnsi="Verdana" w:cs="Verdana"/>
          <w:vertAlign w:val="superscript"/>
        </w:rPr>
        <w:footnoteReference w:id="31"/>
      </w:r>
      <w:r w:rsidR="001F2C08" w:rsidRPr="000565B4">
        <w:rPr>
          <w:rFonts w:ascii="Verdana" w:eastAsia="Verdana" w:hAnsi="Verdana" w:cs="Verdana"/>
        </w:rPr>
        <w:t xml:space="preserve"> ha explicado que la terminación unilateral del contrato estatal no constituye una institución única, sino un género dentro del cual se distinguen diversas modalidades con presupuestos, finalidades y consecuencias jurídicas diferentes. En ese sentido, precisó que dentro de la terminación unilateral por decisión de la entidad estatal contratante pueden identificarse: i) la terminación unilateral propiamente dicha, regulada por el artículo 17 de la Ley 80 de 1993; ii) la declaratoria de caducidad administrativa del contrato; y iii) la terminación unilateral derivada de la configuración de una causal de nulidad absoluta, prevista en el inciso segundo del artículo 45 de la Ley 80 de 1993. Esta clasificación pone de presente que, aunque las tres instituciones producen la terminación anticipada del vínculo contractual, obedecen a supuestos normativos claramente diferenciados y no pueden confundirse entre sí. </w:t>
      </w:r>
    </w:p>
    <w:p w14:paraId="5D02CC92"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rPr>
        <w:t xml:space="preserve">La primera modalidad corresponde a la terminación unilateral propiamente dicha, regulada por el artículo 17 de la Ley 80 de 1993. Se trata de una potestad excepcional conferida a la Administración para poner fin anticipadamente al contrato cuando las exigencias del servicio público lo requieran o la situación de orden público lo </w:t>
      </w:r>
      <w:r w:rsidRPr="000565B4">
        <w:rPr>
          <w:rFonts w:ascii="Verdana" w:eastAsia="Verdana" w:hAnsi="Verdana" w:cs="Verdana"/>
          <w:color w:val="000000"/>
        </w:rPr>
        <w:t>imponga. A diferencia de las demás modalidades, esta facultad no presupone un incumplimiento del contratista, ni la existencia de un vicio que afecte la validez del contrato desde su celebración. Su fundamento radica en la necesidad de garantizar la continuidad, eficiencia y adecuada prestación del servicio público, permitiendo a la Administración adoptar decisiones orientadas a proteger el interés general cuando sobrevienen circunstancias que hacen incompatible la permanencia del vínculo contractual con los fines que justificaron su celebración. Precisamente por ello, la terminación prevista en el artículo 17 constituye una potestad de naturaleza preventiva y no sancionatoria, cuya finalidad consiste en preservar la correcta satisfacción del interés público y no en reprochar una conducta atribuible al contratista.</w:t>
      </w:r>
    </w:p>
    <w:p w14:paraId="4F6ED348"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color w:val="000000"/>
        </w:rPr>
        <w:lastRenderedPageBreak/>
        <w:t>La caracterización de la terminación unilateral del artículo 17 como potestad excepcional impone considerar el régimen del artículo 14 de la Ley 80 de 1993, que condiciona su procedencia en un doble sentido. En primer término, conforme al numeral 2 del artículo 14, las cláusulas excepcionales de terminación, interpretación y modificación unilaterales se pactan obligatoriamente en los contratos que tengan por objeto el ejercicio de una actividad que constituya monopolio estatal, la prestación de servicios públicos o la explotación y concesión de bienes del Estado, así como en los contratos de obra; son de pacto facultativo en los contratos de suministro y de prestación de servicios; y se encuentran excluidas en las demás tipologías contractuales señaladas por la norma. De ello se sigue que la terminación unilateral no constituye una herramienta universalmente disponible: su ejercicio presupone que, en el contrato respectivo, la cláusula excepcional se haya pactado o se entienda pactada por ministerio de la ley. En los contratos en los que dicha potestad no resulte procedente, la entidad deberá acudir a los demás mecanismos señalados en este concepto, en particular la terminación de mutuo acuerdo o la intervención del juez del contrato.</w:t>
      </w:r>
    </w:p>
    <w:p w14:paraId="69AC4D9E"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color w:val="000000"/>
        </w:rPr>
        <w:t xml:space="preserve">En segundo término, el numeral 1 del artículo 14 dispone que, al ejercer las potestades excepcionales, deberá procederse al reconocimiento y orden de pago de las compensaciones e indemnizaciones a que tengan derecho las personas objeto de tales medidas, aplicando los mecanismos de ajuste de las condiciones y términos contractuales a que haya lugar para mantener la ecuación o equilibrio inicial. Esta previsión exige una consideración cuidadosa en el supuesto analizado. La jurisprudencia constitucional que examinó el artículo 9 de la Ley 80 de 1993 precisó que las consecuencias derivadas de la inhabilidad sobreviniente —la cesión o, en el caso del contratista individual, la renuncia— constituyen medidas objetivas que no tienen carácter sancionatorio ni comprometen la responsabilidad de la administración, precisamente porque la situación que las origina no proviene de una actuación antijurídica de la entidad, sino de un hecho radicado en la esfera del contratista. En consecuencia, cuando la terminación unilateral del numeral 1 del artículo 17 se adopte como consecuencia del fracaso del mecanismo de cesión, la entidad deberá examinar en el acto administrativo el alcance de los reconocimientos a que se refiere el numeral 1 del artículo 14, cuidando que la situación originada en la esfera del integrante inhabilitado —y, en particular, el incumplimiento de su deber legal de ceder— no se convierta en fuente de reconocimientos patrimoniales </w:t>
      </w:r>
      <w:r w:rsidRPr="000565B4">
        <w:rPr>
          <w:rFonts w:ascii="Verdana" w:eastAsia="Verdana" w:hAnsi="Verdana" w:cs="Verdana"/>
          <w:color w:val="000000"/>
        </w:rPr>
        <w:lastRenderedPageBreak/>
        <w:t>injustificados a favor del contratista, sin perjuicio de los derechos derivados de las prestaciones efectivamente ejecutadas.</w:t>
      </w:r>
    </w:p>
    <w:p w14:paraId="122A85C9"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color w:val="000000"/>
        </w:rPr>
        <w:t>Una modalidad distinta es la caducidad, regulada en el artículo 18 de la Ley 80 de 1993. Esta institución tiene un marcado carácter sancionatorio y procede cuando se presenta un incumplimiento grave de las obligaciones contractuales por parte del contratista que afecte de manera directa la ejecución del contrato y evidencie que puede conducir a su paralización. La declaratoria de caducidad presupone, por tanto, la existencia de un comportamiento imputable al contratista que compromete el cumplimiento del objeto contractual y faculta a la entidad para poner fin al contrato, hacer efectivas las garantías e imponer las consecuencias previstas por la ley, incluida la inhabilidad para contratar con el Estado durante el término legal correspondiente. Se trata, entonces, de una medida de reacción frente al incumplimiento contractual y no de un mecanismo destinado a resolver circunstancias sobrevinientes que afectan la posibilidad jurídica de continuar la ejecución del contrato.</w:t>
      </w:r>
    </w:p>
    <w:p w14:paraId="045B2C44"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sz w:val="24"/>
          <w:szCs w:val="24"/>
        </w:rPr>
      </w:pPr>
      <w:r w:rsidRPr="000565B4">
        <w:rPr>
          <w:rFonts w:ascii="Verdana" w:eastAsia="Verdana" w:hAnsi="Verdana" w:cs="Verdana"/>
        </w:rPr>
        <w:t>Finalmente, la tercera modalidad corresponde a la terminación unilateral por configuración de una causal de nulidad absoluta, prevista en el inciso segundo del artículo 45 de la Ley 80 de 1993. En este evento, la Administración se encuentra facultada para dar por terminado el contrato cuando se configure alguna de las causales de nulidad absoluta previstas en el artículo 44 del mismo estatuto, entre ellas, la celebración del contrato con una persona incursa en una causal de inhabilidad o incompatibilidad. Como ya se explicó, esta figura parte de un supuesto completamente distinto al que aquí se analiza, pues supone que el vicio existía desde el momento mismo de la celebración del contrato, afectando su validez desde el origen. En consecuencia, no resulta jurídicamente procedente extender esta modalidad a los eventos de inhabilidad sobreviniente, respecto de los cuales el propio legislador estableció un régimen especial en el artículo 9 de la Ley 80 de 1993.</w:t>
      </w:r>
    </w:p>
    <w:p w14:paraId="38BDE1AE"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sz w:val="24"/>
          <w:szCs w:val="24"/>
        </w:rPr>
      </w:pPr>
      <w:r w:rsidRPr="000565B4">
        <w:rPr>
          <w:rFonts w:ascii="Verdana" w:eastAsia="Verdana" w:hAnsi="Verdana" w:cs="Verdana"/>
        </w:rPr>
        <w:t xml:space="preserve">Precisadas las diferencias entre estas modalidades de terminación unilateral, considera esta Agencia que el supuesto objeto de consulta encuentra adecuada respuesta en la facultad prevista en el numeral 1 del artículo 17 de la Ley 80 de 1993. En este aspecto, una vez la entidad ha garantizado el debido proceso, ha declarado la configuración de la inhabilidad sobreviniente y ha requerido al integrante afectado para que cumpla el deber legal de ceder su participación, la negativa injustificada a hacerlo o la imposibilidad objetiva de </w:t>
      </w:r>
      <w:r w:rsidRPr="000565B4">
        <w:rPr>
          <w:rFonts w:ascii="Verdana" w:eastAsia="Verdana" w:hAnsi="Verdana" w:cs="Verdana"/>
        </w:rPr>
        <w:lastRenderedPageBreak/>
        <w:t>materializar la cesión hacen fracasar el mecanismo expresamente diseñado por el legislador para conservar el contrato. En esas condiciones, la Administración ya no cuenta con un instrumento que permita mantener la ejecución del contrato en armonía con el régimen de inhabilidades e incompatibilidades, por lo que la permanencia del integrante inhabilitado resulta incompatible con los principios de moralidad, transparencia y legalidad que informan la contratación estatal.</w:t>
      </w:r>
    </w:p>
    <w:p w14:paraId="678793CB"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rPr>
      </w:pPr>
      <w:r w:rsidRPr="000565B4">
        <w:rPr>
          <w:rFonts w:ascii="Verdana" w:eastAsia="Verdana" w:hAnsi="Verdana" w:cs="Verdana"/>
        </w:rPr>
        <w:t xml:space="preserve">En esta situación, la continuidad del contrato deja de satisfacer las exigencias del servicio público a las que alude el artículo 17 de la Ley 80 de 1993. Ello, porque la finalidad del régimen de inhabilidades sobrevinientes, como lo explicó la Corte Constitucional en la Sentencia C-221 de 1996, consiste en impedir que quien se encuentra incurso en una causal de inhabilidad continúe vinculado contractualmente con el Estado. Si el mecanismo previsto para lograr ese propósito, que es la cesión de la participación del integrante afectado, no puede hacerse efectivo, la Administración no puede permitir indefinidamente la ejecución del contrato en condiciones contrarias al ordenamiento jurídico, pues ello supondría desconocer precisamente la finalidad perseguida por el artículo 9 de la Ley 80 de 1993. Desde esta perspectiva, la terminación unilateral prevista en el numeral 1 del artículo 17 no constituye una sanción frente al contratista ni una consecuencia derivada de la invalidez del contrato, sino una medida que permite restablecer la legalidad de la actividad contractual y garantizar que la prestación del servicio público continúe desarrollándose conforme a los principios que rigen la contratación estatal.  </w:t>
      </w:r>
    </w:p>
    <w:p w14:paraId="573DCCCE" w14:textId="77777777" w:rsidR="001F2C08" w:rsidRPr="000565B4" w:rsidRDefault="001F2C08" w:rsidP="001F2C08">
      <w:pPr>
        <w:spacing w:after="120" w:line="276" w:lineRule="auto"/>
        <w:ind w:firstLine="708"/>
        <w:jc w:val="both"/>
        <w:rPr>
          <w:rFonts w:ascii="Verdana" w:eastAsia="Verdana" w:hAnsi="Verdana" w:cs="Verdana"/>
          <w:color w:val="000000"/>
        </w:rPr>
      </w:pPr>
      <w:r w:rsidRPr="000565B4">
        <w:rPr>
          <w:rFonts w:ascii="Verdana" w:eastAsia="Verdana" w:hAnsi="Verdana" w:cs="Verdana"/>
          <w:color w:val="000000"/>
          <w:highlight w:val="white"/>
        </w:rPr>
        <w:t>Ahora bien, el ejercicio de la facultad excepcional prevista en el numeral 1 del artículo 17 de la Ley 80 de 1993 exige una motivación rigurosa, dado que se trata de una potestad exorbitante que únicamente puede ejercerse en los estrictos eventos autorizados por el legislador. En efecto, el Consejo de Estado</w:t>
      </w:r>
      <w:r w:rsidRPr="000565B4">
        <w:rPr>
          <w:rFonts w:ascii="Verdana" w:eastAsia="Verdana" w:hAnsi="Verdana" w:cs="Verdana"/>
          <w:color w:val="000000"/>
          <w:highlight w:val="white"/>
          <w:vertAlign w:val="superscript"/>
        </w:rPr>
        <w:footnoteReference w:id="32"/>
      </w:r>
      <w:r w:rsidRPr="000565B4">
        <w:rPr>
          <w:rFonts w:ascii="Verdana" w:eastAsia="Verdana" w:hAnsi="Verdana" w:cs="Verdana"/>
          <w:color w:val="000000"/>
          <w:highlight w:val="white"/>
        </w:rPr>
        <w:t xml:space="preserve"> ha señalado </w:t>
      </w:r>
      <w:r w:rsidRPr="000565B4">
        <w:rPr>
          <w:rFonts w:ascii="Verdana" w:eastAsia="Verdana" w:hAnsi="Verdana" w:cs="Verdana"/>
          <w:color w:val="000000"/>
        </w:rPr>
        <w:t xml:space="preserve">que la facultad de terminación unilateral constituye una potestad de carácter excepcional y, por ello, no puede ejercerse con fundamento en causales distintas de las previstas por el legislador. En efecto, precisó que las consideraciones y construcciones teóricas sobre los modos normales y anormales de terminación de los contratos estatales no pueden interpretarse como una habilitación jurisprudencial para ejercer la facultad de terminación </w:t>
      </w:r>
      <w:r w:rsidRPr="000565B4">
        <w:rPr>
          <w:rFonts w:ascii="Verdana" w:eastAsia="Verdana" w:hAnsi="Verdana" w:cs="Verdana"/>
          <w:color w:val="000000"/>
        </w:rPr>
        <w:lastRenderedPageBreak/>
        <w:t xml:space="preserve">unilateral de los contratos bajo causales no previstas en la Ley y agregó que la excepcionalidad de esta potestad implica su ejercicio bajo la estricta delimitación legal, razón por la cual se impone a los operadores jurídicos una obligación de interpretar de forma restrictiva su procedencia, sin que sea admisible su ejercicio por fundarse en una causal inexistente en la Ley. </w:t>
      </w:r>
    </w:p>
    <w:p w14:paraId="78E6D08D" w14:textId="2F447AFA"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color w:val="000000"/>
        </w:rPr>
        <w:t xml:space="preserve">Precisamente por ello, considera esta Agencia que la situación objeto de consulta </w:t>
      </w:r>
      <w:r w:rsidR="00C9084D">
        <w:rPr>
          <w:rFonts w:ascii="Verdana" w:eastAsia="Verdana" w:hAnsi="Verdana" w:cs="Verdana"/>
          <w:color w:val="000000"/>
        </w:rPr>
        <w:t xml:space="preserve">también abarca </w:t>
      </w:r>
      <w:r w:rsidRPr="000565B4">
        <w:rPr>
          <w:rFonts w:ascii="Verdana" w:eastAsia="Verdana" w:hAnsi="Verdana" w:cs="Verdana"/>
          <w:color w:val="000000"/>
        </w:rPr>
        <w:t>la aplicación de una de las hipótesis expresamente previstas en el numeral 1 del artículo 17 de la Ley 80 de 1993, cuyo tenor literal dispone: “La entidad en acto administrativo debidamente motivado dispondrá la terminación anticipada del contrato en los siguientes eventos: 1o. Cuando las exigencias del servicio público lo requieran o la situación de orden público lo imponga […]”. En efecto, una vez agotado el procedimiento administrativo para declarar la inhabilidad sobreviniente, garantizado el debido proceso y constatado que el integrante del consorcio o unión temporal incumplió el deber legal de ceder su participación o que la cesión resultó objetivamente imposible, la entidad se enfrenta a una situación en la que el mecanismo previsto por el artículo 9 de la Ley 80 para conservar el contrato ha fracasado. Como consecuencia de ello, la Administración ya no cuenta con un instrumento jurídico que permita remover la permanencia del integrante inhabilitado y, por tanto, la continuación del contrato resulta incompatible con las exigencias del servicio público, pues implicaría mantener vigente una relación contractual en abierta contradicción con el régimen de inhabilidades e incompatibilidades diseñado por el legislador.</w:t>
      </w:r>
    </w:p>
    <w:p w14:paraId="49DBA9A2" w14:textId="77777777" w:rsidR="001F2C08" w:rsidRPr="000565B4" w:rsidRDefault="001F2C08" w:rsidP="001F2C08">
      <w:pPr>
        <w:pBdr>
          <w:top w:val="nil"/>
          <w:left w:val="nil"/>
          <w:bottom w:val="nil"/>
          <w:right w:val="nil"/>
          <w:between w:val="nil"/>
        </w:pBdr>
        <w:spacing w:line="276" w:lineRule="auto"/>
        <w:ind w:firstLine="720"/>
        <w:jc w:val="both"/>
        <w:rPr>
          <w:rFonts w:ascii="Verdana" w:eastAsia="Verdana" w:hAnsi="Verdana" w:cs="Verdana"/>
          <w:color w:val="000000"/>
        </w:rPr>
      </w:pPr>
      <w:r w:rsidRPr="000565B4">
        <w:rPr>
          <w:rFonts w:ascii="Verdana" w:eastAsia="Verdana" w:hAnsi="Verdana" w:cs="Verdana"/>
          <w:color w:val="000000"/>
        </w:rPr>
        <w:t xml:space="preserve">Así las cosas, la motivación del acto administrativo no puede limitarse a afirmar la existencia de una inhabilidad sobreviniente o la negativa del contratista a ceder su participación. La entidad deberá explicar de manera suficiente por qué, en las circunstancias concretas del caso, el incumplimiento del deber legal de cesión hace imposible mantener la ejecución del contrato dentro del marco de la legalidad y por qué esa circunstancia compromete la adecuada satisfacción del interés general y las exigencias del servicio público a que se refiere el numeral 1 del artículo 17 de la Ley 80 de 1993. En torno al primer supuesto de esta causal de terminación “Cuando las exigencias del servicio público lo requieran”, la doctrina expresa: </w:t>
      </w:r>
    </w:p>
    <w:p w14:paraId="0B0781CC" w14:textId="77777777" w:rsidR="001F2C08" w:rsidRPr="000565B4" w:rsidRDefault="001F2C08" w:rsidP="001F2C08">
      <w:pPr>
        <w:pBdr>
          <w:top w:val="nil"/>
          <w:left w:val="nil"/>
          <w:bottom w:val="nil"/>
          <w:right w:val="nil"/>
          <w:between w:val="nil"/>
        </w:pBd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 xml:space="preserve">[…] expresa que procederá la terminación unilateral del contrato cuando con la ejecución del objeto pactado se afecte alguna de las necesidades propias de los administrados que deben ser satisfechas por el Estado, de forma tal que: de una parte, afecte la actividad administrativa que se </w:t>
      </w:r>
      <w:r w:rsidRPr="000565B4">
        <w:rPr>
          <w:rFonts w:ascii="Verdana" w:eastAsia="Verdana" w:hAnsi="Verdana" w:cs="Verdana"/>
          <w:color w:val="000000"/>
          <w:sz w:val="20"/>
          <w:szCs w:val="20"/>
        </w:rPr>
        <w:lastRenderedPageBreak/>
        <w:t xml:space="preserve">quiere realizar con la celebración del negocio o, de otra, la consecuencia de aquello encargado por la Administración a su contratista, no obstante permitir la cabal prestación del servicio público propio del contrato, perjudica la actividad estatal en su conjunto. </w:t>
      </w:r>
    </w:p>
    <w:p w14:paraId="3A0B2FB3" w14:textId="77777777" w:rsidR="001F2C08" w:rsidRPr="000565B4" w:rsidRDefault="001F2C08" w:rsidP="001F2C08">
      <w:pPr>
        <w:pBdr>
          <w:top w:val="nil"/>
          <w:left w:val="nil"/>
          <w:bottom w:val="nil"/>
          <w:right w:val="nil"/>
          <w:between w:val="nil"/>
        </w:pBd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Se trata, entonces, de una causal que atiende al estudio de la Administración en su conjunto, como un aparato engranado en el que todas las entidades que lo conforman deben actuar bajo un mismo objetivo, cuál es la satisfacción del interés general mediante la continua y eficiente prestación de los servicios públicos, evitando que las funciones y campo de acción de cada una de ellas interfieran entre sí”</w:t>
      </w:r>
      <w:r w:rsidRPr="000565B4">
        <w:rPr>
          <w:rFonts w:ascii="Verdana" w:eastAsia="Verdana" w:hAnsi="Verdana" w:cs="Verdana"/>
          <w:color w:val="000000"/>
          <w:sz w:val="20"/>
          <w:szCs w:val="20"/>
          <w:vertAlign w:val="superscript"/>
        </w:rPr>
        <w:footnoteReference w:id="33"/>
      </w:r>
      <w:r w:rsidRPr="000565B4">
        <w:rPr>
          <w:rFonts w:ascii="Verdana" w:eastAsia="Verdana" w:hAnsi="Verdana" w:cs="Verdana"/>
          <w:color w:val="000000"/>
          <w:sz w:val="20"/>
          <w:szCs w:val="20"/>
        </w:rPr>
        <w:t xml:space="preserve">. </w:t>
      </w:r>
    </w:p>
    <w:p w14:paraId="5A31AF88" w14:textId="77777777" w:rsidR="001F2C08" w:rsidRPr="000565B4" w:rsidRDefault="001F2C08" w:rsidP="00584DA6">
      <w:pPr>
        <w:pBdr>
          <w:top w:val="nil"/>
          <w:left w:val="nil"/>
          <w:bottom w:val="nil"/>
          <w:right w:val="nil"/>
          <w:between w:val="nil"/>
        </w:pBdr>
        <w:spacing w:after="0" w:line="276" w:lineRule="auto"/>
        <w:ind w:firstLine="720"/>
        <w:jc w:val="both"/>
        <w:rPr>
          <w:rFonts w:ascii="Verdana" w:eastAsia="Verdana" w:hAnsi="Verdana" w:cs="Verdana"/>
          <w:color w:val="000000"/>
        </w:rPr>
      </w:pPr>
    </w:p>
    <w:p w14:paraId="3F27D584" w14:textId="77777777" w:rsidR="001F2C08" w:rsidRPr="000565B4" w:rsidRDefault="001F2C08" w:rsidP="00584DA6">
      <w:pPr>
        <w:pBdr>
          <w:top w:val="nil"/>
          <w:left w:val="nil"/>
          <w:bottom w:val="nil"/>
          <w:right w:val="nil"/>
          <w:between w:val="nil"/>
        </w:pBdr>
        <w:spacing w:after="120" w:line="276" w:lineRule="auto"/>
        <w:ind w:firstLine="720"/>
        <w:jc w:val="both"/>
        <w:rPr>
          <w:rFonts w:ascii="Verdana" w:eastAsia="Verdana" w:hAnsi="Verdana" w:cs="Verdana"/>
          <w:color w:val="000000"/>
        </w:rPr>
      </w:pPr>
      <w:r w:rsidRPr="000565B4">
        <w:rPr>
          <w:rFonts w:ascii="Verdana" w:eastAsia="Verdana" w:hAnsi="Verdana" w:cs="Verdana"/>
          <w:color w:val="000000"/>
        </w:rPr>
        <w:t>Una motivación rigurosa constituye un presupuesto indispensable para el ejercicio válido de esta potestad excepcional, en tanto permite demostrar que la decisión se adopta para preservar la adecuada prestación del servicio público y no como resultado de apreciaciones arbitrarias o ajenas a la realidad fáctica. Solo a partir de una exposición clara, completa y verificable de las razones que justifican la intervención administrativa es posible asegurar que la autoridad actuó dentro de los límites de la legalidad y con sujeción al principio de proporcionalidad. Al respecto, el Consejo de Estado ha expresado que, "</w:t>
      </w:r>
      <w:r w:rsidRPr="000565B4">
        <w:rPr>
          <w:rFonts w:ascii="Verdana" w:eastAsia="Verdana" w:hAnsi="Verdana" w:cs="Verdana"/>
          <w:i/>
          <w:iCs/>
          <w:color w:val="000000"/>
        </w:rPr>
        <w:t>si los fundamentos de hecho y de derecho que aduce la entidad para su declaratoria no se acompasan con aquellos que dan lugar a la aplicación de esta figura, el acto demandado estará viciado y habrá lugar a declarar su nulidad</w:t>
      </w:r>
      <w:r w:rsidRPr="000565B4">
        <w:rPr>
          <w:rFonts w:ascii="Verdana" w:eastAsia="Verdana" w:hAnsi="Verdana" w:cs="Verdana"/>
          <w:color w:val="000000"/>
        </w:rPr>
        <w:t>"</w:t>
      </w:r>
      <w:r w:rsidRPr="000565B4">
        <w:rPr>
          <w:rFonts w:ascii="Verdana" w:eastAsia="Verdana" w:hAnsi="Verdana" w:cs="Verdana"/>
          <w:color w:val="000000"/>
          <w:vertAlign w:val="superscript"/>
        </w:rPr>
        <w:footnoteReference w:id="34"/>
      </w:r>
      <w:r w:rsidRPr="000565B4">
        <w:rPr>
          <w:rFonts w:ascii="Verdana" w:eastAsia="Verdana" w:hAnsi="Verdana" w:cs="Verdana"/>
          <w:color w:val="000000"/>
        </w:rPr>
        <w:t xml:space="preserve">. </w:t>
      </w:r>
    </w:p>
    <w:p w14:paraId="7636EC03" w14:textId="77777777" w:rsidR="001F2C08" w:rsidRPr="000565B4" w:rsidRDefault="001F2C08" w:rsidP="00584DA6">
      <w:pPr>
        <w:pBdr>
          <w:top w:val="nil"/>
          <w:left w:val="nil"/>
          <w:bottom w:val="nil"/>
          <w:right w:val="nil"/>
          <w:between w:val="nil"/>
        </w:pBdr>
        <w:spacing w:after="120" w:line="276" w:lineRule="auto"/>
        <w:ind w:firstLine="720"/>
        <w:jc w:val="both"/>
        <w:rPr>
          <w:rFonts w:ascii="Verdana" w:eastAsia="Verdana" w:hAnsi="Verdana" w:cs="Verdana"/>
          <w:color w:val="000000"/>
          <w:highlight w:val="yellow"/>
        </w:rPr>
      </w:pPr>
      <w:r w:rsidRPr="000565B4">
        <w:rPr>
          <w:rFonts w:ascii="Verdana" w:eastAsia="Verdana" w:hAnsi="Verdana" w:cs="Verdana"/>
          <w:color w:val="000000"/>
        </w:rPr>
        <w:t>Lo anterior se explica porque la motivación no es un requisito meramente formal del acto de terminación unilateral o de caducidad, sino la garantía que permite controlar que la potestad excepcional se ejerció dentro de la causal legal invocada. Sobre el particular, la jurisprudencia contencioso administrativa ha reiterado que el vicio de falsa motivación se configura cuando se demuestra una de dos circunstancias: que los hechos que la Administración tuvo en cuenta como motivos determinantes de la decisión no estuvieron debidamente probados dentro de la actuación administrativa, o que la Administración omitió tener en cuenta hechos que sí estaban demostrados y que, de haberse considerado, habrían conducido a una decisión sustancialmente distinta</w:t>
      </w:r>
      <w:r w:rsidRPr="000565B4">
        <w:rPr>
          <w:rFonts w:ascii="Verdana" w:eastAsia="Verdana" w:hAnsi="Verdana" w:cs="Verdana"/>
          <w:color w:val="000000"/>
          <w:vertAlign w:val="superscript"/>
        </w:rPr>
        <w:footnoteReference w:id="35"/>
      </w:r>
      <w:r w:rsidRPr="000565B4">
        <w:rPr>
          <w:rFonts w:ascii="Verdana" w:eastAsia="Verdana" w:hAnsi="Verdana" w:cs="Verdana"/>
          <w:color w:val="000000"/>
        </w:rPr>
        <w:t xml:space="preserve">. Trasladada esta </w:t>
      </w:r>
      <w:r w:rsidRPr="000565B4">
        <w:rPr>
          <w:rFonts w:ascii="Verdana" w:eastAsia="Verdana" w:hAnsi="Verdana" w:cs="Verdana"/>
          <w:color w:val="000000"/>
        </w:rPr>
        <w:lastRenderedPageBreak/>
        <w:t>regla al supuesto analizado, el acto que disponga la terminación unilateral con fundamento en el numeral 1 del artículo 17 de la Ley 80 de 1993 deberá acreditar, con soporte probatorio verificable, los tres extremos que estructuran la causal en este escenario: i) la declaratoria previa de la inhabilidad sobreviniente, adoptada con observancia del debido proceso; ii) el agotamiento infructuoso del mecanismo de cesión previsto en el inciso tercero del artículo 9, mediante el requerimiento al integrante afectado y la constatación de su renuencia o de la imposibilidad objetiva de materializar la cesión; y iii) la afectación real y actual que la permanencia del integrante inhabilitado produce sobre las exigencias del servicio público. La ausencia de cualquiera de estos elementos, o su afirmación sin respaldo probatorio, priva al acto de correspondencia con la causal invocada y lo expone a la declaratoria de nulidad.</w:t>
      </w:r>
    </w:p>
    <w:p w14:paraId="34091EBC" w14:textId="77777777" w:rsidR="001F2C08" w:rsidRPr="000565B4" w:rsidRDefault="001F2C08" w:rsidP="00584DA6">
      <w:pPr>
        <w:pBdr>
          <w:top w:val="nil"/>
          <w:left w:val="nil"/>
          <w:bottom w:val="nil"/>
          <w:right w:val="nil"/>
          <w:between w:val="nil"/>
        </w:pBdr>
        <w:spacing w:after="120" w:line="276" w:lineRule="auto"/>
        <w:ind w:firstLine="720"/>
        <w:jc w:val="both"/>
        <w:rPr>
          <w:rFonts w:ascii="Verdana" w:eastAsia="Verdana" w:hAnsi="Verdana" w:cs="Verdana"/>
          <w:color w:val="000000"/>
        </w:rPr>
      </w:pPr>
      <w:r w:rsidRPr="000565B4">
        <w:rPr>
          <w:rFonts w:ascii="Verdana" w:eastAsia="Verdana" w:hAnsi="Verdana" w:cs="Verdana"/>
          <w:color w:val="000000"/>
        </w:rPr>
        <w:t>Idéntica exigencia opera, con mayor rigor, respecto de la caducidad, dado su carácter sancionatorio. El Consejo de Estado ha precisado que esta potestad solo procede ante un incumplimiento de las obligaciones a cargo del contratista que afecte de manera grave y directa la ejecución del contrato y evidencie que puede conducir a su paralización, presupuestos que deben encontrarse plenamente acreditados al momento de la declaratoria y dentro del plazo de ejecución del contrato</w:t>
      </w:r>
      <w:r w:rsidRPr="000565B4">
        <w:rPr>
          <w:rFonts w:ascii="Verdana" w:eastAsia="Verdana" w:hAnsi="Verdana" w:cs="Verdana"/>
          <w:color w:val="000000"/>
          <w:vertAlign w:val="superscript"/>
        </w:rPr>
        <w:footnoteReference w:id="36"/>
      </w:r>
      <w:r w:rsidRPr="000565B4">
        <w:rPr>
          <w:rFonts w:ascii="Verdana" w:eastAsia="Verdana" w:hAnsi="Verdana" w:cs="Verdana"/>
          <w:color w:val="000000"/>
        </w:rPr>
        <w:t xml:space="preserve">. Por ello, el acto que declare la caducidad invocando como único fundamento la configuración de la inhabilidad sobreviniente —que, como se explicó, no constituye por sí misma un incumplimiento contractual— incurriría en falsa motivación, pues los hechos invocados no corresponderían a la causal aplicada. Distinto es el evento en que la entidad acredite que la renuencia persistente del integrante a cumplir el deber legal de cesión, valorada en las circunstancias concretas del contrato, configura un incumplimiento grave con aptitud de paralizar la ejecución: en tal caso, la motivación deberá construirse sobre ese incumplimiento y su incidencia en el contrato, y no sobre la inhabilidad como tal. Esta exigencia de correspondencia entre causal y motivación es, en últimas, expresión del principio de legalidad que gobierna las potestades excepcionales: como lo ha sostenido la Sección Tercera, la </w:t>
      </w:r>
      <w:r w:rsidRPr="000565B4">
        <w:rPr>
          <w:rFonts w:ascii="Verdana" w:eastAsia="Verdana" w:hAnsi="Verdana" w:cs="Verdana"/>
          <w:color w:val="000000"/>
        </w:rPr>
        <w:lastRenderedPageBreak/>
        <w:t>Administración no puede ejercer prerrogativas de poder público sin consagración legal expresa, ni por fuera de los supuestos estrictamente delimitados por el legislador</w:t>
      </w:r>
      <w:r w:rsidRPr="000565B4">
        <w:rPr>
          <w:rFonts w:ascii="Verdana" w:eastAsia="Verdana" w:hAnsi="Verdana" w:cs="Verdana"/>
          <w:color w:val="000000"/>
          <w:vertAlign w:val="superscript"/>
        </w:rPr>
        <w:footnoteReference w:id="37"/>
      </w:r>
      <w:r w:rsidRPr="000565B4">
        <w:rPr>
          <w:rFonts w:ascii="Verdana" w:eastAsia="Verdana" w:hAnsi="Verdana" w:cs="Verdana"/>
          <w:color w:val="000000"/>
        </w:rPr>
        <w:t>, de modo que la motivación rigurosa del acto es simultáneamente la condición de su validez y la principal salvaguarda de la entidad frente al riesgo de anulación y de condena patrimonial en sede judicial.</w:t>
      </w:r>
    </w:p>
    <w:p w14:paraId="5CECDEA6" w14:textId="77777777" w:rsidR="001F2C08" w:rsidRPr="000565B4" w:rsidRDefault="001F2C08" w:rsidP="00584DA6">
      <w:pPr>
        <w:pBdr>
          <w:top w:val="nil"/>
          <w:left w:val="nil"/>
          <w:bottom w:val="nil"/>
          <w:right w:val="nil"/>
          <w:between w:val="nil"/>
        </w:pBdr>
        <w:spacing w:after="120" w:line="276" w:lineRule="auto"/>
        <w:ind w:firstLine="720"/>
        <w:jc w:val="both"/>
        <w:rPr>
          <w:rFonts w:ascii="Verdana" w:eastAsia="Verdana" w:hAnsi="Verdana" w:cs="Verdana"/>
        </w:rPr>
      </w:pPr>
      <w:r w:rsidRPr="000565B4">
        <w:rPr>
          <w:rFonts w:ascii="Verdana" w:eastAsia="Verdana" w:hAnsi="Verdana" w:cs="Verdana"/>
        </w:rPr>
        <w:t xml:space="preserve">En esa medida, la sola configuración del supuesto o previsto en el numeral 1 del artículo 17 no habilita automáticamente a la Administración para declarar la terminación unilateral del contrato, pues el ejercicio de esta potestad exige que la entidad exponga de manera suficiente y verificable por qué, en las circunstancias concretas del caso, se satisfacen los presupuestos previstos en el numeral 1 del artículo 17 de la Ley 80 de 1993. Ello implica demostrar que la inhabilidad sobreviniente afecta de manera real y significativa la prestación del servicio público, y que la decisión adoptada es necesaria y proporcional frente a dicha afectación. </w:t>
      </w:r>
    </w:p>
    <w:p w14:paraId="062663AB" w14:textId="77777777" w:rsidR="001F2C08" w:rsidRPr="000565B4" w:rsidRDefault="001F2C08" w:rsidP="00AC4BDA">
      <w:pPr>
        <w:spacing w:after="120" w:line="276" w:lineRule="auto"/>
        <w:jc w:val="both"/>
        <w:rPr>
          <w:rFonts w:ascii="Verdana" w:eastAsia="Verdana" w:hAnsi="Verdana" w:cs="Verdana"/>
        </w:rPr>
      </w:pPr>
      <w:r w:rsidRPr="000565B4">
        <w:rPr>
          <w:rFonts w:ascii="Verdana" w:eastAsia="Verdana" w:hAnsi="Verdana" w:cs="Verdana"/>
        </w:rPr>
        <w:tab/>
        <w:t xml:space="preserve">En todo caso, la entidad está obligada a examinar alternativas o mecanismos que permitan gestionar o superar la situación derivada de la inhabilidad sobreviniente, de manera que la terminación unilateral solo se adopte cuando resulte estrictamente necesaria para proteger el interés público y garantizar la continuidad del servicio. En todo caso, cuando ello sea viable y compatible con los fines de la contratación estatal, la entidad puede explorar la posibilidad de llegar a un acuerdo con el contratista para la terminación del contrato, privilegiando soluciones concertadas que reduzcan los impactos negativos sobre la gestión de la Administración Pública. </w:t>
      </w:r>
    </w:p>
    <w:p w14:paraId="09CA570A" w14:textId="77777777" w:rsidR="001F2C08" w:rsidRPr="000565B4" w:rsidRDefault="001F2C08" w:rsidP="00F15CD1">
      <w:pPr>
        <w:spacing w:after="120" w:line="276" w:lineRule="auto"/>
        <w:jc w:val="both"/>
        <w:rPr>
          <w:rFonts w:ascii="Verdana" w:eastAsia="Verdana" w:hAnsi="Verdana" w:cs="Verdana"/>
        </w:rPr>
      </w:pPr>
      <w:r w:rsidRPr="000565B4">
        <w:rPr>
          <w:rFonts w:ascii="Verdana" w:eastAsia="Verdana" w:hAnsi="Verdana" w:cs="Verdana"/>
        </w:rPr>
        <w:tab/>
        <w:t xml:space="preserve">Por último, cuando la entidad no disponga de la potestad de terminación unilateral —por no haberse pactado ni entenderse pactada la cláusula excepcional conforme al artículo 14 de la Ley 80 de 1993— o cuando considere que los presupuestos del numeral 1 del artículo 17 no se satisfacen en el caso concreto, el ordenamiento contempla la posibilidad de acudir al juez del contrato mediante el medio de control de controversias contractuales previsto en el artículo 141 de la Ley 1437 de 2011. Por esta vía, la entidad puede solicitar que </w:t>
      </w:r>
      <w:r w:rsidRPr="000565B4">
        <w:rPr>
          <w:rFonts w:ascii="Verdana" w:eastAsia="Verdana" w:hAnsi="Verdana" w:cs="Verdana"/>
        </w:rPr>
        <w:lastRenderedPageBreak/>
        <w:t>se declare la terminación del vínculo contractual y se definan las restituciones, reconocimientos y demás consecuencias a que haya lugar, con la garantía de un pronunciamiento judicial que resuelva de manera definitiva la situación de bloqueo derivada del incumplimiento del deber legal de cesión. Esta alternativa confirma, además, que la imposibilidad de materializar la cesión no deja a la administración desprovista de mecanismos: el sistema jurídico ofrece una gradación de instrumentos —requerimiento de cumplimiento, solución concertada, potestades excepcionales cuando resulten procedentes y, residualmente, la intervención del juez del contrato— que permiten restablecer la legalidad de la actividad contractual sin sacrificar las garantías del contratista.</w:t>
      </w:r>
    </w:p>
    <w:p w14:paraId="3279CBC9" w14:textId="77777777" w:rsidR="001F2C08" w:rsidRPr="000565B4" w:rsidRDefault="001F2C08" w:rsidP="00584DA6">
      <w:pPr>
        <w:spacing w:after="120" w:line="276" w:lineRule="auto"/>
        <w:jc w:val="both"/>
        <w:rPr>
          <w:rFonts w:ascii="Verdana" w:eastAsia="Verdana" w:hAnsi="Verdana" w:cs="Verdana"/>
        </w:rPr>
      </w:pPr>
      <w:r w:rsidRPr="000565B4">
        <w:rPr>
          <w:rFonts w:ascii="Verdana" w:eastAsia="Verdana" w:hAnsi="Verdana" w:cs="Verdana"/>
        </w:rPr>
        <w:tab/>
        <w:t>Finalmente, la conclusión expuesta constituye una precisión del alcance de la doctrina de esta Subdirección contenida en el Concepto C-059 del 13 de junio de 2023, conforme a la cual, ante la inhabilidad sobreviniente de un integrante de consorcio o unión temporal, el ordenamiento prevé como único mecanismo para la continuidad del contrato la cesión de la participación a un tercero, previa autorización escrita de la entidad. Esa conclusión se mantiene íntegramente en lo que constituye su núcleo: la cesión es el único instrumento diseñado por el legislador para conservar el vínculo contractual. El presente concepto la complementa respecto de un supuesto que aquel pronunciamiento no resolvió expresamente: el del fracaso del mecanismo de cesión por la renuencia del integrante o por la imposibilidad objetiva de materializarla. Frente a ese escenario, se precisa que la entidad no está obligada a mantener indefinidamente la ejecución del contrato en condiciones contrarias al régimen de inhabilidades e incompatibilidades, sino que podrá valorar la procedencia de la terminación unilateral prevista en el numeral 1 del artículo 17 de la Ley 80 de 1993, en los términos y con los condicionamientos expuestos en este concepto. Esta precisión garantiza la coherencia de la doctrina de la Subdirección registrada en el Sistema de Relatoría.</w:t>
      </w:r>
    </w:p>
    <w:p w14:paraId="4D2CC526" w14:textId="77777777" w:rsidR="00F242CC" w:rsidRPr="00185EE9" w:rsidRDefault="00F242CC" w:rsidP="00584DA6">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w:t>
      </w:r>
      <w:r w:rsidRPr="00E853DE">
        <w:rPr>
          <w:rFonts w:ascii="Verdana" w:eastAsia="Calibri" w:hAnsi="Verdana" w:cs="Arial"/>
          <w:bCs/>
          <w:color w:val="000000" w:themeColor="text1"/>
        </w:rPr>
        <w:lastRenderedPageBreak/>
        <w:t>sus actuaciones.</w:t>
      </w:r>
      <w:r w:rsidRPr="00185EE9">
        <w:rPr>
          <w:rFonts w:ascii="Verdana" w:eastAsia="Calibri" w:hAnsi="Verdana" w:cs="Arial"/>
          <w:bCs/>
          <w:color w:val="000000" w:themeColor="text1"/>
        </w:rPr>
        <w:t xml:space="preserve"> </w:t>
      </w:r>
      <w:r>
        <w:rPr>
          <w:rStyle w:val="s15"/>
          <w:rFonts w:ascii="Verdana" w:hAnsi="Verdana"/>
          <w:color w:val="000000"/>
        </w:rPr>
        <w:t>Esto significa que</w:t>
      </w:r>
      <w:r w:rsidRPr="00925D18">
        <w:rPr>
          <w:rStyle w:val="s15"/>
          <w:rFonts w:ascii="Verdana" w:hAnsi="Verdana"/>
          <w:color w:val="000000"/>
        </w:rPr>
        <w:t>,</w:t>
      </w:r>
      <w:r>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Pr>
          <w:rStyle w:val="FootnoteReference"/>
          <w:rFonts w:ascii="Verdana" w:eastAsia="Calibri" w:hAnsi="Verdana" w:cs="Arial"/>
          <w:bCs/>
          <w:color w:val="000000" w:themeColor="text1"/>
        </w:rPr>
        <w:footnoteReference w:id="38"/>
      </w:r>
      <w:r>
        <w:rPr>
          <w:rFonts w:ascii="Verdana" w:eastAsia="Calibri" w:hAnsi="Verdana" w:cs="Arial"/>
          <w:bCs/>
          <w:color w:val="000000" w:themeColor="text1"/>
        </w:rPr>
        <w:t xml:space="preserve">. </w:t>
      </w:r>
    </w:p>
    <w:p w14:paraId="4994148D" w14:textId="77777777" w:rsidR="00F242CC" w:rsidRPr="00A77871" w:rsidRDefault="00F242CC" w:rsidP="00F242CC">
      <w:pPr>
        <w:numPr>
          <w:ilvl w:val="0"/>
          <w:numId w:val="16"/>
        </w:numPr>
        <w:tabs>
          <w:tab w:val="left" w:pos="142"/>
          <w:tab w:val="left" w:pos="284"/>
        </w:tabs>
        <w:spacing w:before="240" w:after="0" w:line="276" w:lineRule="auto"/>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50E54594" w14:textId="77777777" w:rsidR="00F242CC" w:rsidRPr="00A77871" w:rsidRDefault="00F242CC" w:rsidP="00F242CC">
      <w:pPr>
        <w:widowControl w:val="0"/>
        <w:autoSpaceDE w:val="0"/>
        <w:autoSpaceDN w:val="0"/>
        <w:spacing w:after="0" w:line="276" w:lineRule="auto"/>
        <w:jc w:val="both"/>
        <w:rPr>
          <w:rFonts w:ascii="Verdana" w:eastAsia="Calibri"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42CC" w:rsidRPr="00A77871" w14:paraId="51469166" w14:textId="77777777" w:rsidTr="00B6747F">
        <w:trPr>
          <w:trHeight w:val="410"/>
          <w:jc w:val="center"/>
        </w:trPr>
        <w:tc>
          <w:tcPr>
            <w:tcW w:w="8647" w:type="dxa"/>
          </w:tcPr>
          <w:p w14:paraId="6BBA89EC"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Constitución Política, artículos 6, 29, 83, 209 y 333.</w:t>
            </w:r>
          </w:p>
          <w:p w14:paraId="6E4A10F4"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80 de 1993, artículos 7, 8, 9, 13, 14, 17, 18, 23, 26, 28, 41, 44 y 45.</w:t>
            </w:r>
          </w:p>
          <w:p w14:paraId="2A7941F9"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1150 de 2007, artículos 6 y 9.</w:t>
            </w:r>
          </w:p>
          <w:p w14:paraId="08E4C580"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1437 de 2011, artículos 34, 35, 138, 141.</w:t>
            </w:r>
          </w:p>
          <w:p w14:paraId="4B798362"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 xml:space="preserve">Ley 2014 de 2019, artículo 6.  </w:t>
            </w:r>
          </w:p>
          <w:p w14:paraId="0FB2362C" w14:textId="77777777" w:rsidR="008C3F5E" w:rsidRPr="000565B4" w:rsidRDefault="008C3F5E" w:rsidP="008C3F5E">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Código Civil, artículos 16, 73, 74, 633, 1501, 1502, 1503, 1504, 1519, 1523, 1741 y 1959 a 1966.</w:t>
            </w:r>
          </w:p>
          <w:p w14:paraId="7B03865D" w14:textId="6D637354" w:rsidR="00F242CC" w:rsidRPr="00AD6904" w:rsidRDefault="008C3F5E" w:rsidP="00AD6904">
            <w:pPr>
              <w:pStyle w:val="ListParagraph"/>
              <w:widowControl w:val="0"/>
              <w:numPr>
                <w:ilvl w:val="0"/>
                <w:numId w:val="17"/>
              </w:numPr>
              <w:autoSpaceDE w:val="0"/>
              <w:autoSpaceDN w:val="0"/>
              <w:spacing w:after="120" w:line="276" w:lineRule="auto"/>
              <w:contextualSpacing w:val="0"/>
              <w:jc w:val="both"/>
              <w:rPr>
                <w:rFonts w:ascii="Verdana" w:eastAsia="Calibri" w:hAnsi="Verdana"/>
              </w:rPr>
            </w:pPr>
            <w:r w:rsidRPr="000565B4">
              <w:rPr>
                <w:rFonts w:ascii="Verdana" w:eastAsia="Verdana" w:hAnsi="Verdana" w:cs="Verdana"/>
              </w:rPr>
              <w:t>Código de Comercio, artículos 99 y 887</w:t>
            </w:r>
            <w:r w:rsidR="00AD6904">
              <w:rPr>
                <w:rFonts w:ascii="Verdana" w:eastAsia="Verdana" w:hAnsi="Verdana" w:cs="Verdana"/>
              </w:rPr>
              <w:t>.</w:t>
            </w:r>
          </w:p>
        </w:tc>
      </w:tr>
    </w:tbl>
    <w:p w14:paraId="1B44DA63" w14:textId="77777777" w:rsidR="00F242CC" w:rsidRPr="00F15CD1" w:rsidRDefault="00F242CC" w:rsidP="00584DA6">
      <w:pPr>
        <w:widowControl w:val="0"/>
        <w:numPr>
          <w:ilvl w:val="0"/>
          <w:numId w:val="16"/>
        </w:numPr>
        <w:tabs>
          <w:tab w:val="left" w:pos="142"/>
          <w:tab w:val="left" w:pos="284"/>
        </w:tabs>
        <w:autoSpaceDE w:val="0"/>
        <w:autoSpaceDN w:val="0"/>
        <w:spacing w:before="240" w:line="276" w:lineRule="auto"/>
        <w:jc w:val="both"/>
        <w:rPr>
          <w:rFonts w:ascii="Verdana" w:eastAsia="Calibri" w:hAnsi="Verdana" w:cs="Arial"/>
          <w:color w:val="000000"/>
          <w:kern w:val="2"/>
          <w:shd w:val="clear" w:color="auto" w:fill="FFFFFF"/>
          <w14:ligatures w14:val="standardContextual"/>
        </w:rPr>
      </w:pPr>
      <w:r w:rsidRPr="00F15CD1">
        <w:rPr>
          <w:rFonts w:ascii="Verdana" w:eastAsia="Century Gothic" w:hAnsi="Verdana" w:cs="Century Gothic"/>
          <w:b/>
          <w:bCs/>
        </w:rPr>
        <w:t>Doctrina de la Agencia Nacional de Contratación Pública:</w:t>
      </w:r>
    </w:p>
    <w:p w14:paraId="7E9B6A69" w14:textId="77777777" w:rsidR="007E6066" w:rsidRPr="00F15CD1" w:rsidRDefault="00F242CC" w:rsidP="00F15CD1">
      <w:pPr>
        <w:widowControl w:val="0"/>
        <w:spacing w:after="0" w:line="276" w:lineRule="auto"/>
        <w:jc w:val="both"/>
        <w:rPr>
          <w:rFonts w:ascii="Verdana" w:eastAsia="Verdana" w:hAnsi="Verdana" w:cs="Verdana"/>
          <w:highlight w:val="white"/>
        </w:rPr>
      </w:pPr>
      <w:r w:rsidRPr="00F15CD1">
        <w:rPr>
          <w:rFonts w:ascii="Verdana" w:eastAsia="Calibri" w:hAnsi="Verdana" w:cs="Arial"/>
        </w:rPr>
        <w:t xml:space="preserve">La Agencia Nacional de Contratación Pública – Colombia Compra Eficiente </w:t>
      </w:r>
      <w:r w:rsidR="00DE6F43" w:rsidRPr="00F15CD1">
        <w:rPr>
          <w:rFonts w:ascii="Verdana" w:eastAsia="Calibri" w:hAnsi="Verdana" w:cs="Arial"/>
        </w:rPr>
        <w:t xml:space="preserve">a través de esta subdirección </w:t>
      </w:r>
      <w:r w:rsidRPr="00F15CD1">
        <w:rPr>
          <w:rFonts w:ascii="Verdana" w:eastAsia="Calibri" w:hAnsi="Verdana" w:cs="Arial"/>
        </w:rPr>
        <w:t xml:space="preserve">se ha </w:t>
      </w:r>
      <w:r w:rsidR="006D1D1F" w:rsidRPr="00F15CD1">
        <w:rPr>
          <w:rFonts w:ascii="Verdana" w:eastAsia="Calibri" w:hAnsi="Verdana" w:cs="Arial"/>
        </w:rPr>
        <w:t xml:space="preserve">pronunciado sobre las inhabilidades e incompatibilidades </w:t>
      </w:r>
      <w:r w:rsidR="004257DC" w:rsidRPr="00F15CD1">
        <w:rPr>
          <w:rFonts w:ascii="Verdana" w:eastAsia="Calibri" w:hAnsi="Verdana" w:cs="Arial"/>
        </w:rPr>
        <w:t xml:space="preserve">en algunos conceptos, tales como: </w:t>
      </w:r>
      <w:sdt>
        <w:sdtPr>
          <w:rPr>
            <w:rFonts w:ascii="Verdana" w:eastAsia="Verdana" w:hAnsi="Verdana" w:cs="Verdana"/>
          </w:rPr>
          <w:tag w:val="goog_rdk_3"/>
          <w:id w:val="-1310473169"/>
        </w:sdtPr>
        <w:sdtContent>
          <w:r w:rsidR="007E6066" w:rsidRPr="00F15CD1">
            <w:rPr>
              <w:rFonts w:ascii="Verdana" w:eastAsia="Verdana" w:hAnsi="Verdana" w:cs="Verdana"/>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w:t>
          </w:r>
          <w:r w:rsidR="007E6066" w:rsidRPr="00F15CD1">
            <w:rPr>
              <w:rFonts w:ascii="Verdana" w:eastAsia="Verdana" w:hAnsi="Verdana" w:cs="Verdana"/>
            </w:rPr>
            <w:lastRenderedPageBreak/>
            <w:t>diciembre de 2019, 4201912000007060 del 11 de diciembre de 2019, 4201912000007512 del 16  diciembre de 2019, 4201912000008460 del 14 de febrero de 2020, C−032 del 19 de febrero de 2020,  C−402 del 26 de junio de 202</w:t>
          </w:r>
          <w:r w:rsidR="007E6066" w:rsidRPr="00F32815">
            <w:rPr>
              <w:rFonts w:ascii="Verdana" w:eastAsia="Verdana" w:hAnsi="Verdana" w:cs="Verdana"/>
            </w:rPr>
            <w:t xml:space="preserve">0, C−365 del 30 de junio de 2020, C−386 del 24 de julio de 2020, C-585 del 14 de septiembre de 2020, C–592 del 14 de septiembre de 2020, C−551 de 24 de septiembre de 2020, C−709 del 7 de diciembre de 2020, C–721 de 14 de diciembre de 2020, C–004 del 12 de </w:t>
          </w:r>
          <w:r w:rsidR="007E6066" w:rsidRPr="00F15CD1">
            <w:rPr>
              <w:rFonts w:ascii="Verdana" w:eastAsia="Verdana" w:hAnsi="Verdana" w:cs="Verdana"/>
            </w:rPr>
            <w:t xml:space="preserve">febrero de 2021, C–815 del 18 de febrero de 2021, C–047 del 8 de marzo de 2021, C–113 del 30 de marzo de 2021, C–122 del 30 de marzo de 2021, C–178 del 28 de abril de 2021, C-293 del 28 de agosto de 2021, 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 C-170 del 19 de marzo de 2025, C-392 del 8 de mayo de 2025, C-632 del 2 de julio de 2025, C-710 del 15 de julio de 2025, C-731 del 21 de agosto de 2025, C-1058 del 5 de septiembre de 2025, C-1233 del 10 de octubre de 2025, C-1388 del 30 de octubre de 2025, C-1390 del 4 de noviembre de 2025, C-552 del 19 de mayo de 2026, entre otros. Sobre la cesión del contrato estatal se pronunció esta Subdirección en los  conceptos 4201913000007643 y 4201913000007669 del 26 de diciembre de 2019, así como en los Conceptos C-551 del 24 de septiembre de 2020, C-572 del 27 de agosto de 2020, C-582 del 28 de agosto de 2020, C-385 del 20 de agosto de 2021, C-069 del 24 de abril de 2023 y C –157 de 2024, C-172 del 6 de junio de 2023, C-032 del 16 de abril de 2024, C-100 del 12 de junio de 2024, C-325 del 06 de agosto de 2024, C-366 del 29 de agosto de 2024 y C-473 del 29 de septiembre de 2024, C-214 del 26 de marzo de 2025,C-314 del 29 de abril de 2025, entre otros. </w:t>
          </w:r>
        </w:sdtContent>
      </w:sdt>
      <w:r w:rsidR="007E6066" w:rsidRPr="00F15CD1">
        <w:rPr>
          <w:rFonts w:ascii="Verdana" w:eastAsia="Verdana" w:hAnsi="Verdana" w:cs="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w:t>
      </w:r>
      <w:r w:rsidR="007E6066" w:rsidRPr="00F32815">
        <w:rPr>
          <w:rFonts w:ascii="Verdana" w:eastAsia="Verdana" w:hAnsi="Verdana" w:cs="Verdana"/>
        </w:rPr>
        <w:t xml:space="preserve">e Gestión Contractual, accede a través del siguiente enlace: </w:t>
      </w:r>
      <w:hyperlink r:id="rId11">
        <w:r w:rsidR="007E6066" w:rsidRPr="00F15CD1">
          <w:rPr>
            <w:rFonts w:ascii="Verdana" w:eastAsia="Verdana" w:hAnsi="Verdana" w:cs="Verdana"/>
            <w:color w:val="0000FF"/>
            <w:u w:val="single"/>
          </w:rPr>
          <w:t>https://relatoria.colombiacompra.gov.co/busqueda/conceptos</w:t>
        </w:r>
      </w:hyperlink>
      <w:r w:rsidR="007E6066" w:rsidRPr="00F15CD1">
        <w:rPr>
          <w:rFonts w:ascii="Verdana" w:eastAsia="Verdana" w:hAnsi="Verdana" w:cs="Verdana"/>
        </w:rPr>
        <w:t xml:space="preserve">. </w:t>
      </w:r>
    </w:p>
    <w:p w14:paraId="410968C2" w14:textId="77777777" w:rsidR="00016BDD" w:rsidRPr="00F15CD1" w:rsidRDefault="00016BDD" w:rsidP="00584DA6">
      <w:pPr>
        <w:spacing w:before="240" w:after="0" w:line="276" w:lineRule="auto"/>
        <w:jc w:val="both"/>
        <w:rPr>
          <w:rFonts w:ascii="Verdana" w:hAnsi="Verdana"/>
        </w:rPr>
      </w:pPr>
      <w:r w:rsidRPr="00F15CD1">
        <w:rPr>
          <w:rFonts w:ascii="Verdana" w:hAnsi="Verdana"/>
        </w:rPr>
        <w:lastRenderedPageBreak/>
        <w:t xml:space="preserve">Las garantías no son un requisito formal: son el </w:t>
      </w:r>
      <w:r w:rsidRPr="00F32815">
        <w:rPr>
          <w:rFonts w:ascii="Verdana" w:hAnsi="Verdana"/>
        </w:rPr>
        <w:t>instrumento con el que se protege el patrimonio público frente a los riesgos del contrato. Por ello, la Agencia Nacional de Contratación Pública –Colombia Compra Eficiente– te invita a consultar la nueva versión de la </w:t>
      </w:r>
      <w:r w:rsidRPr="00F15CD1">
        <w:rPr>
          <w:rFonts w:ascii="Verdana" w:hAnsi="Verdana"/>
          <w:b/>
          <w:bCs/>
        </w:rPr>
        <w:t>Guía para la Exigencia y Constitución de Garantías en los Procesos de Contratación</w:t>
      </w:r>
      <w:r w:rsidRPr="00F15CD1">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ooltip="Dirección URL original: https://www.colombiacompra.gov.co/archivos/manual/guia-de-garantias-en-procesos-de-contratacion. Haga clic o pulse si confía en este vínculo." w:history="1">
        <w:r w:rsidRPr="00F15CD1">
          <w:rPr>
            <w:rStyle w:val="Hyperlink"/>
            <w:rFonts w:ascii="Verdana" w:hAnsi="Verdana"/>
          </w:rPr>
          <w:t>https://www.colombiacompra.gov.co/archivos/manual/guia-de-garantias-en-procesos-de-contratacion</w:t>
        </w:r>
      </w:hyperlink>
    </w:p>
    <w:p w14:paraId="2104B837" w14:textId="77777777" w:rsidR="00016BDD" w:rsidRPr="00F15CD1" w:rsidRDefault="00016BDD" w:rsidP="00584DA6">
      <w:pPr>
        <w:spacing w:before="240" w:after="0" w:line="276" w:lineRule="auto"/>
        <w:jc w:val="both"/>
        <w:rPr>
          <w:rFonts w:ascii="Verdana" w:hAnsi="Verdana"/>
        </w:rPr>
      </w:pPr>
      <w:r w:rsidRPr="00F15CD1">
        <w:rPr>
          <w:rFonts w:ascii="Verdana" w:hAnsi="Verdana"/>
        </w:rPr>
        <w:t>De otro lado, te contamos que el Decreto 287 del 19 de marzo de 2026 sustituyó los artículos 2.2.1.2.4.2.6., 2.2.1.2.4.2.7. y 2.2.1.2.4.2.8. del Decreto 1082 de 2015 y estructuró el </w:t>
      </w:r>
      <w:r w:rsidRPr="00F15CD1">
        <w:rPr>
          <w:rFonts w:ascii="Verdana" w:hAnsi="Verdana"/>
          <w:b/>
          <w:bCs/>
        </w:rPr>
        <w:t>Sistema Integral de Preferencias en favor de las personas con discapacidad</w:t>
      </w:r>
      <w:r w:rsidRPr="00F15CD1">
        <w:rPr>
          <w:rFonts w:ascii="Verdana" w:hAnsi="Verdana"/>
        </w:rPr>
        <w:t>, en cumplimiento del artículo 13 de la Ley Estatutaria 1618 de 2013. Para orientar su aplicación, esta Agencia expidió la </w:t>
      </w:r>
      <w:r w:rsidRPr="00F15CD1">
        <w:rPr>
          <w:rFonts w:ascii="Verdana" w:hAnsi="Verdana"/>
          <w:b/>
          <w:bCs/>
        </w:rPr>
        <w:t>Circular Externa 003 del 12 de mayo de 2026, </w:t>
      </w:r>
      <w:r w:rsidRPr="00F15CD1">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3" w:tooltip="Dirección URL original: https://www.colombiacompra.gov.co/archivos/circular/circular-externa-003-de-2026. Haga clic o pulse si confía en este vínculo." w:history="1">
        <w:r w:rsidRPr="00F15CD1">
          <w:rPr>
            <w:rStyle w:val="Hyperlink"/>
            <w:rFonts w:ascii="Verdana" w:hAnsi="Verdana"/>
          </w:rPr>
          <w:t>https://www.colombiacompra.gov.co/archivos/circular/circular-externa-003-de-2026</w:t>
        </w:r>
      </w:hyperlink>
    </w:p>
    <w:p w14:paraId="4D1BD25F" w14:textId="77777777" w:rsidR="00016BDD" w:rsidRPr="00F15CD1" w:rsidRDefault="00016BDD" w:rsidP="00584DA6">
      <w:pPr>
        <w:spacing w:before="240" w:after="0" w:line="276" w:lineRule="auto"/>
        <w:jc w:val="both"/>
        <w:rPr>
          <w:rFonts w:ascii="Verdana" w:hAnsi="Verdana"/>
        </w:rPr>
      </w:pPr>
      <w:r w:rsidRPr="00F15CD1">
        <w:rPr>
          <w:rFonts w:ascii="Verdana" w:hAnsi="Verdana"/>
        </w:rPr>
        <w:t>Recuerda también que la</w:t>
      </w:r>
      <w:r w:rsidRPr="00F15CD1">
        <w:rPr>
          <w:rFonts w:ascii="Verdana" w:hAnsi="Verdana"/>
          <w:b/>
          <w:bCs/>
        </w:rPr>
        <w:t> información sobre sanciones e inhabilidades </w:t>
      </w:r>
      <w:r w:rsidRPr="00F32815">
        <w:rPr>
          <w:rFonts w:ascii="Verdana" w:hAnsi="Verdana"/>
        </w:rPr>
        <w:t>solo cumple su función preventiva si llega oportunamente a los registros públicos. Sobre este deber, esta Agencia expidió la </w:t>
      </w:r>
      <w:r w:rsidRPr="00F15CD1">
        <w:rPr>
          <w:rFonts w:ascii="Verdana" w:hAnsi="Verdana"/>
          <w:b/>
          <w:bCs/>
        </w:rPr>
        <w:t>Circular Externa 002 del 5 de mayo de 2026,</w:t>
      </w:r>
      <w:r w:rsidRPr="00F15CD1">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Dirección URL original: https://www.colombiacompra.gov.co/archivos/circular/circular-externa-002-de-2026. Haga clic o pulse si confía en este vínculo." w:history="1">
        <w:r w:rsidRPr="00F15CD1">
          <w:rPr>
            <w:rStyle w:val="Hyperlink"/>
            <w:rFonts w:ascii="Verdana" w:hAnsi="Verdana"/>
          </w:rPr>
          <w:t>https://www.colombiacompra.gov.co/archivos/circular/circular-externa-002-de-2026</w:t>
        </w:r>
      </w:hyperlink>
    </w:p>
    <w:p w14:paraId="612B9709" w14:textId="6C9CC9BB" w:rsidR="00584DA6" w:rsidRPr="00681E14" w:rsidRDefault="00016BDD" w:rsidP="00681E14">
      <w:pPr>
        <w:spacing w:before="240" w:after="0" w:line="276" w:lineRule="auto"/>
        <w:jc w:val="both"/>
        <w:rPr>
          <w:rFonts w:ascii="Verdana" w:hAnsi="Verdana"/>
          <w:color w:val="0000FF"/>
          <w:u w:val="single"/>
        </w:rPr>
      </w:pPr>
      <w:r w:rsidRPr="00F15CD1">
        <w:rPr>
          <w:rFonts w:ascii="Verdana" w:hAnsi="Verdana"/>
        </w:rPr>
        <w:lastRenderedPageBreak/>
        <w:t>Finalmente, si quieres seguir de cerca la actividad de la Agencia, la tercera edición de 2026 del</w:t>
      </w:r>
      <w:r w:rsidRPr="00F15CD1">
        <w:rPr>
          <w:rFonts w:ascii="Verdana" w:hAnsi="Verdana"/>
          <w:b/>
          <w:bCs/>
        </w:rPr>
        <w:t> Radar de la Compra Pública</w:t>
      </w:r>
      <w:r w:rsidRPr="00F15CD1">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ooltip="Dirección URL original: https://www.colombiacompra.gov.co/archivos/boletin/boletin-edicion-n-3-de-2026-radar-de-la-compra-publica. Haga clic o pulse si confía en este vínculo." w:history="1">
        <w:r w:rsidRPr="00F15CD1">
          <w:rPr>
            <w:rStyle w:val="Hyperlink"/>
            <w:rFonts w:ascii="Verdana" w:hAnsi="Verdana"/>
          </w:rPr>
          <w:t>https://www.colombiacompra.gov.co/archivos/boletin/boletin-edicion-n-3-de-2026-radar-de-la-compra-publica</w:t>
        </w:r>
      </w:hyperlink>
    </w:p>
    <w:p w14:paraId="2F4F2EE9" w14:textId="0E6BDE04" w:rsidR="00F242CC" w:rsidRPr="00B66CE2" w:rsidRDefault="00F242CC" w:rsidP="00681E14">
      <w:pPr>
        <w:spacing w:before="240" w:after="120" w:line="276" w:lineRule="auto"/>
        <w:jc w:val="both"/>
        <w:rPr>
          <w:rFonts w:ascii="Verdana" w:eastAsia="Verdana" w:hAnsi="Verdana" w:cs="Verdana"/>
        </w:rPr>
      </w:pPr>
      <w:r w:rsidRPr="00F15CD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B66CE2">
        <w:rPr>
          <w:rFonts w:ascii="Verdana" w:eastAsia="Verdana" w:hAnsi="Verdana" w:cs="Verdana"/>
        </w:rPr>
        <w:t xml:space="preserve">atención: </w:t>
      </w:r>
    </w:p>
    <w:p w14:paraId="0BC77B3D" w14:textId="77777777" w:rsidR="00F242CC" w:rsidRPr="00F15CD1" w:rsidRDefault="00F242CC" w:rsidP="00F15CD1">
      <w:pPr>
        <w:pStyle w:val="ListParagraph"/>
        <w:numPr>
          <w:ilvl w:val="0"/>
          <w:numId w:val="18"/>
        </w:numPr>
        <w:spacing w:after="0" w:line="276" w:lineRule="auto"/>
        <w:contextualSpacing w:val="0"/>
        <w:jc w:val="both"/>
        <w:rPr>
          <w:rFonts w:ascii="Verdana" w:eastAsia="Verdana" w:hAnsi="Verdana" w:cs="Verdana"/>
          <w:color w:val="4472C4" w:themeColor="accent1"/>
          <w:u w:val="single"/>
        </w:rPr>
      </w:pPr>
      <w:r w:rsidRPr="00F15CD1">
        <w:rPr>
          <w:rFonts w:ascii="Verdana" w:eastAsia="Verdana" w:hAnsi="Verdana" w:cs="Verdana"/>
        </w:rPr>
        <w:t xml:space="preserve">Línea nacional gratuita o servicio a la ciudadanía (Mesa de servicio): </w:t>
      </w:r>
      <w:r w:rsidRPr="00F15CD1">
        <w:rPr>
          <w:rStyle w:val="Hyperlink"/>
          <w:rFonts w:ascii="Verdana" w:hAnsi="Verdana"/>
          <w:lang w:val="es-CO"/>
        </w:rPr>
        <w:t>01800 0520808</w:t>
      </w:r>
    </w:p>
    <w:p w14:paraId="7ECF776C" w14:textId="77777777" w:rsidR="00F242CC" w:rsidRPr="00F15CD1" w:rsidRDefault="00F242CC" w:rsidP="00F15CD1">
      <w:pPr>
        <w:pStyle w:val="ListParagraph"/>
        <w:numPr>
          <w:ilvl w:val="0"/>
          <w:numId w:val="18"/>
        </w:numPr>
        <w:spacing w:after="0" w:line="276" w:lineRule="auto"/>
        <w:contextualSpacing w:val="0"/>
        <w:jc w:val="both"/>
        <w:rPr>
          <w:rFonts w:ascii="Verdana" w:eastAsia="Verdana" w:hAnsi="Verdana" w:cs="Verdana"/>
          <w:color w:val="4472C4" w:themeColor="accent1"/>
          <w:u w:val="single"/>
          <w:lang w:val="es-CO"/>
        </w:rPr>
      </w:pPr>
      <w:r w:rsidRPr="00F15CD1">
        <w:rPr>
          <w:rFonts w:ascii="Verdana" w:eastAsia="Verdana" w:hAnsi="Verdana" w:cs="Verdana"/>
          <w:lang w:val="es-CO"/>
        </w:rPr>
        <w:t xml:space="preserve">Línea en Bogotá (Mesa de servicio): </w:t>
      </w:r>
      <w:r w:rsidRPr="00F15CD1">
        <w:rPr>
          <w:rStyle w:val="Hyperlink"/>
          <w:rFonts w:ascii="Verdana" w:hAnsi="Verdana"/>
          <w:lang w:val="es-CO"/>
        </w:rPr>
        <w:t>+57 601 7456788</w:t>
      </w:r>
    </w:p>
    <w:p w14:paraId="78256723" w14:textId="77777777" w:rsidR="00F242CC" w:rsidRPr="00F15CD1" w:rsidRDefault="00F242CC" w:rsidP="00584DA6">
      <w:pPr>
        <w:pStyle w:val="ListParagraph"/>
        <w:numPr>
          <w:ilvl w:val="0"/>
          <w:numId w:val="18"/>
        </w:numPr>
        <w:spacing w:after="0" w:line="276" w:lineRule="auto"/>
        <w:contextualSpacing w:val="0"/>
        <w:jc w:val="both"/>
        <w:rPr>
          <w:rFonts w:ascii="Verdana" w:eastAsia="Verdana" w:hAnsi="Verdana" w:cs="Verdana"/>
          <w:color w:val="0000FF"/>
          <w:u w:val="single"/>
          <w:lang w:val="es-CO"/>
        </w:rPr>
      </w:pPr>
      <w:r w:rsidRPr="00F15CD1">
        <w:rPr>
          <w:rFonts w:ascii="Verdana" w:eastAsia="Verdana" w:hAnsi="Verdana" w:cs="Verdana"/>
          <w:lang w:val="es-CO"/>
        </w:rPr>
        <w:t xml:space="preserve">Correo de radicación de correspondencia: </w:t>
      </w:r>
      <w:hyperlink r:id="rId16" w:history="1">
        <w:r w:rsidRPr="00F15CD1">
          <w:rPr>
            <w:rStyle w:val="Hyperlink"/>
            <w:rFonts w:ascii="Verdana" w:eastAsia="Verdana" w:hAnsi="Verdana" w:cs="Verdana"/>
            <w:lang w:val="es-CO"/>
          </w:rPr>
          <w:t>ventanilladeradicacion@colombiacompra.gov.co</w:t>
        </w:r>
      </w:hyperlink>
    </w:p>
    <w:p w14:paraId="5ED18A7C" w14:textId="0EC4B46C" w:rsidR="00584DA6" w:rsidRPr="00681E14" w:rsidRDefault="00F242CC" w:rsidP="00681E14">
      <w:pPr>
        <w:pStyle w:val="ListParagraph"/>
        <w:numPr>
          <w:ilvl w:val="0"/>
          <w:numId w:val="18"/>
        </w:numPr>
        <w:spacing w:after="0" w:line="276" w:lineRule="auto"/>
        <w:contextualSpacing w:val="0"/>
        <w:jc w:val="both"/>
        <w:rPr>
          <w:rFonts w:ascii="Verdana" w:hAnsi="Verdana"/>
        </w:rPr>
      </w:pPr>
      <w:r w:rsidRPr="00F15CD1">
        <w:rPr>
          <w:rFonts w:ascii="Verdana" w:eastAsia="Verdana" w:hAnsi="Verdana" w:cs="Verdana"/>
          <w:lang w:val="es-CO"/>
        </w:rPr>
        <w:t xml:space="preserve">Formulario web para PQRSD: </w:t>
      </w:r>
      <w:hyperlink r:id="rId17" w:history="1">
        <w:r w:rsidRPr="00F15CD1">
          <w:rPr>
            <w:rStyle w:val="Hyperlink"/>
            <w:rFonts w:ascii="Verdana" w:eastAsia="Verdana" w:hAnsi="Verdana" w:cs="Verdana"/>
            <w:lang w:val="es-CO"/>
          </w:rPr>
          <w:t>https://www.colombiacompra.gov.co/pqrsd/informacion-importante-antes-de-formular-una-pqrsd</w:t>
        </w:r>
      </w:hyperlink>
    </w:p>
    <w:p w14:paraId="70427B91" w14:textId="77777777" w:rsidR="00F242CC" w:rsidRPr="00F15CD1" w:rsidRDefault="00F242CC" w:rsidP="00681E14">
      <w:pPr>
        <w:spacing w:before="240" w:after="0" w:line="276" w:lineRule="auto"/>
        <w:jc w:val="both"/>
        <w:rPr>
          <w:rFonts w:ascii="Verdana" w:hAnsi="Verdana"/>
        </w:rPr>
      </w:pPr>
      <w:r w:rsidRPr="00F15CD1">
        <w:rPr>
          <w:rFonts w:ascii="Verdana" w:hAnsi="Verdana"/>
        </w:rPr>
        <w:t xml:space="preserve">Evalúa el servicio que ofrece la Agencia por el canal de atención de PQRSD en el siguiente enlace: </w:t>
      </w:r>
      <w:hyperlink r:id="rId18" w:history="1">
        <w:r w:rsidRPr="00F15CD1">
          <w:rPr>
            <w:rStyle w:val="Hyperlink"/>
            <w:rFonts w:ascii="Verdana" w:hAnsi="Verdana"/>
          </w:rPr>
          <w:t>https://forms.office.com/r/pPHyWVs2SZ</w:t>
        </w:r>
      </w:hyperlink>
      <w:r w:rsidRPr="00F15CD1">
        <w:rPr>
          <w:rFonts w:ascii="Verdana" w:hAnsi="Verdana"/>
        </w:rPr>
        <w:t>. ¡Ayúdanos a mejorar porque el compromiso es de todos!</w:t>
      </w:r>
    </w:p>
    <w:p w14:paraId="50453980" w14:textId="0002E9E9" w:rsidR="00584DA6" w:rsidRPr="00F15CD1" w:rsidRDefault="00F242CC" w:rsidP="00584DA6">
      <w:pPr>
        <w:spacing w:after="0" w:line="276" w:lineRule="auto"/>
        <w:jc w:val="both"/>
        <w:rPr>
          <w:rFonts w:ascii="Verdana" w:hAnsi="Verdana"/>
        </w:rPr>
      </w:pPr>
      <w:r w:rsidRPr="00F15CD1">
        <w:rPr>
          <w:rFonts w:ascii="Verdana" w:hAnsi="Verdana"/>
        </w:rPr>
        <w:t xml:space="preserve">Por último, lo invitamos a seguirnos en las redes sociales en las cuales se difunde información institucional: </w:t>
      </w:r>
    </w:p>
    <w:p w14:paraId="18A0FA25" w14:textId="77777777" w:rsidR="00F242CC" w:rsidRPr="00F15CD1" w:rsidRDefault="00F242CC" w:rsidP="00681E14">
      <w:pPr>
        <w:spacing w:before="240" w:after="0" w:line="276" w:lineRule="auto"/>
        <w:jc w:val="both"/>
        <w:rPr>
          <w:rFonts w:ascii="Verdana" w:hAnsi="Verdana"/>
        </w:rPr>
      </w:pPr>
      <w:r w:rsidRPr="00F15CD1">
        <w:rPr>
          <w:rFonts w:ascii="Verdana" w:hAnsi="Verdana"/>
        </w:rPr>
        <w:t xml:space="preserve">Twitter: </w:t>
      </w:r>
      <w:r w:rsidRPr="00F15CD1">
        <w:rPr>
          <w:rStyle w:val="Hyperlink"/>
          <w:rFonts w:ascii="Verdana" w:hAnsi="Verdana"/>
        </w:rPr>
        <w:t>@colombiacompra</w:t>
      </w:r>
      <w:r w:rsidRPr="00F15CD1">
        <w:rPr>
          <w:rFonts w:ascii="Verdana" w:hAnsi="Verdana"/>
        </w:rPr>
        <w:t xml:space="preserve"> </w:t>
      </w:r>
    </w:p>
    <w:p w14:paraId="72A9261E" w14:textId="77777777" w:rsidR="00F242CC" w:rsidRPr="00F15CD1" w:rsidRDefault="00F242CC" w:rsidP="00F15CD1">
      <w:pPr>
        <w:spacing w:after="0" w:line="276" w:lineRule="auto"/>
        <w:jc w:val="both"/>
        <w:rPr>
          <w:rFonts w:ascii="Verdana" w:hAnsi="Verdana"/>
        </w:rPr>
      </w:pPr>
      <w:r w:rsidRPr="00F15CD1">
        <w:rPr>
          <w:rFonts w:ascii="Verdana" w:hAnsi="Verdana"/>
        </w:rPr>
        <w:t xml:space="preserve">Facebook: </w:t>
      </w:r>
      <w:r w:rsidRPr="00F15CD1">
        <w:rPr>
          <w:rStyle w:val="Hyperlink"/>
          <w:rFonts w:ascii="Verdana" w:hAnsi="Verdana"/>
        </w:rPr>
        <w:t>ColombiaCompraEficiente</w:t>
      </w:r>
    </w:p>
    <w:p w14:paraId="5E285471" w14:textId="77777777" w:rsidR="00F242CC" w:rsidRPr="00F15CD1" w:rsidRDefault="00F242CC" w:rsidP="00F15CD1">
      <w:pPr>
        <w:spacing w:after="0" w:line="276" w:lineRule="auto"/>
        <w:jc w:val="both"/>
        <w:rPr>
          <w:rFonts w:ascii="Verdana" w:hAnsi="Verdana"/>
        </w:rPr>
      </w:pPr>
      <w:r w:rsidRPr="00F15CD1">
        <w:rPr>
          <w:rFonts w:ascii="Verdana" w:hAnsi="Verdana"/>
        </w:rPr>
        <w:t xml:space="preserve">LinkedIn: </w:t>
      </w:r>
      <w:r w:rsidRPr="00F15CD1">
        <w:rPr>
          <w:rStyle w:val="Hyperlink"/>
          <w:rFonts w:ascii="Verdana" w:hAnsi="Verdana"/>
        </w:rPr>
        <w:t>Agencia Nacional de Contratación Pública - Colombia Compra Eficiente</w:t>
      </w:r>
      <w:r w:rsidRPr="00F15CD1">
        <w:rPr>
          <w:rFonts w:ascii="Verdana" w:hAnsi="Verdana"/>
        </w:rPr>
        <w:t xml:space="preserve"> </w:t>
      </w:r>
    </w:p>
    <w:p w14:paraId="5841380B" w14:textId="7AD71F18" w:rsidR="00584DA6" w:rsidRPr="00681E14" w:rsidRDefault="00F242CC" w:rsidP="00584DA6">
      <w:pPr>
        <w:spacing w:after="0" w:line="276" w:lineRule="auto"/>
        <w:jc w:val="both"/>
        <w:rPr>
          <w:rFonts w:ascii="Verdana" w:hAnsi="Verdana"/>
          <w:color w:val="0000FF"/>
          <w:u w:val="single"/>
        </w:rPr>
      </w:pPr>
      <w:r w:rsidRPr="00F15CD1">
        <w:rPr>
          <w:rFonts w:ascii="Verdana" w:hAnsi="Verdana"/>
        </w:rPr>
        <w:t xml:space="preserve">Instagram: </w:t>
      </w:r>
      <w:r w:rsidRPr="00F15CD1">
        <w:rPr>
          <w:rStyle w:val="Hyperlink"/>
          <w:rFonts w:ascii="Verdana" w:hAnsi="Verdana"/>
        </w:rPr>
        <w:t>@colombiacompraeficiente_cce</w:t>
      </w:r>
    </w:p>
    <w:p w14:paraId="43C2B172" w14:textId="77777777" w:rsidR="00F242CC" w:rsidRPr="00F15CD1" w:rsidRDefault="00F242CC" w:rsidP="00681E14">
      <w:pPr>
        <w:spacing w:before="240" w:after="0" w:line="276" w:lineRule="auto"/>
        <w:jc w:val="both"/>
        <w:rPr>
          <w:rFonts w:ascii="Verdana" w:eastAsia="Calibri" w:hAnsi="Verdana" w:cs="Times New Roman"/>
          <w:bCs/>
        </w:rPr>
      </w:pPr>
      <w:r w:rsidRPr="00F15CD1">
        <w:rPr>
          <w:rFonts w:ascii="Verdana" w:eastAsia="Calibri" w:hAnsi="Verdana" w:cs="Times New Roman"/>
        </w:rPr>
        <w:t xml:space="preserve">Este concepto tiene el alcance previsto en el artículo 28 del Código de Procedimiento Administrativo y de lo Contencioso Administrativo y las </w:t>
      </w:r>
      <w:r w:rsidRPr="00F15CD1">
        <w:rPr>
          <w:rFonts w:ascii="Verdana" w:eastAsia="Calibri" w:hAnsi="Verdana" w:cs="Times New Roman"/>
        </w:rPr>
        <w:lastRenderedPageBreak/>
        <w:t>expresiones utilizadas con mayúscula inicial deben ser entendidas con el significado que les otorga el artículo 2.2.1.1.1.3.1 del Decreto 1082 de 2015.</w:t>
      </w:r>
    </w:p>
    <w:p w14:paraId="635F7949" w14:textId="77777777" w:rsidR="00F242CC" w:rsidRPr="00F15CD1" w:rsidRDefault="00F242CC" w:rsidP="00F15CD1">
      <w:pPr>
        <w:spacing w:after="0" w:line="276" w:lineRule="auto"/>
        <w:jc w:val="both"/>
        <w:rPr>
          <w:rFonts w:ascii="Verdana" w:eastAsia="Times New Roman" w:hAnsi="Verdana" w:cs="Arial"/>
          <w:lang w:eastAsia="es-CO"/>
        </w:rPr>
      </w:pPr>
      <w:bookmarkStart w:id="10" w:name="_Hlk117695077"/>
    </w:p>
    <w:p w14:paraId="60BCE246" w14:textId="5A239405" w:rsidR="00F242CC" w:rsidRPr="00F15CD1" w:rsidRDefault="00F242CC" w:rsidP="00584DA6">
      <w:pPr>
        <w:spacing w:after="0" w:line="276" w:lineRule="auto"/>
        <w:jc w:val="both"/>
        <w:rPr>
          <w:rFonts w:ascii="Verdana" w:eastAsia="Times New Roman" w:hAnsi="Verdana" w:cs="Arial"/>
          <w:lang w:eastAsia="es-CO"/>
        </w:rPr>
      </w:pPr>
      <w:r w:rsidRPr="00F15CD1">
        <w:rPr>
          <w:rFonts w:ascii="Verdana" w:eastAsia="Times New Roman" w:hAnsi="Verdana" w:cs="Arial"/>
          <w:lang w:eastAsia="es-CO"/>
        </w:rPr>
        <w:t xml:space="preserve">Atentamente, </w:t>
      </w:r>
    </w:p>
    <w:p w14:paraId="670D70F5" w14:textId="21F2647A" w:rsidR="00932313" w:rsidRPr="00932313" w:rsidRDefault="00932313" w:rsidP="00932313">
      <w:pPr>
        <w:spacing w:line="276" w:lineRule="auto"/>
        <w:jc w:val="both"/>
        <w:rPr>
          <w:rFonts w:ascii="Verdana" w:eastAsia="Times New Roman" w:hAnsi="Verdana" w:cs="Arial"/>
          <w:lang w:eastAsia="es-CO"/>
        </w:rPr>
      </w:pPr>
      <w:r w:rsidRPr="00932313">
        <w:rPr>
          <w:rFonts w:ascii="Verdana" w:eastAsia="Times New Roman" w:hAnsi="Verdana" w:cs="Arial"/>
          <w:noProof/>
          <w:lang w:eastAsia="es-CO"/>
        </w:rPr>
        <w:drawing>
          <wp:anchor distT="0" distB="0" distL="114300" distR="114300" simplePos="0" relativeHeight="251659264" behindDoc="1" locked="0" layoutInCell="1" allowOverlap="1" wp14:anchorId="4327C06A" wp14:editId="421F1379">
            <wp:simplePos x="0" y="0"/>
            <wp:positionH relativeFrom="margin">
              <wp:align>center</wp:align>
            </wp:positionH>
            <wp:positionV relativeFrom="paragraph">
              <wp:posOffset>4181</wp:posOffset>
            </wp:positionV>
            <wp:extent cx="3771900" cy="1400175"/>
            <wp:effectExtent l="0" t="0" r="0" b="9525"/>
            <wp:wrapNone/>
            <wp:docPr id="9905358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494181D4" w14:textId="274B63C0" w:rsidR="00F242CC" w:rsidRPr="00BF015C" w:rsidRDefault="00F242CC" w:rsidP="00F242CC">
      <w:pPr>
        <w:spacing w:line="276" w:lineRule="auto"/>
        <w:jc w:val="both"/>
        <w:rPr>
          <w:rFonts w:ascii="Verdana" w:eastAsia="Times New Roman" w:hAnsi="Verdana" w:cs="Arial"/>
          <w:lang w:eastAsia="es-CO"/>
        </w:rPr>
      </w:pPr>
    </w:p>
    <w:p w14:paraId="711E7928" w14:textId="77777777" w:rsidR="00F242CC" w:rsidRPr="00A77871" w:rsidRDefault="00F242CC" w:rsidP="00F242CC">
      <w:pPr>
        <w:spacing w:line="276" w:lineRule="auto"/>
        <w:jc w:val="both"/>
        <w:rPr>
          <w:rFonts w:ascii="Verdana" w:eastAsia="Times New Roman" w:hAnsi="Verdana" w:cs="Arial"/>
          <w:lang w:eastAsia="es-CO"/>
        </w:rPr>
      </w:pPr>
    </w:p>
    <w:p w14:paraId="391AD6E3" w14:textId="77777777" w:rsidR="00F242CC" w:rsidRPr="00C56632" w:rsidRDefault="00F242CC" w:rsidP="00F242CC">
      <w:pPr>
        <w:spacing w:line="276" w:lineRule="auto"/>
        <w:jc w:val="both"/>
        <w:rPr>
          <w:rFonts w:ascii="Verdana" w:eastAsia="Times New Roman" w:hAnsi="Verdana" w:cs="Arial"/>
          <w:lang w:eastAsia="es-CO"/>
        </w:rPr>
      </w:pPr>
    </w:p>
    <w:p w14:paraId="55B296E8" w14:textId="77777777" w:rsidR="00F242CC" w:rsidRPr="006B1E22" w:rsidRDefault="00F242CC" w:rsidP="00F242CC">
      <w:pPr>
        <w:spacing w:line="276" w:lineRule="auto"/>
        <w:jc w:val="both"/>
        <w:rPr>
          <w:rFonts w:ascii="Verdana" w:eastAsia="Times New Roman" w:hAnsi="Verdana" w:cs="Arial"/>
          <w:lang w:eastAsia="es-CO"/>
        </w:rPr>
      </w:pPr>
    </w:p>
    <w:p w14:paraId="3F543752" w14:textId="77777777" w:rsidR="00F242CC" w:rsidRPr="003B1C8F" w:rsidRDefault="00F242CC" w:rsidP="00F242CC">
      <w:pPr>
        <w:spacing w:line="276" w:lineRule="auto"/>
        <w:jc w:val="both"/>
        <w:rPr>
          <w:rFonts w:ascii="Verdana" w:eastAsia="Times New Roman" w:hAnsi="Verdana" w:cs="Arial"/>
          <w:lang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242CC" w:rsidRPr="0029279E" w14:paraId="0CC11FF5" w14:textId="77777777" w:rsidTr="00B6747F">
        <w:trPr>
          <w:trHeight w:val="315"/>
        </w:trPr>
        <w:tc>
          <w:tcPr>
            <w:tcW w:w="893" w:type="dxa"/>
            <w:vAlign w:val="center"/>
            <w:hideMark/>
          </w:tcPr>
          <w:bookmarkEnd w:id="10"/>
          <w:p w14:paraId="1CDB13FE" w14:textId="77777777" w:rsidR="00F242CC" w:rsidRPr="0029279E" w:rsidRDefault="00F242CC" w:rsidP="00B6747F">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1B9AAA87" w14:textId="77777777" w:rsidR="00F242CC" w:rsidRPr="0029279E" w:rsidRDefault="00F242CC" w:rsidP="00B6747F">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178CB9D0" w14:textId="77777777" w:rsidR="00F242CC" w:rsidRPr="0029279E" w:rsidRDefault="00F242CC" w:rsidP="00B6747F">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F242CC" w:rsidRPr="0029279E" w14:paraId="4D2B7488" w14:textId="77777777" w:rsidTr="00B6747F">
        <w:trPr>
          <w:trHeight w:val="330"/>
        </w:trPr>
        <w:tc>
          <w:tcPr>
            <w:tcW w:w="893" w:type="dxa"/>
            <w:vAlign w:val="center"/>
            <w:hideMark/>
          </w:tcPr>
          <w:p w14:paraId="67F3A0BD" w14:textId="77777777" w:rsidR="00F242CC" w:rsidRPr="0029279E" w:rsidRDefault="00F242CC" w:rsidP="00B6747F">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86A6F58" w14:textId="4D2DBACB" w:rsidR="00F242CC" w:rsidRPr="0029279E" w:rsidRDefault="005F58F3" w:rsidP="00B6747F">
            <w:pPr>
              <w:spacing w:line="276" w:lineRule="auto"/>
              <w:jc w:val="both"/>
              <w:rPr>
                <w:rFonts w:ascii="Verdana" w:eastAsia="Times New Roman" w:hAnsi="Verdana" w:cs="Arial"/>
                <w:color w:val="000000"/>
                <w:sz w:val="16"/>
                <w:szCs w:val="16"/>
              </w:rPr>
            </w:pPr>
            <w:r>
              <w:rPr>
                <w:rFonts w:ascii="Verdana" w:eastAsia="Times New Roman" w:hAnsi="Verdana" w:cs="Arial"/>
                <w:color w:val="000000"/>
                <w:sz w:val="16"/>
                <w:szCs w:val="16"/>
              </w:rPr>
              <w:t>Diana Lucia Saavedra</w:t>
            </w:r>
          </w:p>
          <w:p w14:paraId="763E4008" w14:textId="77777777" w:rsidR="00F242CC" w:rsidRPr="0029279E" w:rsidRDefault="00F242CC" w:rsidP="00B6747F">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F242CC" w:rsidRPr="0029279E" w14:paraId="322628FA" w14:textId="77777777" w:rsidTr="00B6747F">
        <w:trPr>
          <w:trHeight w:val="300"/>
        </w:trPr>
        <w:tc>
          <w:tcPr>
            <w:tcW w:w="893" w:type="dxa"/>
            <w:vAlign w:val="center"/>
            <w:hideMark/>
          </w:tcPr>
          <w:p w14:paraId="1722688A" w14:textId="77777777" w:rsidR="00F242CC" w:rsidRPr="0029279E" w:rsidRDefault="00F242CC" w:rsidP="00B6747F">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1E113586" w14:textId="77777777" w:rsidR="00F242CC" w:rsidRPr="0029279E" w:rsidRDefault="00F242CC" w:rsidP="00B6747F">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153F22C9" w14:textId="77777777" w:rsidR="00F242CC" w:rsidRPr="0029279E" w:rsidRDefault="00F242CC" w:rsidP="00B6747F">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bookmarkEnd w:id="1"/>
    </w:tbl>
    <w:p w14:paraId="7CFEBBE2" w14:textId="77777777" w:rsidR="00F242CC" w:rsidRPr="000E2B93" w:rsidRDefault="00F242CC" w:rsidP="00F242CC">
      <w:pPr>
        <w:spacing w:after="0" w:line="240" w:lineRule="auto"/>
        <w:jc w:val="both"/>
        <w:textAlignment w:val="baseline"/>
        <w:rPr>
          <w:rFonts w:ascii="Verdana" w:eastAsia="Verdana" w:hAnsi="Verdana" w:cs="Verdana"/>
          <w:lang w:eastAsia="es-CO"/>
        </w:rPr>
      </w:pPr>
    </w:p>
    <w:p w14:paraId="537ACEBA" w14:textId="7DBD7AD0" w:rsidR="00F242CC" w:rsidRPr="000E2B93" w:rsidRDefault="00F242CC" w:rsidP="00F242C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295998B4" w14:textId="77777777" w:rsidR="00F242CC" w:rsidRPr="0015699B" w:rsidRDefault="00F242CC" w:rsidP="00F242CC">
      <w:pPr>
        <w:spacing w:after="0" w:line="240" w:lineRule="auto"/>
        <w:jc w:val="both"/>
        <w:textAlignment w:val="baseline"/>
        <w:rPr>
          <w:rFonts w:ascii="Verdana" w:eastAsia="Verdana" w:hAnsi="Verdana" w:cs="Verdana"/>
          <w:lang w:eastAsia="es-CO"/>
        </w:rPr>
      </w:pPr>
    </w:p>
    <w:p w14:paraId="6D43F0C7" w14:textId="77777777" w:rsidR="00F242CC" w:rsidRPr="0024624F" w:rsidRDefault="00F242CC" w:rsidP="00F242CC">
      <w:pPr>
        <w:spacing w:after="0"/>
        <w:rPr>
          <w:rFonts w:ascii="Verdana" w:eastAsia="Verdana" w:hAnsi="Verdana" w:cs="Verdana"/>
        </w:rPr>
      </w:pPr>
    </w:p>
    <w:p w14:paraId="12443EE0" w14:textId="77777777" w:rsidR="00C15139" w:rsidRPr="0024624F" w:rsidRDefault="00C15139" w:rsidP="30821638">
      <w:pPr>
        <w:spacing w:after="0"/>
        <w:rPr>
          <w:rFonts w:ascii="Verdana" w:eastAsia="Verdana" w:hAnsi="Verdana" w:cs="Verdana"/>
        </w:rPr>
      </w:pPr>
    </w:p>
    <w:p w14:paraId="67A44998" w14:textId="77777777" w:rsidR="001A33BF" w:rsidRDefault="001A33BF" w:rsidP="30821638">
      <w:pPr>
        <w:spacing w:after="0" w:line="240" w:lineRule="auto"/>
        <w:jc w:val="both"/>
        <w:rPr>
          <w:rFonts w:ascii="Verdana" w:eastAsia="Verdana" w:hAnsi="Verdana" w:cs="Verdana"/>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2A0E9E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even" r:id="rId20"/>
      <w:headerReference w:type="default" r:id="rId21"/>
      <w:footerReference w:type="even" r:id="rId22"/>
      <w:footerReference w:type="default" r:id="rId23"/>
      <w:headerReference w:type="first" r:id="rId24"/>
      <w:footerReference w:type="firs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D149A" w14:textId="77777777" w:rsidR="00AF5C2E" w:rsidRDefault="00AF5C2E" w:rsidP="004A1847">
      <w:pPr>
        <w:spacing w:after="0" w:line="240" w:lineRule="auto"/>
      </w:pPr>
      <w:r>
        <w:separator/>
      </w:r>
    </w:p>
  </w:endnote>
  <w:endnote w:type="continuationSeparator" w:id="0">
    <w:p w14:paraId="06DC70E9" w14:textId="77777777" w:rsidR="00AF5C2E" w:rsidRDefault="00AF5C2E" w:rsidP="004A1847">
      <w:pPr>
        <w:spacing w:after="0" w:line="240" w:lineRule="auto"/>
      </w:pPr>
      <w:r>
        <w:continuationSeparator/>
      </w:r>
    </w:p>
  </w:endnote>
  <w:endnote w:type="continuationNotice" w:id="1">
    <w:p w14:paraId="3BDE2C3B" w14:textId="77777777" w:rsidR="00AF5C2E" w:rsidRDefault="00AF5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06D6" w14:textId="77777777" w:rsidR="00341D8A" w:rsidRDefault="00341D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65FB" w14:textId="77777777" w:rsidR="00341D8A" w:rsidRDefault="00341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C6B9B" w14:textId="77777777" w:rsidR="00AF5C2E" w:rsidRDefault="00AF5C2E" w:rsidP="004A1847">
      <w:pPr>
        <w:spacing w:after="0" w:line="240" w:lineRule="auto"/>
      </w:pPr>
      <w:r>
        <w:separator/>
      </w:r>
    </w:p>
  </w:footnote>
  <w:footnote w:type="continuationSeparator" w:id="0">
    <w:p w14:paraId="57A61A41" w14:textId="77777777" w:rsidR="00AF5C2E" w:rsidRDefault="00AF5C2E" w:rsidP="004A1847">
      <w:pPr>
        <w:spacing w:after="0" w:line="240" w:lineRule="auto"/>
      </w:pPr>
      <w:r>
        <w:continuationSeparator/>
      </w:r>
    </w:p>
  </w:footnote>
  <w:footnote w:type="continuationNotice" w:id="1">
    <w:p w14:paraId="25E3729B" w14:textId="77777777" w:rsidR="00AF5C2E" w:rsidRDefault="00AF5C2E">
      <w:pPr>
        <w:spacing w:after="0" w:line="240" w:lineRule="auto"/>
      </w:pPr>
    </w:p>
  </w:footnote>
  <w:footnote w:id="2">
    <w:p w14:paraId="058BBDDB"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w:t>
      </w:r>
      <w:r w:rsidRPr="00DE5412">
        <w:rPr>
          <w:rFonts w:ascii="Verdana" w:eastAsia="Verdana" w:hAnsi="Verdana" w:cs="Verdana"/>
          <w:color w:val="000000"/>
          <w:sz w:val="16"/>
          <w:szCs w:val="16"/>
        </w:rPr>
        <w:t>CORTE CONSTITUCIONAL.</w:t>
      </w:r>
      <w:r w:rsidRPr="00F23306">
        <w:rPr>
          <w:rFonts w:ascii="Verdana" w:eastAsia="Verdana" w:hAnsi="Verdana" w:cs="Verdana"/>
          <w:color w:val="000000"/>
          <w:sz w:val="16"/>
          <w:szCs w:val="16"/>
        </w:rPr>
        <w:t xml:space="preserve"> Sentencia C-181 de 1997. M.P. Fabio Morón Díaz. Ver también las Sentencias C-540 de 2001, C-893 de 2003 y C-903 de 2008, entre otras.</w:t>
      </w:r>
    </w:p>
  </w:footnote>
  <w:footnote w:id="3">
    <w:p w14:paraId="5CFF3A3F"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Corte Constitucional. Sentencia C-1016 de 2012. M.P. Jorge Iván Palacio.</w:t>
      </w:r>
    </w:p>
  </w:footnote>
  <w:footnote w:id="4">
    <w:p w14:paraId="466A6BDC"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w:t>
      </w:r>
      <w:r w:rsidRPr="00DE5412">
        <w:rPr>
          <w:rFonts w:ascii="Verdana" w:eastAsia="Verdana" w:hAnsi="Verdana" w:cs="Verdana"/>
          <w:color w:val="000000"/>
          <w:sz w:val="16"/>
          <w:szCs w:val="16"/>
        </w:rPr>
        <w:t>CONSEJO DE ESTADO.</w:t>
      </w:r>
      <w:r w:rsidRPr="00F23306">
        <w:rPr>
          <w:rFonts w:ascii="Verdana" w:eastAsia="Verdana" w:hAnsi="Verdana" w:cs="Verdana"/>
          <w:color w:val="000000"/>
          <w:sz w:val="16"/>
          <w:szCs w:val="16"/>
        </w:rPr>
        <w:t xml:space="preserve"> Sección Tercera. Subsección A. Sentencia del 13 de noviembre de 2013. Rad. 25.646. C.P. Mauricio Fajardo Gómez. </w:t>
      </w:r>
    </w:p>
  </w:footnote>
  <w:footnote w:id="5">
    <w:p w14:paraId="7BB8C31D"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Corte Constitucional. Sentencia C-415 de 1994. M.P. Eduardo Cifuentes Muñoz.</w:t>
      </w:r>
    </w:p>
  </w:footnote>
  <w:footnote w:id="6">
    <w:p w14:paraId="7A223AD3"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Ibídem.</w:t>
      </w:r>
    </w:p>
  </w:footnote>
  <w:footnote w:id="7">
    <w:p w14:paraId="0E37A445"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Corte Constitucional. Sentencia C-780 de 2001. M.P. Jaime Córdoba Triviño.</w:t>
      </w:r>
    </w:p>
  </w:footnote>
  <w:footnote w:id="8">
    <w:p w14:paraId="07A5A909"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Ley 80 de 1993: “Artículo 8: 1o. Son inhábiles para participar en licitaciones o concursos y para celebrar contratos con las entidades estatales: </w:t>
      </w:r>
    </w:p>
    <w:p w14:paraId="79527A0F"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a) Las personas que se hallen inhabilitadas para contratar por la Constitución y las leyes. </w:t>
      </w:r>
    </w:p>
    <w:p w14:paraId="6C218FB3"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b) Quienes participaron en las licitaciones o concursos o celebraron los contratos de que trata el literal anterior estando inhabilitados. </w:t>
      </w:r>
    </w:p>
    <w:p w14:paraId="5E92C8C7"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c) Quienes dieron lugar a la declaratoria de caducidad. </w:t>
      </w:r>
    </w:p>
    <w:p w14:paraId="402D52C9"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d) Quienes en sentencia judicial hayan sido condenados a la pena accesoria de interdicción de derechos y funciones públicas y quienes hayan sido sancionados disciplinariamente con destitución. </w:t>
      </w:r>
    </w:p>
    <w:p w14:paraId="25CDB05A"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e) Quienes sin justa causa se abstengan de suscribir el contrato estatal adjudicado. </w:t>
      </w:r>
    </w:p>
    <w:p w14:paraId="5EF34389"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f) Los servidores públicos. </w:t>
      </w:r>
    </w:p>
    <w:p w14:paraId="3572CC9E"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102087D1"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eastAsia="Verdana" w:hAnsi="Verdana" w:cs="Verdana"/>
          <w:color w:val="000000"/>
          <w:sz w:val="16"/>
          <w:szCs w:val="16"/>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B071C2A"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i) Los socios de sociedades de personas a las cuales se haya declarado la caducidad, así como las sociedades de personas de las que aquellos formen parte con posterioridad a dicha declaratoria. </w:t>
      </w:r>
    </w:p>
    <w:p w14:paraId="6AD05CC9"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56846994"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30D33599"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 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31BBF876"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w:t>
      </w:r>
    </w:p>
    <w:p w14:paraId="1337A475"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eastAsia="Verdana" w:hAnsi="Verdana" w:cs="Verdana"/>
          <w:color w:val="000000"/>
          <w:sz w:val="16"/>
          <w:szCs w:val="16"/>
        </w:rPr>
        <w:t>2o. Tampoco podrán participar en licitaciones o concursos ni celebrar contratos estatales con la entidad respectiva: </w:t>
      </w:r>
    </w:p>
    <w:p w14:paraId="58ACCAF5"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77F30A84"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41E77146"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c) El cónyuge, compañero o compañera permanente del servidor público en los niveles directivo, asesor, ejecutivo, o de un miembro de la junta o consejo directivo, o de quien ejerza funciones de control interno o de control fiscal. </w:t>
      </w:r>
    </w:p>
    <w:p w14:paraId="66F16611"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55E579A2" w14:textId="77777777" w:rsidR="001F2C08" w:rsidRPr="00F23306" w:rsidRDefault="001F2C08" w:rsidP="001F2C08">
      <w:pPr>
        <w:pBdr>
          <w:top w:val="nil"/>
          <w:left w:val="nil"/>
          <w:bottom w:val="nil"/>
          <w:right w:val="nil"/>
          <w:between w:val="nil"/>
        </w:pBdr>
        <w:spacing w:after="0" w:line="240" w:lineRule="auto"/>
        <w:jc w:val="both"/>
        <w:rPr>
          <w:rFonts w:ascii="Verdana" w:eastAsia="Verdana" w:hAnsi="Verdana" w:cs="Verdana"/>
          <w:color w:val="000000"/>
          <w:sz w:val="16"/>
          <w:szCs w:val="16"/>
        </w:rPr>
      </w:pPr>
      <w:r w:rsidRPr="00F23306">
        <w:rPr>
          <w:rFonts w:ascii="Verdana" w:eastAsia="Verdana" w:hAnsi="Verdana" w:cs="Verdana"/>
          <w:color w:val="000000"/>
          <w:sz w:val="16"/>
          <w:szCs w:val="16"/>
        </w:rPr>
        <w:t>  </w:t>
      </w:r>
      <w:r w:rsidRPr="00F23306">
        <w:rPr>
          <w:rFonts w:ascii="Verdana" w:eastAsia="Verdana" w:hAnsi="Verdana" w:cs="Verdana"/>
          <w:color w:val="000000"/>
          <w:sz w:val="16"/>
          <w:szCs w:val="16"/>
        </w:rPr>
        <w:tab/>
        <w:t>e) Los miembros de las juntas o consejos directivos. Esta incompatibilidad sólo se predica respecto de la entidad a la cual prestan sus servicios y de las del sector administrativo al que la misma esté adscrita o vinculada. </w:t>
      </w:r>
    </w:p>
    <w:p w14:paraId="5F78256D"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eastAsia="Verdana" w:hAnsi="Verdana" w:cs="Verdana"/>
          <w:color w:val="000000"/>
          <w:sz w:val="16"/>
          <w:szCs w:val="16"/>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footnote>
  <w:footnote w:id="9">
    <w:p w14:paraId="1F409DD1"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Ibídem. p. 69.</w:t>
      </w:r>
    </w:p>
  </w:footnote>
  <w:footnote w:id="10">
    <w:p w14:paraId="0CF31EE4"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Corte Constitucional. Sentencia T-1039 de 2006. M.P. Humberto Sierra Porto. La Corte Constitucional ha mantenido este criterio en las sentencias: C-903 de 2008. M.P. Jaime Araujo Rentería; C-101 de 2018. M.P. Gloria Stella Ortiz Delgado; entre otras. </w:t>
      </w:r>
    </w:p>
  </w:footnote>
  <w:footnote w:id="11">
    <w:p w14:paraId="65F4BAA3"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Consejo de Estado. Sala de Consulta y Servicio Civil. Concepto del 30 de abril de 2015. Exp. 2251. C.P. Álvaro Namén Vargas.</w:t>
      </w:r>
    </w:p>
  </w:footnote>
  <w:footnote w:id="12">
    <w:p w14:paraId="78A8E6B0"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Consejo de Estado. Sección Tercera. Subsección A. Sentencia del 24 de junio de 2015. Exp. 40.635. C.P. Hernán Andrade Rincón (E).</w:t>
      </w:r>
    </w:p>
  </w:footnote>
  <w:footnote w:id="13">
    <w:p w14:paraId="02A6E839"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Consejo de Estado. Sección Tercera. Subsección C. Sentencia del 22 de mayo de 2013. Rad. 24.057. C.P. Olga Mélida Valle De De La Hoz.</w:t>
      </w:r>
    </w:p>
  </w:footnote>
  <w:footnote w:id="14">
    <w:p w14:paraId="582796F7"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Corte Constitucional. Sentencia C-415 de 1994. M.P. Eduardo Cifuentes Muñoz.</w:t>
      </w:r>
    </w:p>
  </w:footnote>
  <w:footnote w:id="15">
    <w:p w14:paraId="01D76DC9"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Consejo de Estado. Sección Tercera. Subsección B.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16">
    <w:p w14:paraId="409B594A"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Consejo de Estado. Sala de Consulta y Servicio Civil. Concepto del 29 de abril de 1998. Rad. 1097. C.P. Augusto Trejos Jaramillo.</w:t>
      </w:r>
    </w:p>
  </w:footnote>
  <w:footnote w:id="17">
    <w:p w14:paraId="22BD383D"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RAMÍREZ GRISALES, Richard. La cesión. Medellín: Librería Jurídica Sánchez, 2014. p. 41. </w:t>
      </w:r>
    </w:p>
  </w:footnote>
  <w:footnote w:id="18">
    <w:p w14:paraId="50234A29" w14:textId="77777777" w:rsidR="001F2C08" w:rsidRPr="00F23306"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Verdana" w:hAnsi="Verdana" w:cs="Verdana"/>
          <w:color w:val="000000"/>
          <w:sz w:val="16"/>
          <w:szCs w:val="16"/>
        </w:rPr>
        <w:t xml:space="preserve"> Los contratos estatales son </w:t>
      </w:r>
      <w:r w:rsidRPr="00DE5412">
        <w:rPr>
          <w:rFonts w:ascii="Verdana" w:eastAsia="Verdana" w:hAnsi="Verdana" w:cs="Verdana"/>
          <w:i/>
          <w:color w:val="000000"/>
          <w:sz w:val="16"/>
          <w:szCs w:val="16"/>
        </w:rPr>
        <w:t>intuito personae</w:t>
      </w:r>
      <w:r w:rsidRPr="00F23306">
        <w:rPr>
          <w:rFonts w:ascii="Verdana" w:eastAsia="Verdana" w:hAnsi="Verdana" w:cs="Verdana"/>
          <w:color w:val="000000"/>
          <w:sz w:val="16"/>
          <w:szCs w:val="16"/>
        </w:rPr>
        <w:t> y, en consecuencia, una vez celebrados no podrán cederse sin previa autorización escrita de la entidad contratante. </w:t>
      </w:r>
    </w:p>
  </w:footnote>
  <w:footnote w:id="19">
    <w:p w14:paraId="74E0E41A" w14:textId="77777777" w:rsidR="001F2C08" w:rsidRPr="00F23306" w:rsidRDefault="001F2C08" w:rsidP="001F2C08">
      <w:pPr>
        <w:pStyle w:val="FootnoteText"/>
        <w:ind w:firstLine="708"/>
        <w:rPr>
          <w:rFonts w:ascii="Verdana" w:hAnsi="Verdana"/>
          <w:sz w:val="16"/>
          <w:szCs w:val="16"/>
        </w:rPr>
      </w:pPr>
      <w:r w:rsidRPr="00F23306">
        <w:rPr>
          <w:rStyle w:val="FootnoteReference"/>
          <w:rFonts w:ascii="Verdana" w:hAnsi="Verdana"/>
          <w:sz w:val="16"/>
          <w:szCs w:val="16"/>
        </w:rPr>
        <w:footnoteRef/>
      </w:r>
      <w:r w:rsidRPr="00F23306">
        <w:rPr>
          <w:rFonts w:ascii="Verdana" w:hAnsi="Verdana"/>
          <w:sz w:val="16"/>
          <w:szCs w:val="16"/>
        </w:rPr>
        <w:t xml:space="preserve"> Corte Constitucional. Sentencia C-221 de 1996. M.P. José Gregorio Hernández Galindo. </w:t>
      </w:r>
    </w:p>
  </w:footnote>
  <w:footnote w:id="20">
    <w:p w14:paraId="729BB825" w14:textId="77777777" w:rsidR="001F2C08" w:rsidRPr="00F23306" w:rsidRDefault="001F2C08" w:rsidP="001F2C08">
      <w:pPr>
        <w:spacing w:after="0" w:line="240" w:lineRule="auto"/>
        <w:ind w:firstLine="708"/>
        <w:rPr>
          <w:rFonts w:ascii="Verdana" w:eastAsia="Verdana" w:hAnsi="Verdana" w:cs="Verdana"/>
          <w:sz w:val="16"/>
          <w:szCs w:val="16"/>
        </w:rPr>
      </w:pPr>
      <w:r w:rsidRPr="00F23306">
        <w:rPr>
          <w:rFonts w:ascii="Verdana" w:hAnsi="Verdana"/>
          <w:sz w:val="16"/>
          <w:szCs w:val="16"/>
          <w:vertAlign w:val="superscript"/>
        </w:rPr>
        <w:footnoteRef/>
      </w:r>
      <w:r w:rsidRPr="00F23306">
        <w:rPr>
          <w:rFonts w:ascii="Verdana" w:hAnsi="Verdana"/>
          <w:sz w:val="16"/>
          <w:szCs w:val="16"/>
        </w:rPr>
        <w:t xml:space="preserve"> </w:t>
      </w:r>
      <w:r w:rsidRPr="00F23306">
        <w:rPr>
          <w:rFonts w:ascii="Verdana" w:eastAsia="Verdana" w:hAnsi="Verdana" w:cs="Verdana"/>
          <w:sz w:val="16"/>
          <w:szCs w:val="16"/>
        </w:rPr>
        <w:t>Concepto C – 100 de 2024; Concepto C-1694 de 2025</w:t>
      </w:r>
    </w:p>
  </w:footnote>
  <w:footnote w:id="21">
    <w:p w14:paraId="5AF469A3" w14:textId="77777777" w:rsidR="001F2C08" w:rsidRPr="00F23306" w:rsidRDefault="001F2C08" w:rsidP="001F2C08">
      <w:pPr>
        <w:pBdr>
          <w:top w:val="nil"/>
          <w:left w:val="nil"/>
          <w:bottom w:val="nil"/>
          <w:right w:val="nil"/>
          <w:between w:val="nil"/>
        </w:pBdr>
        <w:spacing w:after="0" w:line="240" w:lineRule="auto"/>
        <w:ind w:firstLine="709"/>
        <w:jc w:val="both"/>
        <w:rPr>
          <w:rFonts w:ascii="Verdana" w:eastAsia="Verdana" w:hAnsi="Verdana" w:cs="Verdana"/>
          <w:sz w:val="16"/>
          <w:szCs w:val="16"/>
        </w:rPr>
      </w:pPr>
      <w:r w:rsidRPr="00F23306">
        <w:rPr>
          <w:rFonts w:ascii="Verdana" w:hAnsi="Verdana"/>
          <w:sz w:val="16"/>
          <w:szCs w:val="16"/>
          <w:vertAlign w:val="superscript"/>
        </w:rPr>
        <w:footnoteRef/>
      </w:r>
      <w:r w:rsidRPr="00F23306">
        <w:rPr>
          <w:rFonts w:ascii="Verdana" w:eastAsia="Century Gothic" w:hAnsi="Verdana" w:cs="Century Gothic"/>
          <w:sz w:val="16"/>
          <w:szCs w:val="16"/>
        </w:rPr>
        <w:t xml:space="preserve"> </w:t>
      </w:r>
      <w:r w:rsidRPr="00F23306">
        <w:rPr>
          <w:rFonts w:ascii="Verdana" w:eastAsia="Verdana" w:hAnsi="Verdana" w:cs="Verdana"/>
          <w:sz w:val="16"/>
          <w:szCs w:val="16"/>
        </w:rPr>
        <w:t>ROPPO, Vincenzo. El contrato. Lima: Gaceta Jurídica, 2009. p. 547.</w:t>
      </w:r>
    </w:p>
  </w:footnote>
  <w:footnote w:id="22">
    <w:p w14:paraId="6D857857" w14:textId="77777777" w:rsidR="001F2C08" w:rsidRPr="00F23306" w:rsidRDefault="001F2C08" w:rsidP="001F2C08">
      <w:pPr>
        <w:pBdr>
          <w:top w:val="nil"/>
          <w:left w:val="nil"/>
          <w:bottom w:val="nil"/>
          <w:right w:val="nil"/>
          <w:between w:val="nil"/>
        </w:pBdr>
        <w:spacing w:after="0" w:line="240" w:lineRule="auto"/>
        <w:ind w:firstLine="709"/>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Century Gothic" w:hAnsi="Verdana" w:cs="Century Gothic"/>
          <w:sz w:val="16"/>
          <w:szCs w:val="16"/>
        </w:rPr>
        <w:t xml:space="preserve"> </w:t>
      </w:r>
      <w:r w:rsidRPr="00F23306">
        <w:rPr>
          <w:rFonts w:ascii="Verdana" w:eastAsia="Verdana" w:hAnsi="Verdana" w:cs="Verdana"/>
          <w:i/>
          <w:iCs/>
          <w:sz w:val="16"/>
          <w:szCs w:val="16"/>
        </w:rPr>
        <w:t>Ibidem</w:t>
      </w:r>
      <w:r w:rsidRPr="00F23306">
        <w:rPr>
          <w:rFonts w:ascii="Verdana" w:eastAsia="Verdana" w:hAnsi="Verdana" w:cs="Verdana"/>
          <w:sz w:val="16"/>
          <w:szCs w:val="16"/>
        </w:rPr>
        <w:t>.</w:t>
      </w:r>
    </w:p>
  </w:footnote>
  <w:footnote w:id="23">
    <w:p w14:paraId="3466918D" w14:textId="77777777" w:rsidR="001F2C08" w:rsidRPr="00D964BC" w:rsidRDefault="001F2C08" w:rsidP="001F2C08">
      <w:pPr>
        <w:pBdr>
          <w:top w:val="nil"/>
          <w:left w:val="nil"/>
          <w:bottom w:val="nil"/>
          <w:right w:val="nil"/>
          <w:between w:val="nil"/>
        </w:pBdr>
        <w:spacing w:after="0" w:line="240" w:lineRule="auto"/>
        <w:ind w:firstLine="709"/>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w:t>
      </w:r>
      <w:r w:rsidRPr="00D964BC">
        <w:rPr>
          <w:rFonts w:ascii="Verdana" w:eastAsia="Verdana" w:hAnsi="Verdana" w:cs="Verdana"/>
          <w:color w:val="000000"/>
          <w:sz w:val="16"/>
          <w:szCs w:val="16"/>
        </w:rPr>
        <w:t xml:space="preserve">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w:t>
      </w:r>
      <w:r w:rsidRPr="00D964BC">
        <w:rPr>
          <w:rFonts w:ascii="Verdana" w:eastAsia="Verdana" w:hAnsi="Verdana" w:cs="Verdana"/>
          <w:sz w:val="16"/>
          <w:szCs w:val="16"/>
        </w:rPr>
        <w:t>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w:t>
      </w:r>
      <w:r w:rsidRPr="00D964BC">
        <w:rPr>
          <w:rFonts w:ascii="Verdana" w:eastAsia="Century Gothic" w:hAnsi="Verdana" w:cs="Century Gothic"/>
          <w:color w:val="000000"/>
          <w:sz w:val="16"/>
          <w:szCs w:val="16"/>
        </w:rPr>
        <w:t xml:space="preserve">.   </w:t>
      </w:r>
    </w:p>
  </w:footnote>
  <w:footnote w:id="24">
    <w:p w14:paraId="5DEA9015" w14:textId="77777777" w:rsidR="001F2C08" w:rsidRPr="00D964BC" w:rsidRDefault="001F2C08" w:rsidP="001F2C08">
      <w:pPr>
        <w:pBdr>
          <w:top w:val="nil"/>
          <w:left w:val="nil"/>
          <w:bottom w:val="nil"/>
          <w:right w:val="nil"/>
          <w:between w:val="nil"/>
        </w:pBdr>
        <w:spacing w:after="0" w:line="240" w:lineRule="auto"/>
        <w:ind w:firstLine="708"/>
        <w:jc w:val="both"/>
        <w:rPr>
          <w:rFonts w:ascii="Verdana" w:eastAsia="Verdana" w:hAnsi="Verdana" w:cs="Verdana"/>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w:t>
      </w:r>
      <w:r w:rsidRPr="00D964BC">
        <w:rPr>
          <w:rFonts w:ascii="Verdana" w:eastAsia="Verdana" w:hAnsi="Verdana" w:cs="Verdana"/>
          <w:sz w:val="16"/>
          <w:szCs w:val="16"/>
        </w:rPr>
        <w:t>ESCOLA, Jorge. Tratado integral de los contratos administrativos. Volumen I. Buenos Aires: Depalma, 2012. p. 424.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0AA668DF" w14:textId="77777777" w:rsidR="001F2C08" w:rsidRPr="00D964BC" w:rsidRDefault="001F2C08" w:rsidP="001F2C08">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eastAsia="Verdana" w:hAnsi="Verdana" w:cs="Verdana"/>
          <w:sz w:val="16"/>
          <w:szCs w:val="16"/>
        </w:rPr>
        <w:t xml:space="preserve">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transferencia del contrato o la subcontratación”. </w:t>
      </w:r>
    </w:p>
  </w:footnote>
  <w:footnote w:id="25">
    <w:p w14:paraId="2D11F46D" w14:textId="77777777" w:rsidR="001F2C08" w:rsidRPr="00D964BC" w:rsidRDefault="001F2C08" w:rsidP="001F2C08">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MARIENHOFF, Miguel S. Tratado de derecho administrativo. Tomo IIIA. Cuarta Edición. Buenos Aires: Abeledo Perrot, 1998. p. 318. Énfasis dentro del texto.</w:t>
      </w:r>
    </w:p>
  </w:footnote>
  <w:footnote w:id="26">
    <w:p w14:paraId="24DAC308" w14:textId="77777777" w:rsidR="001F2C08" w:rsidRPr="00D964BC" w:rsidRDefault="001F2C08" w:rsidP="001F2C08">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RAMÍREZ GRISALES, Richard. La cesión. Serie: Las cláusulas del contrato estatal. Medellín: Centro de Estudios de Derecho Administrativo –CEDA– y Librería Jurídica Sánchez R., 2014. pp. 71-72.</w:t>
      </w:r>
    </w:p>
  </w:footnote>
  <w:footnote w:id="27">
    <w:p w14:paraId="7778BDAE" w14:textId="77777777" w:rsidR="001F2C08" w:rsidRPr="00D964BC" w:rsidRDefault="001F2C08" w:rsidP="001F2C08">
      <w:pPr>
        <w:pBdr>
          <w:top w:val="nil"/>
          <w:left w:val="nil"/>
          <w:bottom w:val="nil"/>
          <w:right w:val="nil"/>
          <w:between w:val="nil"/>
        </w:pBdr>
        <w:spacing w:after="0" w:line="240" w:lineRule="auto"/>
        <w:ind w:firstLine="709"/>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Consejo de Estado, Sección Tercera, Sentencia del 16 de marzo de 2015, Rad. 1999-03028, M.P. Jaime Orlando Santofimio Gamboa.</w:t>
      </w:r>
    </w:p>
  </w:footnote>
  <w:footnote w:id="28">
    <w:p w14:paraId="6E11A9C1" w14:textId="77777777" w:rsidR="001F2C08" w:rsidRPr="00D964BC" w:rsidRDefault="001F2C08" w:rsidP="001F2C08">
      <w:pPr>
        <w:pBdr>
          <w:top w:val="nil"/>
          <w:left w:val="nil"/>
          <w:bottom w:val="nil"/>
          <w:right w:val="nil"/>
          <w:between w:val="nil"/>
        </w:pBdr>
        <w:spacing w:after="0" w:line="240" w:lineRule="auto"/>
        <w:ind w:firstLine="720"/>
        <w:jc w:val="both"/>
        <w:rPr>
          <w:rFonts w:ascii="Verdana" w:eastAsia="Verdana" w:hAnsi="Verdana" w:cs="Verdana"/>
          <w:color w:val="000000"/>
          <w:sz w:val="16"/>
          <w:szCs w:val="16"/>
        </w:rPr>
      </w:pPr>
      <w:r w:rsidRPr="00D964BC">
        <w:rPr>
          <w:rFonts w:ascii="Verdana" w:hAnsi="Verdana"/>
          <w:sz w:val="16"/>
          <w:szCs w:val="16"/>
          <w:vertAlign w:val="superscript"/>
        </w:rPr>
        <w:footnoteRef/>
      </w:r>
      <w:r w:rsidRPr="00D964BC">
        <w:rPr>
          <w:rFonts w:ascii="Verdana" w:eastAsia="Verdana" w:hAnsi="Verdana" w:cs="Verdana"/>
          <w:color w:val="000000"/>
          <w:sz w:val="16"/>
          <w:szCs w:val="16"/>
        </w:rPr>
        <w:t xml:space="preserve"> Corte Constitucional. Sentencia C-949 del 5 de septiembre de 2001. M.P. Clara Inés Vargas Hernández.  </w:t>
      </w:r>
    </w:p>
    <w:p w14:paraId="36AA4088" w14:textId="77777777" w:rsidR="001F2C08" w:rsidRPr="00D964BC" w:rsidRDefault="001F2C08" w:rsidP="001F2C08">
      <w:pPr>
        <w:pBdr>
          <w:top w:val="nil"/>
          <w:left w:val="nil"/>
          <w:bottom w:val="nil"/>
          <w:right w:val="nil"/>
          <w:between w:val="nil"/>
        </w:pBdr>
        <w:spacing w:after="0" w:line="240" w:lineRule="auto"/>
        <w:ind w:firstLine="720"/>
        <w:jc w:val="both"/>
        <w:rPr>
          <w:rFonts w:ascii="Verdana" w:eastAsia="Verdana" w:hAnsi="Verdana" w:cs="Verdana"/>
          <w:color w:val="000000"/>
          <w:sz w:val="16"/>
          <w:szCs w:val="16"/>
        </w:rPr>
      </w:pPr>
    </w:p>
  </w:footnote>
  <w:footnote w:id="29">
    <w:p w14:paraId="426C6AD5" w14:textId="77777777" w:rsidR="001F2C08" w:rsidRPr="00D964BC" w:rsidRDefault="001F2C08" w:rsidP="001F2C08">
      <w:pPr>
        <w:spacing w:after="0" w:line="240" w:lineRule="auto"/>
        <w:ind w:firstLine="708"/>
        <w:rPr>
          <w:rFonts w:ascii="Verdana" w:eastAsia="Verdana" w:hAnsi="Verdana" w:cs="Verdana"/>
          <w:sz w:val="16"/>
          <w:szCs w:val="16"/>
        </w:rPr>
      </w:pPr>
      <w:r w:rsidRPr="00D964BC">
        <w:rPr>
          <w:rFonts w:ascii="Verdana" w:hAnsi="Verdana"/>
          <w:sz w:val="16"/>
          <w:szCs w:val="16"/>
          <w:vertAlign w:val="superscript"/>
        </w:rPr>
        <w:footnoteRef/>
      </w:r>
      <w:r w:rsidRPr="00D964BC">
        <w:rPr>
          <w:rFonts w:ascii="Verdana" w:eastAsia="Verdana" w:hAnsi="Verdana" w:cs="Verdana"/>
          <w:sz w:val="16"/>
          <w:szCs w:val="16"/>
        </w:rPr>
        <w:t xml:space="preserve"> Colombia Compra Eficiente. Concepto C–059 de 2023. </w:t>
      </w:r>
    </w:p>
  </w:footnote>
  <w:footnote w:id="30">
    <w:p w14:paraId="544B56A7" w14:textId="77777777" w:rsidR="001F2C08" w:rsidRPr="00D964BC" w:rsidRDefault="001F2C08" w:rsidP="001F2C08">
      <w:pPr>
        <w:spacing w:after="0" w:line="240" w:lineRule="auto"/>
        <w:ind w:firstLine="708"/>
        <w:rPr>
          <w:rFonts w:ascii="Verdana" w:eastAsia="Verdana" w:hAnsi="Verdana" w:cs="Verdana"/>
          <w:sz w:val="16"/>
          <w:szCs w:val="16"/>
        </w:rPr>
      </w:pPr>
      <w:r w:rsidRPr="00D964BC">
        <w:rPr>
          <w:rFonts w:ascii="Verdana" w:hAnsi="Verdana"/>
          <w:sz w:val="16"/>
          <w:szCs w:val="16"/>
          <w:vertAlign w:val="superscript"/>
        </w:rPr>
        <w:footnoteRef/>
      </w:r>
      <w:r w:rsidRPr="00D964BC">
        <w:rPr>
          <w:rFonts w:ascii="Verdana" w:eastAsia="Verdana" w:hAnsi="Verdana" w:cs="Verdana"/>
          <w:sz w:val="16"/>
          <w:szCs w:val="16"/>
        </w:rPr>
        <w:t xml:space="preserve"> Consejo de Estado. Sala de Consulta y Servicio Civil. Concepto del 15 de mayo de 2018.C.P: Álvaro Namén Vargas. Radicación No. 11001-03-06-000-2017-00058-00 (2335). </w:t>
      </w:r>
    </w:p>
  </w:footnote>
  <w:footnote w:id="31">
    <w:p w14:paraId="6948265F" w14:textId="77777777" w:rsidR="001F2C08" w:rsidRPr="00D964BC" w:rsidRDefault="001F2C08" w:rsidP="001F2C08">
      <w:pPr>
        <w:pBdr>
          <w:top w:val="nil"/>
          <w:left w:val="nil"/>
          <w:bottom w:val="nil"/>
          <w:right w:val="nil"/>
          <w:between w:val="nil"/>
        </w:pBdr>
        <w:spacing w:after="0" w:line="240" w:lineRule="auto"/>
        <w:ind w:firstLine="708"/>
        <w:jc w:val="both"/>
        <w:rPr>
          <w:rFonts w:ascii="Verdana" w:eastAsia="Verdana" w:hAnsi="Verdana" w:cs="Verdana"/>
          <w:color w:val="000000"/>
          <w:sz w:val="16"/>
          <w:szCs w:val="16"/>
        </w:rPr>
      </w:pPr>
      <w:r w:rsidRPr="00D964BC">
        <w:rPr>
          <w:rFonts w:ascii="Verdana" w:hAnsi="Verdana"/>
          <w:sz w:val="16"/>
          <w:szCs w:val="16"/>
          <w:vertAlign w:val="superscript"/>
        </w:rPr>
        <w:footnoteRef/>
      </w:r>
      <w:r w:rsidRPr="00D964BC">
        <w:rPr>
          <w:rFonts w:ascii="Verdana" w:eastAsia="Verdana" w:hAnsi="Verdana" w:cs="Verdana"/>
          <w:color w:val="000000"/>
          <w:sz w:val="16"/>
          <w:szCs w:val="16"/>
        </w:rPr>
        <w:t xml:space="preserve"> CONSEJO DE ESTADO. Sección Tercera. Subsección A. Sentencia del 9 de mayo de 2012. C.P. Mauricio Fajardo Gómez. Exp. 20968. </w:t>
      </w:r>
    </w:p>
  </w:footnote>
  <w:footnote w:id="32">
    <w:p w14:paraId="0FF50553" w14:textId="77777777" w:rsidR="001F2C08" w:rsidRPr="00D964BC" w:rsidRDefault="001F2C08" w:rsidP="001F2C08">
      <w:pPr>
        <w:pBdr>
          <w:top w:val="nil"/>
          <w:left w:val="nil"/>
          <w:bottom w:val="nil"/>
          <w:right w:val="nil"/>
          <w:between w:val="nil"/>
        </w:pBdr>
        <w:spacing w:line="240" w:lineRule="auto"/>
        <w:ind w:firstLine="708"/>
        <w:rPr>
          <w:rFonts w:ascii="Verdana" w:eastAsia="Verdana" w:hAnsi="Verdana" w:cs="Verdana"/>
          <w:color w:val="000000"/>
          <w:sz w:val="16"/>
          <w:szCs w:val="16"/>
        </w:rPr>
      </w:pPr>
      <w:r w:rsidRPr="00D964BC">
        <w:rPr>
          <w:rFonts w:ascii="Verdana" w:hAnsi="Verdana"/>
          <w:sz w:val="16"/>
          <w:szCs w:val="16"/>
          <w:vertAlign w:val="superscript"/>
        </w:rPr>
        <w:footnoteRef/>
      </w:r>
      <w:r w:rsidRPr="00D964BC">
        <w:rPr>
          <w:rFonts w:ascii="Verdana" w:eastAsia="Times New Roman" w:hAnsi="Verdana" w:cs="Times New Roman"/>
          <w:color w:val="000000"/>
          <w:sz w:val="16"/>
          <w:szCs w:val="16"/>
        </w:rPr>
        <w:t xml:space="preserve"> </w:t>
      </w:r>
      <w:r w:rsidRPr="00D964BC">
        <w:rPr>
          <w:rFonts w:ascii="Verdana" w:eastAsia="Verdana" w:hAnsi="Verdana" w:cs="Verdana"/>
          <w:color w:val="000000"/>
          <w:sz w:val="16"/>
          <w:szCs w:val="16"/>
        </w:rPr>
        <w:t>C</w:t>
      </w:r>
      <w:r w:rsidRPr="00D964BC">
        <w:rPr>
          <w:rFonts w:ascii="Verdana" w:eastAsia="Verdana" w:hAnsi="Verdana" w:cs="Verdana"/>
          <w:sz w:val="16"/>
          <w:szCs w:val="16"/>
        </w:rPr>
        <w:t>onsejo de Estado.</w:t>
      </w:r>
      <w:r w:rsidRPr="00D964BC">
        <w:rPr>
          <w:rFonts w:ascii="Verdana" w:eastAsia="Verdana" w:hAnsi="Verdana" w:cs="Verdana"/>
          <w:color w:val="000000"/>
          <w:sz w:val="16"/>
          <w:szCs w:val="16"/>
        </w:rPr>
        <w:t xml:space="preserve"> Sección Tercera. Subsección C. Sentencia del 18 de junio de 2025. C</w:t>
      </w:r>
      <w:r w:rsidRPr="00D964BC">
        <w:rPr>
          <w:rFonts w:ascii="Verdana" w:eastAsia="Verdana" w:hAnsi="Verdana" w:cs="Verdana"/>
          <w:sz w:val="16"/>
          <w:szCs w:val="16"/>
        </w:rPr>
        <w:t>. P</w:t>
      </w:r>
      <w:r w:rsidRPr="00D964BC">
        <w:rPr>
          <w:rFonts w:ascii="Verdana" w:eastAsia="Verdana" w:hAnsi="Verdana" w:cs="Verdana"/>
          <w:color w:val="000000"/>
          <w:sz w:val="16"/>
          <w:szCs w:val="16"/>
        </w:rPr>
        <w:t xml:space="preserve">: Nicolás Yepes Corrales. Exp. 66396. </w:t>
      </w:r>
    </w:p>
    <w:p w14:paraId="45D9E977" w14:textId="77777777" w:rsidR="001F2C08" w:rsidRPr="00D964BC" w:rsidRDefault="001F2C08" w:rsidP="001F2C08">
      <w:pPr>
        <w:pBdr>
          <w:top w:val="nil"/>
          <w:left w:val="nil"/>
          <w:bottom w:val="nil"/>
          <w:right w:val="nil"/>
          <w:between w:val="nil"/>
        </w:pBdr>
        <w:spacing w:after="0" w:line="240" w:lineRule="auto"/>
        <w:rPr>
          <w:rFonts w:ascii="Verdana" w:hAnsi="Verdana"/>
          <w:color w:val="000000"/>
          <w:sz w:val="16"/>
          <w:szCs w:val="16"/>
        </w:rPr>
      </w:pPr>
    </w:p>
  </w:footnote>
  <w:footnote w:id="33">
    <w:p w14:paraId="53DE496E" w14:textId="77777777" w:rsidR="001F2C08" w:rsidRPr="00D964BC" w:rsidRDefault="001F2C08" w:rsidP="001F2C08">
      <w:pPr>
        <w:pStyle w:val="FootnoteText"/>
        <w:ind w:firstLine="708"/>
        <w:rPr>
          <w:rFonts w:ascii="Verdana" w:hAnsi="Verdana"/>
          <w:sz w:val="16"/>
          <w:szCs w:val="16"/>
        </w:rPr>
      </w:pPr>
      <w:r w:rsidRPr="00D964BC">
        <w:rPr>
          <w:rStyle w:val="FootnoteReference"/>
          <w:rFonts w:ascii="Verdana" w:hAnsi="Verdana"/>
          <w:sz w:val="16"/>
          <w:szCs w:val="16"/>
        </w:rPr>
        <w:footnoteRef/>
      </w:r>
      <w:r w:rsidRPr="00D964BC">
        <w:rPr>
          <w:rFonts w:ascii="Verdana" w:hAnsi="Verdana"/>
          <w:sz w:val="16"/>
          <w:szCs w:val="16"/>
        </w:rPr>
        <w:t xml:space="preserve"> EXPÓSITO VÉLEZ, Juan Carlos. Forma y contenido del contrato estatal. Bogotá: Universidad Externado de Colombia. 2013. pp. </w:t>
      </w:r>
      <w:r>
        <w:rPr>
          <w:rFonts w:ascii="Verdana" w:hAnsi="Verdana"/>
          <w:sz w:val="16"/>
          <w:szCs w:val="16"/>
        </w:rPr>
        <w:t>204-205.</w:t>
      </w:r>
    </w:p>
  </w:footnote>
  <w:footnote w:id="34">
    <w:p w14:paraId="11B3DA94" w14:textId="77777777" w:rsidR="001F2C08" w:rsidRPr="00D964BC" w:rsidRDefault="001F2C08" w:rsidP="001F2C08">
      <w:pPr>
        <w:pStyle w:val="FootnoteText"/>
        <w:ind w:firstLine="708"/>
        <w:rPr>
          <w:rFonts w:ascii="Verdana" w:hAnsi="Verdana"/>
          <w:sz w:val="16"/>
          <w:szCs w:val="16"/>
          <w:lang w:val="es-ES_tradnl"/>
        </w:rPr>
      </w:pPr>
      <w:r w:rsidRPr="00D964BC">
        <w:rPr>
          <w:rStyle w:val="FootnoteReference"/>
          <w:rFonts w:ascii="Verdana" w:hAnsi="Verdana"/>
          <w:sz w:val="16"/>
          <w:szCs w:val="16"/>
        </w:rPr>
        <w:footnoteRef/>
      </w:r>
      <w:r w:rsidRPr="00D964BC">
        <w:rPr>
          <w:rFonts w:ascii="Verdana" w:hAnsi="Verdana"/>
          <w:sz w:val="16"/>
          <w:szCs w:val="16"/>
        </w:rPr>
        <w:t xml:space="preserve"> </w:t>
      </w:r>
      <w:r w:rsidRPr="00D964BC">
        <w:rPr>
          <w:rFonts w:ascii="Verdana" w:hAnsi="Verdana"/>
          <w:sz w:val="16"/>
          <w:szCs w:val="16"/>
          <w:lang w:val="es-ES_tradnl"/>
        </w:rPr>
        <w:t xml:space="preserve">Ibid. </w:t>
      </w:r>
    </w:p>
  </w:footnote>
  <w:footnote w:id="35">
    <w:p w14:paraId="3BD51C88" w14:textId="77777777" w:rsidR="001F2C08" w:rsidRPr="007E410B" w:rsidRDefault="001F2C08" w:rsidP="001F2C08">
      <w:pPr>
        <w:pStyle w:val="FootnoteText"/>
        <w:ind w:firstLine="708"/>
        <w:jc w:val="both"/>
        <w:rPr>
          <w:rFonts w:ascii="Verdana" w:hAnsi="Verdana"/>
          <w:sz w:val="16"/>
          <w:szCs w:val="16"/>
        </w:rPr>
      </w:pPr>
      <w:r w:rsidRPr="007E410B">
        <w:rPr>
          <w:rStyle w:val="FootnoteReference"/>
          <w:rFonts w:ascii="Verdana" w:hAnsi="Verdana"/>
          <w:sz w:val="16"/>
          <w:szCs w:val="16"/>
        </w:rPr>
        <w:footnoteRef/>
      </w:r>
      <w:r w:rsidRPr="007E410B">
        <w:rPr>
          <w:rFonts w:ascii="Verdana" w:hAnsi="Verdana"/>
          <w:sz w:val="16"/>
          <w:szCs w:val="16"/>
        </w:rPr>
        <w:t xml:space="preserve"> Sobre la configuración del vicio de falsa motivación, ver, entre otras: </w:t>
      </w:r>
      <w:r w:rsidRPr="00DE5412">
        <w:rPr>
          <w:rFonts w:ascii="Verdana" w:hAnsi="Verdana"/>
          <w:sz w:val="16"/>
          <w:szCs w:val="16"/>
        </w:rPr>
        <w:t>CONSEJO DE ESTADO</w:t>
      </w:r>
      <w:r w:rsidRPr="007E410B">
        <w:rPr>
          <w:rFonts w:ascii="Verdana" w:hAnsi="Verdana"/>
          <w:sz w:val="16"/>
          <w:szCs w:val="16"/>
        </w:rPr>
        <w:t>, Sección Cuarta, sentencia del 23 de junio de 2011, exp. 16.090, C.P. Hugo Fernando Bastidas Bárcenas</w:t>
      </w:r>
      <w:r w:rsidRPr="00DE5412">
        <w:rPr>
          <w:rFonts w:ascii="Verdana" w:hAnsi="Verdana"/>
          <w:sz w:val="16"/>
          <w:szCs w:val="16"/>
        </w:rPr>
        <w:t>; CONSEJO DE ESTADO</w:t>
      </w:r>
      <w:r w:rsidRPr="007E410B">
        <w:rPr>
          <w:rFonts w:ascii="Verdana" w:hAnsi="Verdana"/>
          <w:sz w:val="16"/>
          <w:szCs w:val="16"/>
        </w:rPr>
        <w:t xml:space="preserve">, Sección Tercera, Subsección A, sentencia del 21 de mayo de 2021, exp. 66.756, C.P. José Roberto Sáchica Méndez; y </w:t>
      </w:r>
      <w:r w:rsidRPr="00DE5412">
        <w:rPr>
          <w:rFonts w:ascii="Verdana" w:hAnsi="Verdana"/>
          <w:sz w:val="16"/>
          <w:szCs w:val="16"/>
        </w:rPr>
        <w:t>CONSEJO DE ESTADO</w:t>
      </w:r>
      <w:r w:rsidRPr="007E410B">
        <w:rPr>
          <w:rFonts w:ascii="Verdana" w:hAnsi="Verdana"/>
          <w:sz w:val="16"/>
          <w:szCs w:val="16"/>
        </w:rPr>
        <w:t>, Sección Tercera, Subsección C, sentencia del 8 de junio de 2022, exp. 67.690, C.P. Marta Nubia Velásquez Rico.</w:t>
      </w:r>
    </w:p>
  </w:footnote>
  <w:footnote w:id="36">
    <w:p w14:paraId="79B47328" w14:textId="77777777" w:rsidR="001F2C08" w:rsidRPr="007E410B" w:rsidRDefault="001F2C08" w:rsidP="001F2C08">
      <w:pPr>
        <w:pStyle w:val="FootnoteText"/>
        <w:jc w:val="both"/>
        <w:rPr>
          <w:rFonts w:ascii="Verdana" w:hAnsi="Verdana"/>
          <w:sz w:val="16"/>
          <w:szCs w:val="16"/>
        </w:rPr>
      </w:pPr>
    </w:p>
    <w:p w14:paraId="1AB2B900" w14:textId="77777777" w:rsidR="001F2C08" w:rsidRPr="00DE5412" w:rsidRDefault="001F2C08" w:rsidP="001F2C08">
      <w:pPr>
        <w:pStyle w:val="FootnoteText"/>
        <w:ind w:firstLine="708"/>
        <w:jc w:val="both"/>
        <w:rPr>
          <w:rFonts w:ascii="Verdana" w:hAnsi="Verdana"/>
          <w:sz w:val="16"/>
          <w:szCs w:val="16"/>
        </w:rPr>
      </w:pPr>
      <w:r w:rsidRPr="007E410B">
        <w:rPr>
          <w:rStyle w:val="FootnoteReference"/>
          <w:rFonts w:ascii="Verdana" w:hAnsi="Verdana"/>
          <w:sz w:val="16"/>
          <w:szCs w:val="16"/>
        </w:rPr>
        <w:footnoteRef/>
      </w:r>
      <w:r w:rsidRPr="007E410B">
        <w:rPr>
          <w:rFonts w:ascii="Verdana" w:hAnsi="Verdana"/>
          <w:sz w:val="16"/>
          <w:szCs w:val="16"/>
        </w:rPr>
        <w:t xml:space="preserve"> En relación con los presupuestos para la declaratoria de caducidad del contrato estatal, ver, entre otras:</w:t>
      </w:r>
      <w:r w:rsidRPr="00DE5412">
        <w:rPr>
          <w:rFonts w:ascii="Verdana" w:hAnsi="Verdana"/>
          <w:sz w:val="16"/>
          <w:szCs w:val="16"/>
        </w:rPr>
        <w:t xml:space="preserve"> </w:t>
      </w:r>
      <w:r w:rsidRPr="007E410B">
        <w:rPr>
          <w:rFonts w:ascii="Verdana" w:hAnsi="Verdana"/>
          <w:sz w:val="16"/>
          <w:szCs w:val="16"/>
        </w:rPr>
        <w:t xml:space="preserve">CONSEJO DE ESTADO, Sección Tercera, sentencia del 30 de enero de 2013, exp. 20.342, C.P. Mauricio Fajardo Gómez; CONSEJO DE ESTADO, Sección Tercera, Subsección B, sentencia del 26 de julio de 2021, rad. 47001-23-31-000-2011-00119-01, C.P. María Adriana Marín; y CONSEJO DE ESTADO, Sección Tercera, Subsección C, sentencia del 8 de junio de 2022, exp. 67.690, C.P. Marta Nubia Velásquez Rico. </w:t>
      </w:r>
    </w:p>
    <w:p w14:paraId="556FE507" w14:textId="77777777" w:rsidR="001F2C08" w:rsidRPr="007E410B" w:rsidRDefault="001F2C08" w:rsidP="001F2C08">
      <w:pPr>
        <w:pStyle w:val="FootnoteText"/>
        <w:ind w:firstLine="708"/>
        <w:jc w:val="both"/>
        <w:rPr>
          <w:rFonts w:ascii="Verdana" w:hAnsi="Verdana"/>
          <w:sz w:val="16"/>
          <w:szCs w:val="16"/>
        </w:rPr>
      </w:pPr>
    </w:p>
  </w:footnote>
  <w:footnote w:id="37">
    <w:p w14:paraId="40B227F1" w14:textId="77777777" w:rsidR="001F2C08" w:rsidRPr="007E410B" w:rsidRDefault="001F2C08" w:rsidP="001F2C08">
      <w:pPr>
        <w:pStyle w:val="FootnoteText"/>
        <w:ind w:firstLine="708"/>
        <w:jc w:val="both"/>
        <w:rPr>
          <w:rFonts w:ascii="Verdana" w:hAnsi="Verdana"/>
          <w:sz w:val="16"/>
          <w:szCs w:val="16"/>
        </w:rPr>
      </w:pPr>
      <w:r w:rsidRPr="007E410B">
        <w:rPr>
          <w:rStyle w:val="FootnoteReference"/>
          <w:rFonts w:ascii="Verdana" w:hAnsi="Verdana"/>
          <w:sz w:val="16"/>
          <w:szCs w:val="16"/>
        </w:rPr>
        <w:footnoteRef/>
      </w:r>
      <w:r w:rsidRPr="007E410B">
        <w:rPr>
          <w:rFonts w:ascii="Verdana" w:hAnsi="Verdana"/>
          <w:sz w:val="16"/>
          <w:szCs w:val="16"/>
        </w:rPr>
        <w:t xml:space="preserve"> En cuanto al principio de legalidad y a la interpretación restrictiva de las potestades excepcionales en la contratación estatal, ver, entre otras: CONSEJO DE ESTADO, Sección Tercera, sentencia del 20 de octubre de 2005, exp. 14.579, C.P. Germán Rodríguez Villamizar; y CONSEJO DE ESTADO, Sala de Consulta y Servicio Civil, Concepto del 6 de abril de 2000, rad. 1.230, C.P. Augusto Trejos Jaramillo, conforme a los cuales el ejercicio de las prerrogativas exorbitantes de la Administración exige habilitación legal expresa y las causales que autorizan la terminación unilateral del contrato estatal son de carácter taxativo, por lo que no admiten interpretación extensiva ni aplicación analógica.</w:t>
      </w:r>
    </w:p>
  </w:footnote>
  <w:footnote w:id="38">
    <w:p w14:paraId="469F21FB" w14:textId="77777777" w:rsidR="00F242CC" w:rsidRPr="00F26E5F" w:rsidRDefault="00F242CC" w:rsidP="00F242CC">
      <w:pPr>
        <w:pStyle w:val="FootnoteText"/>
        <w:ind w:firstLine="708"/>
        <w:jc w:val="both"/>
        <w:rPr>
          <w:rFonts w:ascii="Verdana" w:hAnsi="Verdana"/>
          <w:sz w:val="16"/>
          <w:szCs w:val="16"/>
        </w:rPr>
      </w:pPr>
      <w:r w:rsidRPr="00F26E5F">
        <w:rPr>
          <w:rStyle w:val="FootnoteReference"/>
          <w:rFonts w:ascii="Verdana" w:hAnsi="Verdana"/>
          <w:sz w:val="16"/>
          <w:szCs w:val="16"/>
        </w:rPr>
        <w:footnoteRef/>
      </w:r>
      <w:r w:rsidRPr="00F26E5F">
        <w:rPr>
          <w:rFonts w:ascii="Verdana" w:hAnsi="Verdana"/>
          <w:sz w:val="16"/>
          <w:szCs w:val="16"/>
        </w:rPr>
        <w:t xml:space="preserve"> </w:t>
      </w:r>
      <w:r>
        <w:rPr>
          <w:rFonts w:ascii="Verdana" w:hAnsi="Verdana"/>
          <w:sz w:val="16"/>
          <w:szCs w:val="16"/>
        </w:rPr>
        <w:t xml:space="preserve">Para la doctrina, “[…] </w:t>
      </w:r>
      <w:r w:rsidRPr="00F26E5F">
        <w:rPr>
          <w:rFonts w:ascii="Verdana" w:hAnsi="Verdana"/>
          <w:sz w:val="16"/>
          <w:szCs w:val="16"/>
        </w:rPr>
        <w:t>ni el objeto (art. 2.º) ni las funciones (art. 3.º) que</w:t>
      </w:r>
      <w:r>
        <w:rPr>
          <w:rFonts w:ascii="Verdana" w:hAnsi="Verdana"/>
          <w:sz w:val="16"/>
          <w:szCs w:val="16"/>
        </w:rPr>
        <w:t xml:space="preserve"> </w:t>
      </w:r>
      <w:r w:rsidRPr="00F26E5F">
        <w:rPr>
          <w:rFonts w:ascii="Verdana" w:hAnsi="Verdana"/>
          <w:sz w:val="16"/>
          <w:szCs w:val="16"/>
        </w:rPr>
        <w:t>la ley de creación confió a la Agencia (Dcto.-Ley 4170/11)</w:t>
      </w:r>
      <w:r>
        <w:rPr>
          <w:rFonts w:ascii="Verdana" w:hAnsi="Verdana"/>
          <w:sz w:val="16"/>
          <w:szCs w:val="16"/>
        </w:rPr>
        <w:t xml:space="preserve"> </w:t>
      </w:r>
      <w:r w:rsidRPr="00F26E5F">
        <w:rPr>
          <w:rFonts w:ascii="Verdana" w:hAnsi="Verdana"/>
          <w:sz w:val="16"/>
          <w:szCs w:val="16"/>
        </w:rPr>
        <w:t>comprenden competencias normativas sobre la contratación.</w:t>
      </w:r>
      <w:r>
        <w:rPr>
          <w:rFonts w:ascii="Verdana" w:hAnsi="Verdana"/>
          <w:sz w:val="16"/>
          <w:szCs w:val="16"/>
        </w:rPr>
        <w:t xml:space="preserve"> </w:t>
      </w:r>
      <w:r w:rsidRPr="00F26E5F">
        <w:rPr>
          <w:rFonts w:ascii="Verdana" w:hAnsi="Verdana"/>
          <w:sz w:val="16"/>
          <w:szCs w:val="16"/>
        </w:rPr>
        <w:t>Aunque el numeral 2.º del artículo 3.º le confiere las funciones</w:t>
      </w:r>
      <w:r>
        <w:rPr>
          <w:rFonts w:ascii="Verdana" w:hAnsi="Verdana"/>
          <w:sz w:val="16"/>
          <w:szCs w:val="16"/>
        </w:rPr>
        <w:t xml:space="preserve"> </w:t>
      </w:r>
      <w:r w:rsidRPr="00F26E5F">
        <w:rPr>
          <w:rFonts w:ascii="Verdana" w:hAnsi="Verdana"/>
          <w:sz w:val="16"/>
          <w:szCs w:val="16"/>
        </w:rPr>
        <w:t xml:space="preserve">de </w:t>
      </w:r>
      <w:r>
        <w:rPr>
          <w:rFonts w:ascii="Verdana" w:hAnsi="Verdana"/>
          <w:sz w:val="16"/>
          <w:szCs w:val="16"/>
        </w:rPr>
        <w:t>‘</w:t>
      </w:r>
      <w:r w:rsidRPr="00F26E5F">
        <w:rPr>
          <w:rFonts w:ascii="Verdana" w:hAnsi="Verdana"/>
          <w:sz w:val="16"/>
          <w:szCs w:val="16"/>
        </w:rPr>
        <w:t>desarrollar, implementar […] normas […] que faciliten</w:t>
      </w:r>
      <w:r>
        <w:rPr>
          <w:rFonts w:ascii="Verdana" w:hAnsi="Verdana"/>
          <w:sz w:val="16"/>
          <w:szCs w:val="16"/>
        </w:rPr>
        <w:t xml:space="preserve"> </w:t>
      </w:r>
      <w:r w:rsidRPr="00F26E5F">
        <w:rPr>
          <w:rFonts w:ascii="Verdana" w:hAnsi="Verdana"/>
          <w:sz w:val="16"/>
          <w:szCs w:val="16"/>
        </w:rPr>
        <w:t>las compras y contratación pública del Estado y promuevan las mejores prácticas</w:t>
      </w:r>
      <w:r>
        <w:rPr>
          <w:rFonts w:ascii="Verdana" w:hAnsi="Verdana"/>
          <w:sz w:val="16"/>
          <w:szCs w:val="16"/>
        </w:rPr>
        <w:t>’</w:t>
      </w:r>
      <w:r w:rsidRPr="00F26E5F">
        <w:rPr>
          <w:rFonts w:ascii="Verdana" w:hAnsi="Verdana"/>
          <w:sz w:val="16"/>
          <w:szCs w:val="16"/>
        </w:rPr>
        <w:t>, ello no puede concebirse como</w:t>
      </w:r>
      <w:r>
        <w:rPr>
          <w:rFonts w:ascii="Verdana" w:hAnsi="Verdana"/>
          <w:sz w:val="16"/>
          <w:szCs w:val="16"/>
        </w:rPr>
        <w:t xml:space="preserve"> </w:t>
      </w:r>
      <w:r w:rsidRPr="00F26E5F">
        <w:rPr>
          <w:rFonts w:ascii="Verdana" w:hAnsi="Verdana"/>
          <w:sz w:val="16"/>
          <w:szCs w:val="16"/>
        </w:rPr>
        <w:t>una competencia específicamente normativa. Su misión de</w:t>
      </w:r>
      <w:r>
        <w:rPr>
          <w:rFonts w:ascii="Verdana" w:hAnsi="Verdana"/>
          <w:sz w:val="16"/>
          <w:szCs w:val="16"/>
        </w:rPr>
        <w:t xml:space="preserve"> </w:t>
      </w:r>
      <w:r w:rsidRPr="00F26E5F">
        <w:rPr>
          <w:rFonts w:ascii="Verdana" w:hAnsi="Verdana"/>
          <w:sz w:val="16"/>
          <w:szCs w:val="16"/>
        </w:rPr>
        <w:t>carácter técnico es promover las mejores condiciones de</w:t>
      </w:r>
      <w:r>
        <w:rPr>
          <w:rFonts w:ascii="Verdana" w:hAnsi="Verdana"/>
          <w:sz w:val="16"/>
          <w:szCs w:val="16"/>
        </w:rPr>
        <w:t xml:space="preserve"> </w:t>
      </w:r>
      <w:r w:rsidRPr="00F26E5F">
        <w:rPr>
          <w:rFonts w:ascii="Verdana" w:hAnsi="Verdana"/>
          <w:sz w:val="16"/>
          <w:szCs w:val="16"/>
        </w:rPr>
        <w:t>contratación, lo que comprende la realización de estudios</w:t>
      </w:r>
      <w:r>
        <w:rPr>
          <w:rFonts w:ascii="Verdana" w:hAnsi="Verdana"/>
          <w:sz w:val="16"/>
          <w:szCs w:val="16"/>
        </w:rPr>
        <w:t xml:space="preserve"> </w:t>
      </w:r>
      <w:r w:rsidRPr="00F26E5F">
        <w:rPr>
          <w:rFonts w:ascii="Verdana" w:hAnsi="Verdana"/>
          <w:sz w:val="16"/>
          <w:szCs w:val="16"/>
        </w:rPr>
        <w:t>y diagnósticos (num. 4.º), la difusión de normas, reglas y</w:t>
      </w:r>
      <w:r>
        <w:rPr>
          <w:rFonts w:ascii="Verdana" w:hAnsi="Verdana"/>
          <w:sz w:val="16"/>
          <w:szCs w:val="16"/>
        </w:rPr>
        <w:t xml:space="preserve"> </w:t>
      </w:r>
      <w:r w:rsidRPr="00F26E5F">
        <w:rPr>
          <w:rFonts w:ascii="Verdana" w:hAnsi="Verdana"/>
          <w:sz w:val="16"/>
          <w:szCs w:val="16"/>
        </w:rPr>
        <w:t>procedimientos (num. 10), el brindar apoyo a entidades</w:t>
      </w:r>
      <w:r>
        <w:rPr>
          <w:rFonts w:ascii="Verdana" w:hAnsi="Verdana"/>
          <w:sz w:val="16"/>
          <w:szCs w:val="16"/>
        </w:rPr>
        <w:t xml:space="preserve"> </w:t>
      </w:r>
      <w:r w:rsidRPr="00F26E5F">
        <w:rPr>
          <w:rFonts w:ascii="Verdana" w:hAnsi="Verdana"/>
          <w:sz w:val="16"/>
          <w:szCs w:val="16"/>
        </w:rPr>
        <w:t>territoriales (num. 11) y la promoción de políticas y normas ante el Gobierno Nacional (num. 1.º). Estas labores de</w:t>
      </w:r>
      <w:r>
        <w:rPr>
          <w:rFonts w:ascii="Verdana" w:hAnsi="Verdana"/>
          <w:sz w:val="16"/>
          <w:szCs w:val="16"/>
        </w:rPr>
        <w:t xml:space="preserve"> </w:t>
      </w:r>
      <w:r w:rsidRPr="00F26E5F">
        <w:rPr>
          <w:rFonts w:ascii="Verdana" w:hAnsi="Verdana"/>
          <w:sz w:val="16"/>
          <w:szCs w:val="16"/>
        </w:rPr>
        <w:t>apoyo, tanto a las entidades contratantes como al Gobierno</w:t>
      </w:r>
      <w:r>
        <w:rPr>
          <w:rFonts w:ascii="Verdana" w:hAnsi="Verdana"/>
          <w:sz w:val="16"/>
          <w:szCs w:val="16"/>
        </w:rPr>
        <w:t xml:space="preserve"> </w:t>
      </w:r>
      <w:r w:rsidRPr="00F26E5F">
        <w:rPr>
          <w:rFonts w:ascii="Verdana" w:hAnsi="Verdana"/>
          <w:sz w:val="16"/>
          <w:szCs w:val="16"/>
        </w:rPr>
        <w:t>Nacional, no comportan una función normativa propia</w:t>
      </w:r>
      <w:r>
        <w:rPr>
          <w:rFonts w:ascii="Verdana" w:hAnsi="Verdana"/>
          <w:sz w:val="16"/>
          <w:szCs w:val="16"/>
        </w:rPr>
        <w:t xml:space="preserve"> […]” (Cfr. BENAVIDES, José Luis</w:t>
      </w:r>
      <w:r w:rsidRPr="00F26E5F">
        <w:rPr>
          <w:rFonts w:ascii="Verdana" w:hAnsi="Verdana"/>
          <w:sz w:val="16"/>
          <w:szCs w:val="16"/>
        </w:rPr>
        <w:t>.</w:t>
      </w:r>
      <w:r>
        <w:rPr>
          <w:rFonts w:ascii="Verdana" w:hAnsi="Verdana"/>
          <w:sz w:val="16"/>
          <w:szCs w:val="16"/>
        </w:rPr>
        <w:t xml:space="preserve">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0461" w14:textId="461CC658" w:rsidR="00341D8A" w:rsidRDefault="00341D8A">
    <w:pPr>
      <w:pStyle w:val="Header"/>
    </w:pPr>
    <w:r>
      <w:rPr>
        <w:noProof/>
      </w:rPr>
      <w:pict w14:anchorId="6FFFD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2532" o:spid="_x0000_s1026" type="#_x0000_t136" style="position:absolute;margin-left:0;margin-top:0;width:551.1pt;height:71.85pt;rotation:315;z-index:-251654143;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26520E94" w:rsidR="00756841" w:rsidRDefault="00341D8A" w:rsidP="00844AE9">
    <w:pPr>
      <w:pStyle w:val="Header"/>
      <w:spacing w:line="120" w:lineRule="auto"/>
    </w:pPr>
    <w:r>
      <w:rPr>
        <w:noProof/>
      </w:rPr>
      <w:pict w14:anchorId="4217CE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2533" o:spid="_x0000_s1027" type="#_x0000_t136" style="position:absolute;margin-left:0;margin-top:0;width:551.1pt;height:71.85pt;rotation:315;z-index:-251652095;mso-position-horizontal:center;mso-position-horizontal-relative:margin;mso-position-vertical:center;mso-position-vertical-relative:margin" o:allowincell="f" fillcolor="silver" stroked="f">
          <v:fill opacity=".5"/>
          <v:textpath style="font-family:&quot;Calibri&quot;;font-size:1pt" string="www.contratacionenlinea.co"/>
        </v:shape>
      </w:pict>
    </w:r>
    <w:r w:rsidR="009D3058">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E4D1" w14:textId="0E1515A5" w:rsidR="00341D8A" w:rsidRDefault="00341D8A">
    <w:pPr>
      <w:pStyle w:val="Header"/>
    </w:pPr>
    <w:r>
      <w:rPr>
        <w:noProof/>
      </w:rPr>
      <w:pict w14:anchorId="5CED13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2531" o:spid="_x0000_s1025" type="#_x0000_t136" style="position:absolute;margin-left:0;margin-top:0;width:551.1pt;height:71.85pt;rotation:315;z-index:-251656191;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15pt;height: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E3732"/>
    <w:multiLevelType w:val="multilevel"/>
    <w:tmpl w:val="7060749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38308B"/>
    <w:multiLevelType w:val="hybridMultilevel"/>
    <w:tmpl w:val="F66C4276"/>
    <w:lvl w:ilvl="0" w:tplc="5DD8B4F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105423BE"/>
    <w:multiLevelType w:val="hybridMultilevel"/>
    <w:tmpl w:val="70AE3F06"/>
    <w:lvl w:ilvl="0" w:tplc="351E1094">
      <w:start w:val="3"/>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C4823FD"/>
    <w:multiLevelType w:val="hybridMultilevel"/>
    <w:tmpl w:val="DB4A5A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032286"/>
    <w:multiLevelType w:val="hybridMultilevel"/>
    <w:tmpl w:val="401AA0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9AE221C"/>
    <w:multiLevelType w:val="hybridMultilevel"/>
    <w:tmpl w:val="5C9885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517241">
    <w:abstractNumId w:val="10"/>
  </w:num>
  <w:num w:numId="2" w16cid:durableId="1453667175">
    <w:abstractNumId w:val="2"/>
  </w:num>
  <w:num w:numId="3" w16cid:durableId="1874725998">
    <w:abstractNumId w:val="8"/>
  </w:num>
  <w:num w:numId="4" w16cid:durableId="677540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755521">
    <w:abstractNumId w:val="2"/>
  </w:num>
  <w:num w:numId="6" w16cid:durableId="1775127540">
    <w:abstractNumId w:val="19"/>
  </w:num>
  <w:num w:numId="7" w16cid:durableId="1842238700">
    <w:abstractNumId w:val="9"/>
  </w:num>
  <w:num w:numId="8" w16cid:durableId="1394354028">
    <w:abstractNumId w:val="18"/>
  </w:num>
  <w:num w:numId="9" w16cid:durableId="1976908433">
    <w:abstractNumId w:val="11"/>
  </w:num>
  <w:num w:numId="10" w16cid:durableId="731343156">
    <w:abstractNumId w:val="17"/>
  </w:num>
  <w:num w:numId="11" w16cid:durableId="1992100572">
    <w:abstractNumId w:val="12"/>
  </w:num>
  <w:num w:numId="12" w16cid:durableId="1372730939">
    <w:abstractNumId w:val="0"/>
  </w:num>
  <w:num w:numId="13" w16cid:durableId="1211185453">
    <w:abstractNumId w:val="6"/>
  </w:num>
  <w:num w:numId="14" w16cid:durableId="1856186027">
    <w:abstractNumId w:val="20"/>
  </w:num>
  <w:num w:numId="15" w16cid:durableId="1000616846">
    <w:abstractNumId w:val="16"/>
  </w:num>
  <w:num w:numId="16" w16cid:durableId="2024895314">
    <w:abstractNumId w:val="15"/>
  </w:num>
  <w:num w:numId="17" w16cid:durableId="2018145751">
    <w:abstractNumId w:val="14"/>
  </w:num>
  <w:num w:numId="18" w16cid:durableId="2037461892">
    <w:abstractNumId w:val="13"/>
  </w:num>
  <w:num w:numId="19" w16cid:durableId="1442072968">
    <w:abstractNumId w:val="3"/>
  </w:num>
  <w:num w:numId="20" w16cid:durableId="1445229182">
    <w:abstractNumId w:val="5"/>
  </w:num>
  <w:num w:numId="21" w16cid:durableId="2026907863">
    <w:abstractNumId w:val="7"/>
  </w:num>
  <w:num w:numId="22" w16cid:durableId="123273789">
    <w:abstractNumId w:val="1"/>
  </w:num>
  <w:num w:numId="23" w16cid:durableId="1276404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BDD"/>
    <w:rsid w:val="00016F78"/>
    <w:rsid w:val="00046945"/>
    <w:rsid w:val="0005330A"/>
    <w:rsid w:val="00053EA3"/>
    <w:rsid w:val="00061B2A"/>
    <w:rsid w:val="00082362"/>
    <w:rsid w:val="000836EA"/>
    <w:rsid w:val="00095BAF"/>
    <w:rsid w:val="000A6757"/>
    <w:rsid w:val="000A683E"/>
    <w:rsid w:val="000B19B9"/>
    <w:rsid w:val="000D0334"/>
    <w:rsid w:val="000D5DA7"/>
    <w:rsid w:val="000F4739"/>
    <w:rsid w:val="000F6486"/>
    <w:rsid w:val="00116940"/>
    <w:rsid w:val="00125105"/>
    <w:rsid w:val="00127233"/>
    <w:rsid w:val="0015699B"/>
    <w:rsid w:val="0016385D"/>
    <w:rsid w:val="001A33BF"/>
    <w:rsid w:val="001E4177"/>
    <w:rsid w:val="001E5073"/>
    <w:rsid w:val="001F0B24"/>
    <w:rsid w:val="001F2C08"/>
    <w:rsid w:val="001F7DC6"/>
    <w:rsid w:val="0022400B"/>
    <w:rsid w:val="00232E2D"/>
    <w:rsid w:val="002421BB"/>
    <w:rsid w:val="002562C7"/>
    <w:rsid w:val="0025796E"/>
    <w:rsid w:val="002707A2"/>
    <w:rsid w:val="00291027"/>
    <w:rsid w:val="002951A0"/>
    <w:rsid w:val="002962BC"/>
    <w:rsid w:val="002A093D"/>
    <w:rsid w:val="002A0DD0"/>
    <w:rsid w:val="002A49AC"/>
    <w:rsid w:val="002A64FD"/>
    <w:rsid w:val="002C7A84"/>
    <w:rsid w:val="002D7591"/>
    <w:rsid w:val="002E2BF8"/>
    <w:rsid w:val="002E4FD9"/>
    <w:rsid w:val="0030657A"/>
    <w:rsid w:val="0031293B"/>
    <w:rsid w:val="00322A85"/>
    <w:rsid w:val="00324168"/>
    <w:rsid w:val="00330834"/>
    <w:rsid w:val="00341D8A"/>
    <w:rsid w:val="003448F4"/>
    <w:rsid w:val="00374F5E"/>
    <w:rsid w:val="00377E3E"/>
    <w:rsid w:val="003A66D9"/>
    <w:rsid w:val="003A779E"/>
    <w:rsid w:val="003B01E2"/>
    <w:rsid w:val="003B34BF"/>
    <w:rsid w:val="003D0F4D"/>
    <w:rsid w:val="003D5B0D"/>
    <w:rsid w:val="003E0499"/>
    <w:rsid w:val="003E4F80"/>
    <w:rsid w:val="003E6439"/>
    <w:rsid w:val="003F3941"/>
    <w:rsid w:val="003F7CA2"/>
    <w:rsid w:val="00406575"/>
    <w:rsid w:val="00406DEF"/>
    <w:rsid w:val="00414C74"/>
    <w:rsid w:val="00421D88"/>
    <w:rsid w:val="004257DC"/>
    <w:rsid w:val="0042722E"/>
    <w:rsid w:val="00435858"/>
    <w:rsid w:val="0044528D"/>
    <w:rsid w:val="00466E39"/>
    <w:rsid w:val="004A1847"/>
    <w:rsid w:val="004A305D"/>
    <w:rsid w:val="004E516B"/>
    <w:rsid w:val="004F21C4"/>
    <w:rsid w:val="004F685F"/>
    <w:rsid w:val="00511897"/>
    <w:rsid w:val="00512C4B"/>
    <w:rsid w:val="005566E8"/>
    <w:rsid w:val="00573FDA"/>
    <w:rsid w:val="00574867"/>
    <w:rsid w:val="005847AD"/>
    <w:rsid w:val="00584DA6"/>
    <w:rsid w:val="00586748"/>
    <w:rsid w:val="00591460"/>
    <w:rsid w:val="005916A2"/>
    <w:rsid w:val="00595ED8"/>
    <w:rsid w:val="005A62E0"/>
    <w:rsid w:val="005A65E0"/>
    <w:rsid w:val="005C3777"/>
    <w:rsid w:val="005C5CDC"/>
    <w:rsid w:val="005D476C"/>
    <w:rsid w:val="005F58F3"/>
    <w:rsid w:val="006200BF"/>
    <w:rsid w:val="006219F8"/>
    <w:rsid w:val="006302F7"/>
    <w:rsid w:val="006416B7"/>
    <w:rsid w:val="006432FE"/>
    <w:rsid w:val="00646B9F"/>
    <w:rsid w:val="00665D70"/>
    <w:rsid w:val="00666255"/>
    <w:rsid w:val="00681E14"/>
    <w:rsid w:val="006900D9"/>
    <w:rsid w:val="006B5BC9"/>
    <w:rsid w:val="006D1D1F"/>
    <w:rsid w:val="006E08E4"/>
    <w:rsid w:val="007004AC"/>
    <w:rsid w:val="00706C16"/>
    <w:rsid w:val="007340C3"/>
    <w:rsid w:val="00736982"/>
    <w:rsid w:val="00741708"/>
    <w:rsid w:val="0075235A"/>
    <w:rsid w:val="00756841"/>
    <w:rsid w:val="007649AB"/>
    <w:rsid w:val="00765453"/>
    <w:rsid w:val="00765E13"/>
    <w:rsid w:val="00771D0C"/>
    <w:rsid w:val="007833AC"/>
    <w:rsid w:val="007A4668"/>
    <w:rsid w:val="007A5CAF"/>
    <w:rsid w:val="007B268C"/>
    <w:rsid w:val="007B7171"/>
    <w:rsid w:val="007C0C0F"/>
    <w:rsid w:val="007C2393"/>
    <w:rsid w:val="007C3DC2"/>
    <w:rsid w:val="007E5497"/>
    <w:rsid w:val="007E6066"/>
    <w:rsid w:val="00806F5F"/>
    <w:rsid w:val="00810D1D"/>
    <w:rsid w:val="00815F9B"/>
    <w:rsid w:val="00820278"/>
    <w:rsid w:val="008258C9"/>
    <w:rsid w:val="00844AE9"/>
    <w:rsid w:val="00847A16"/>
    <w:rsid w:val="00867F95"/>
    <w:rsid w:val="00871A15"/>
    <w:rsid w:val="008843B6"/>
    <w:rsid w:val="00891928"/>
    <w:rsid w:val="00897A7C"/>
    <w:rsid w:val="008A446D"/>
    <w:rsid w:val="008B2214"/>
    <w:rsid w:val="008B25F1"/>
    <w:rsid w:val="008C2B12"/>
    <w:rsid w:val="008C3F5E"/>
    <w:rsid w:val="008D180B"/>
    <w:rsid w:val="008F0EA7"/>
    <w:rsid w:val="008F2102"/>
    <w:rsid w:val="008F52BF"/>
    <w:rsid w:val="00907C29"/>
    <w:rsid w:val="009232B4"/>
    <w:rsid w:val="00923EEF"/>
    <w:rsid w:val="009246E3"/>
    <w:rsid w:val="00931CFC"/>
    <w:rsid w:val="00932313"/>
    <w:rsid w:val="009419F9"/>
    <w:rsid w:val="0095685E"/>
    <w:rsid w:val="00961B09"/>
    <w:rsid w:val="00965334"/>
    <w:rsid w:val="0097093E"/>
    <w:rsid w:val="00980549"/>
    <w:rsid w:val="00982795"/>
    <w:rsid w:val="009A0DFA"/>
    <w:rsid w:val="009A1C23"/>
    <w:rsid w:val="009A1C6F"/>
    <w:rsid w:val="009B2D26"/>
    <w:rsid w:val="009C70C5"/>
    <w:rsid w:val="009C71FA"/>
    <w:rsid w:val="009C72E7"/>
    <w:rsid w:val="009C7F7E"/>
    <w:rsid w:val="009D3058"/>
    <w:rsid w:val="009E287B"/>
    <w:rsid w:val="009F3A13"/>
    <w:rsid w:val="00A122D3"/>
    <w:rsid w:val="00A14468"/>
    <w:rsid w:val="00A17F13"/>
    <w:rsid w:val="00A20739"/>
    <w:rsid w:val="00A23AF9"/>
    <w:rsid w:val="00A27C0B"/>
    <w:rsid w:val="00A33C78"/>
    <w:rsid w:val="00A6741F"/>
    <w:rsid w:val="00A77532"/>
    <w:rsid w:val="00A87404"/>
    <w:rsid w:val="00A93F09"/>
    <w:rsid w:val="00AA631F"/>
    <w:rsid w:val="00AB0ADB"/>
    <w:rsid w:val="00AC4BDA"/>
    <w:rsid w:val="00AD6904"/>
    <w:rsid w:val="00AE07C1"/>
    <w:rsid w:val="00AF5C2E"/>
    <w:rsid w:val="00B00C0E"/>
    <w:rsid w:val="00B01B1A"/>
    <w:rsid w:val="00B0381D"/>
    <w:rsid w:val="00B42F06"/>
    <w:rsid w:val="00B44A47"/>
    <w:rsid w:val="00B54183"/>
    <w:rsid w:val="00B66CE2"/>
    <w:rsid w:val="00B72CD3"/>
    <w:rsid w:val="00B72FFF"/>
    <w:rsid w:val="00B91F5E"/>
    <w:rsid w:val="00BB6F0B"/>
    <w:rsid w:val="00BC3D36"/>
    <w:rsid w:val="00BC65C2"/>
    <w:rsid w:val="00BD54A6"/>
    <w:rsid w:val="00BD7F72"/>
    <w:rsid w:val="00BF7425"/>
    <w:rsid w:val="00C04FB3"/>
    <w:rsid w:val="00C11D8B"/>
    <w:rsid w:val="00C15139"/>
    <w:rsid w:val="00C330EB"/>
    <w:rsid w:val="00C36A6E"/>
    <w:rsid w:val="00C50D69"/>
    <w:rsid w:val="00C5365C"/>
    <w:rsid w:val="00C754BE"/>
    <w:rsid w:val="00C76B1C"/>
    <w:rsid w:val="00C82CF0"/>
    <w:rsid w:val="00C83701"/>
    <w:rsid w:val="00C9084D"/>
    <w:rsid w:val="00C925AC"/>
    <w:rsid w:val="00CB6357"/>
    <w:rsid w:val="00CC1B26"/>
    <w:rsid w:val="00CD1834"/>
    <w:rsid w:val="00CE01BA"/>
    <w:rsid w:val="00D07146"/>
    <w:rsid w:val="00D11E02"/>
    <w:rsid w:val="00D34AA1"/>
    <w:rsid w:val="00D361FD"/>
    <w:rsid w:val="00D417FC"/>
    <w:rsid w:val="00D423A2"/>
    <w:rsid w:val="00D44E26"/>
    <w:rsid w:val="00D51D26"/>
    <w:rsid w:val="00D520D8"/>
    <w:rsid w:val="00D63AC2"/>
    <w:rsid w:val="00D67477"/>
    <w:rsid w:val="00D7383B"/>
    <w:rsid w:val="00D7788A"/>
    <w:rsid w:val="00D829D7"/>
    <w:rsid w:val="00D925A4"/>
    <w:rsid w:val="00D933EA"/>
    <w:rsid w:val="00DA231B"/>
    <w:rsid w:val="00DA507B"/>
    <w:rsid w:val="00DA67B2"/>
    <w:rsid w:val="00DB2890"/>
    <w:rsid w:val="00DC39FC"/>
    <w:rsid w:val="00DD3557"/>
    <w:rsid w:val="00DE6F43"/>
    <w:rsid w:val="00DF5254"/>
    <w:rsid w:val="00E02524"/>
    <w:rsid w:val="00E15152"/>
    <w:rsid w:val="00E15B6F"/>
    <w:rsid w:val="00E16408"/>
    <w:rsid w:val="00E20894"/>
    <w:rsid w:val="00E245AB"/>
    <w:rsid w:val="00E2764C"/>
    <w:rsid w:val="00E27F2E"/>
    <w:rsid w:val="00E50AFE"/>
    <w:rsid w:val="00E67517"/>
    <w:rsid w:val="00E75C92"/>
    <w:rsid w:val="00E771DC"/>
    <w:rsid w:val="00E84F3E"/>
    <w:rsid w:val="00E8772A"/>
    <w:rsid w:val="00E90F6B"/>
    <w:rsid w:val="00E92C27"/>
    <w:rsid w:val="00E9409D"/>
    <w:rsid w:val="00EA0E3D"/>
    <w:rsid w:val="00EC38A7"/>
    <w:rsid w:val="00EE1AA8"/>
    <w:rsid w:val="00F15CD1"/>
    <w:rsid w:val="00F17D3B"/>
    <w:rsid w:val="00F227C1"/>
    <w:rsid w:val="00F23FEA"/>
    <w:rsid w:val="00F242CC"/>
    <w:rsid w:val="00F31EDC"/>
    <w:rsid w:val="00F32815"/>
    <w:rsid w:val="00F462B3"/>
    <w:rsid w:val="00F5664F"/>
    <w:rsid w:val="00F57C0A"/>
    <w:rsid w:val="00F666C4"/>
    <w:rsid w:val="00F66D5C"/>
    <w:rsid w:val="00F76AFC"/>
    <w:rsid w:val="00F950F9"/>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F242CC"/>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F242CC"/>
    <w:rPr>
      <w:rFonts w:ascii="Geomanist Light" w:hAnsi="Geomanist Light"/>
      <w:lang w:val="es-ES"/>
    </w:rPr>
  </w:style>
  <w:style w:type="paragraph" w:styleId="NoSpacing">
    <w:name w:val="No Spacing"/>
    <w:uiPriority w:val="1"/>
    <w:qFormat/>
    <w:rsid w:val="00F242CC"/>
    <w:pPr>
      <w:spacing w:after="0" w:line="240" w:lineRule="auto"/>
    </w:pPr>
  </w:style>
  <w:style w:type="character" w:customStyle="1" w:styleId="s15">
    <w:name w:val="s15"/>
    <w:basedOn w:val="DefaultParagraphFont"/>
    <w:rsid w:val="00F24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18" Type="http://schemas.openxmlformats.org/officeDocument/2006/relationships/hyperlink" Target="https://forms.office.com/r/pPHyWVs2S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7" Type="http://schemas.openxmlformats.org/officeDocument/2006/relationships/hyperlink" Target="https://www.colombiacompra.gov.co/pqrsd/informacion-importante-antes-de-formular-una-pqrs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D9CB7-1BF6-4A9B-A8C7-362B88F0A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48</Pages>
  <Words>16975</Words>
  <Characters>96759</Characters>
  <Application>Microsoft Office Word</Application>
  <DocSecurity>0</DocSecurity>
  <Lines>806</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Contratación en Línea</cp:lastModifiedBy>
  <cp:revision>15</cp:revision>
  <cp:lastPrinted>2023-01-10T21:18:00Z</cp:lastPrinted>
  <dcterms:created xsi:type="dcterms:W3CDTF">2026-08-11T13:48:00Z</dcterms:created>
  <dcterms:modified xsi:type="dcterms:W3CDTF">2026-09-20T00:46:00Z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