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28031" w14:textId="77777777" w:rsidR="00FD7032" w:rsidRPr="000643BE" w:rsidRDefault="00FD7032" w:rsidP="00FD7032">
      <w:pPr>
        <w:spacing w:after="0" w:line="240" w:lineRule="auto"/>
        <w:contextualSpacing/>
        <w:jc w:val="both"/>
        <w:rPr>
          <w:rFonts w:ascii="Verdana" w:eastAsia="Calibri" w:hAnsi="Verdana" w:cs="Arial"/>
          <w:b/>
          <w:bCs/>
          <w:color w:val="000000" w:themeColor="text1"/>
          <w:lang w:val="es-ES_tradnl"/>
        </w:rPr>
      </w:pPr>
      <w:bookmarkStart w:id="0" w:name="_Hlk239240927"/>
      <w:r w:rsidRPr="000643BE">
        <w:rPr>
          <w:rFonts w:ascii="Verdana" w:eastAsia="Calibri" w:hAnsi="Verdana" w:cs="Arial"/>
          <w:b/>
          <w:bCs/>
          <w:color w:val="000000" w:themeColor="text1"/>
          <w:lang w:val="es-ES_tradnl"/>
        </w:rPr>
        <w:t>CONTRATO DE CONCESIÓN ― Contrato estatal ― Concepto</w:t>
      </w:r>
    </w:p>
    <w:bookmarkEnd w:id="0"/>
    <w:p w14:paraId="7C3CDE38" w14:textId="77777777" w:rsidR="00FD7032" w:rsidRPr="00252D4B" w:rsidRDefault="00FD7032" w:rsidP="00FD7032">
      <w:pPr>
        <w:spacing w:after="0" w:line="240" w:lineRule="auto"/>
        <w:contextualSpacing/>
        <w:rPr>
          <w:rFonts w:ascii="Verdana" w:eastAsia="Calibri" w:hAnsi="Verdana" w:cs="Arial"/>
          <w:b/>
          <w:bCs/>
          <w:color w:val="000000" w:themeColor="text1"/>
          <w:sz w:val="20"/>
          <w:szCs w:val="20"/>
          <w:lang w:val="es-ES_tradnl"/>
        </w:rPr>
      </w:pPr>
    </w:p>
    <w:p w14:paraId="46260573" w14:textId="77777777" w:rsidR="00FD7032" w:rsidRPr="00252D4B" w:rsidRDefault="00FD7032" w:rsidP="00BE6C1E">
      <w:pPr>
        <w:spacing w:line="240" w:lineRule="auto"/>
        <w:contextualSpacing/>
        <w:jc w:val="both"/>
        <w:rPr>
          <w:rFonts w:ascii="Verdana" w:eastAsia="Calibri" w:hAnsi="Verdana" w:cs="Arial"/>
          <w:color w:val="000000" w:themeColor="text1"/>
          <w:sz w:val="20"/>
          <w:szCs w:val="20"/>
          <w:lang w:val="es-ES"/>
        </w:rPr>
      </w:pPr>
      <w:r w:rsidRPr="00252D4B">
        <w:rPr>
          <w:rFonts w:ascii="Verdana" w:eastAsia="Calibri" w:hAnsi="Verdana" w:cs="Arial"/>
          <w:bCs/>
          <w:color w:val="000000" w:themeColor="text1"/>
          <w:sz w:val="20"/>
          <w:szCs w:val="20"/>
          <w:lang w:val="es-ES_tradnl"/>
        </w:rPr>
        <w:t xml:space="preserve">El contrato de concesión ha sido tradicionalmente uno de los contratos estatales paradigmáticos. Esto debido a que, a través de él las Entidades Públicas reciben el apoyo de los particulares para el cumplimiento de los fines del Estado, permitiendo que aquellos exploten, operen, organicen, construyan, conserven o gestionen un determinado bien o servicio de propiedad estatal, en la medida de lo posible con sus propios recursos privados y con la oportunidad de recuperar su inversión durante el plazo del contrato. </w:t>
      </w:r>
      <w:r w:rsidRPr="00252D4B">
        <w:rPr>
          <w:rFonts w:ascii="Verdana" w:eastAsia="Calibri" w:hAnsi="Verdana" w:cs="Arial"/>
          <w:color w:val="000000" w:themeColor="text1"/>
          <w:sz w:val="20"/>
          <w:szCs w:val="20"/>
          <w:lang w:val="es-ES"/>
        </w:rPr>
        <w:t xml:space="preserve"> […].</w:t>
      </w:r>
    </w:p>
    <w:p w14:paraId="3BABF767" w14:textId="77777777" w:rsidR="00FD7032" w:rsidRPr="00252D4B" w:rsidRDefault="00FD7032" w:rsidP="00BE6C1E">
      <w:pPr>
        <w:spacing w:after="0" w:line="240" w:lineRule="auto"/>
        <w:contextualSpacing/>
        <w:jc w:val="both"/>
        <w:rPr>
          <w:rFonts w:ascii="Verdana" w:eastAsia="Calibri" w:hAnsi="Verdana" w:cs="Arial"/>
          <w:color w:val="000000" w:themeColor="text1"/>
          <w:sz w:val="20"/>
          <w:szCs w:val="20"/>
          <w:lang w:val="es-ES"/>
        </w:rPr>
      </w:pPr>
    </w:p>
    <w:p w14:paraId="4F3EF01A" w14:textId="77777777" w:rsidR="00FD7032" w:rsidRPr="00252D4B" w:rsidRDefault="00FD7032" w:rsidP="00BE6C1E">
      <w:pPr>
        <w:tabs>
          <w:tab w:val="left" w:pos="0"/>
        </w:tabs>
        <w:spacing w:after="0" w:line="240" w:lineRule="auto"/>
        <w:contextualSpacing/>
        <w:jc w:val="both"/>
        <w:rPr>
          <w:rFonts w:ascii="Verdana" w:eastAsia="Calibri" w:hAnsi="Verdana" w:cs="Arial"/>
          <w:bCs/>
          <w:color w:val="000000" w:themeColor="text1"/>
          <w:sz w:val="20"/>
          <w:szCs w:val="20"/>
        </w:rPr>
      </w:pPr>
      <w:r w:rsidRPr="00252D4B">
        <w:rPr>
          <w:rFonts w:ascii="Verdana" w:eastAsia="Calibri" w:hAnsi="Verdana" w:cs="Arial"/>
          <w:bCs/>
          <w:color w:val="000000" w:themeColor="text1"/>
          <w:sz w:val="20"/>
          <w:szCs w:val="20"/>
        </w:rPr>
        <w:t xml:space="preserve">Tal como está tipificado el contrato de concesión en la Ley 80 de 1993, el Estado es el titular de la actividad o del bien y lo otorga a una persona que se denominará </w:t>
      </w:r>
      <w:r w:rsidRPr="00252D4B">
        <w:rPr>
          <w:rFonts w:ascii="Verdana" w:eastAsia="Calibri" w:hAnsi="Verdana" w:cs="Arial"/>
          <w:bCs/>
          <w:i/>
          <w:iCs/>
          <w:color w:val="000000" w:themeColor="text1"/>
          <w:sz w:val="20"/>
          <w:szCs w:val="20"/>
        </w:rPr>
        <w:t>concesionario</w:t>
      </w:r>
      <w:r w:rsidRPr="00252D4B">
        <w:rPr>
          <w:rFonts w:ascii="Verdana" w:eastAsia="Calibri" w:hAnsi="Verdana" w:cs="Arial"/>
          <w:bCs/>
          <w:color w:val="000000" w:themeColor="text1"/>
          <w:sz w:val="20"/>
          <w:szCs w:val="20"/>
        </w:rPr>
        <w:t xml:space="preserve">, para que este asuma el ejercicio del servicio público o la realización y explotación de una obra, por su propia cuenta y riesgo, pero con la permanente vigilancia de la entidad </w:t>
      </w:r>
      <w:r w:rsidRPr="00252D4B">
        <w:rPr>
          <w:rFonts w:ascii="Verdana" w:eastAsia="Calibri" w:hAnsi="Verdana" w:cs="Arial"/>
          <w:bCs/>
          <w:i/>
          <w:iCs/>
          <w:color w:val="000000" w:themeColor="text1"/>
          <w:sz w:val="20"/>
          <w:szCs w:val="20"/>
        </w:rPr>
        <w:t>concedente</w:t>
      </w:r>
      <w:r w:rsidRPr="00252D4B">
        <w:rPr>
          <w:rFonts w:ascii="Verdana" w:eastAsia="Calibri" w:hAnsi="Verdana" w:cs="Arial"/>
          <w:bCs/>
          <w:color w:val="000000" w:themeColor="text1"/>
          <w:sz w:val="20"/>
          <w:szCs w:val="20"/>
        </w:rPr>
        <w:t xml:space="preserve"> y como contraprestación recibirá un incentivo económico. La entidad concedente no se desprende de la potestad de dirección y control de la ejecución del contrato y debe ejercer la permanente vigilancia de la actividad que desarrolla el concesionario. </w:t>
      </w:r>
      <w:r w:rsidRPr="00252D4B">
        <w:rPr>
          <w:rFonts w:ascii="Verdana" w:eastAsia="Calibri" w:hAnsi="Verdana" w:cs="Arial"/>
          <w:bCs/>
          <w:color w:val="000000" w:themeColor="text1"/>
          <w:sz w:val="20"/>
          <w:szCs w:val="20"/>
          <w:lang w:val="es-ES_tradnl"/>
        </w:rPr>
        <w:t>Como se observa, en este tipo de contratos el contratista es, en principio, quien por su cuenta y riesgo ejecuta la prestación, operación, explotación u organización del servicio, así como la construcción, explotación o conservación del bien, a cambio de una remuneración. […]</w:t>
      </w:r>
    </w:p>
    <w:p w14:paraId="3C8DEC70" w14:textId="77777777" w:rsidR="00FD7032" w:rsidRPr="00861B91" w:rsidRDefault="00FD7032" w:rsidP="00FD7032">
      <w:pPr>
        <w:spacing w:after="0"/>
        <w:jc w:val="both"/>
        <w:rPr>
          <w:rFonts w:ascii="Verdana" w:eastAsia="Verdana" w:hAnsi="Verdana" w:cs="Verdana"/>
          <w:b/>
          <w:color w:val="7030A0"/>
          <w:highlight w:val="lightGray"/>
        </w:rPr>
      </w:pPr>
    </w:p>
    <w:p w14:paraId="2BB45A1B" w14:textId="77777777" w:rsidR="00FD7032" w:rsidRPr="000643BE" w:rsidRDefault="00FD7032" w:rsidP="00FD7032">
      <w:pPr>
        <w:spacing w:after="0" w:line="240" w:lineRule="auto"/>
        <w:contextualSpacing/>
        <w:jc w:val="both"/>
        <w:rPr>
          <w:rFonts w:ascii="Verdana" w:eastAsia="Calibri" w:hAnsi="Verdana" w:cs="Arial"/>
          <w:b/>
          <w:bCs/>
          <w:color w:val="000000" w:themeColor="text1"/>
          <w:lang w:val="es-ES_tradnl"/>
        </w:rPr>
      </w:pPr>
      <w:r w:rsidRPr="000643BE">
        <w:rPr>
          <w:rFonts w:ascii="Verdana" w:eastAsia="Calibri" w:hAnsi="Verdana" w:cs="Arial"/>
          <w:b/>
          <w:bCs/>
          <w:color w:val="000000" w:themeColor="text1"/>
          <w:lang w:val="es-ES_tradnl"/>
        </w:rPr>
        <w:t xml:space="preserve">CONTRATO DE CONCESIÓN ― </w:t>
      </w:r>
      <w:bookmarkStart w:id="1" w:name="_Hlk239240946"/>
      <w:r w:rsidRPr="000643BE">
        <w:rPr>
          <w:rFonts w:ascii="Verdana" w:eastAsia="Calibri" w:hAnsi="Verdana" w:cs="Arial"/>
          <w:b/>
          <w:bCs/>
          <w:color w:val="000000" w:themeColor="text1"/>
          <w:lang w:val="es-ES_tradnl"/>
        </w:rPr>
        <w:t>Colaboración público - privada ― No exclusiva</w:t>
      </w:r>
    </w:p>
    <w:bookmarkEnd w:id="1"/>
    <w:p w14:paraId="40F19A58" w14:textId="77777777" w:rsidR="00FD7032" w:rsidRDefault="00FD7032" w:rsidP="00FD7032">
      <w:pPr>
        <w:contextualSpacing/>
        <w:jc w:val="both"/>
        <w:rPr>
          <w:rFonts w:ascii="Verdana" w:eastAsia="Calibri" w:hAnsi="Verdana" w:cs="Arial"/>
          <w:b/>
          <w:bCs/>
          <w:color w:val="000000" w:themeColor="text1"/>
          <w:sz w:val="20"/>
          <w:szCs w:val="20"/>
          <w:lang w:val="es-ES_tradnl"/>
        </w:rPr>
      </w:pPr>
    </w:p>
    <w:p w14:paraId="0FBB0853" w14:textId="77777777" w:rsidR="00FD7032" w:rsidRDefault="00FD7032" w:rsidP="00BE6C1E">
      <w:pPr>
        <w:spacing w:after="0" w:line="240" w:lineRule="auto"/>
        <w:contextualSpacing/>
        <w:jc w:val="both"/>
        <w:rPr>
          <w:rFonts w:ascii="Verdana" w:eastAsia="Calibri" w:hAnsi="Verdana" w:cs="Arial"/>
          <w:color w:val="000000" w:themeColor="text1"/>
          <w:sz w:val="20"/>
          <w:szCs w:val="20"/>
          <w:lang w:val="es-ES" w:eastAsia="es-ES_tradnl"/>
        </w:rPr>
      </w:pPr>
      <w:r w:rsidRPr="000643BE">
        <w:rPr>
          <w:rFonts w:ascii="Verdana" w:eastAsia="Calibri" w:hAnsi="Verdana" w:cs="Arial"/>
          <w:color w:val="000000" w:themeColor="text1"/>
          <w:sz w:val="20"/>
          <w:szCs w:val="20"/>
          <w:lang w:val="es-ES"/>
        </w:rPr>
        <w:t xml:space="preserve">A partir de la tipificación de este contrato, en el artículo citado, y sin perjuicio de la existencia de regímenes especiales, las disposiciones del Estatuto General de Contratación de la Administración Pública – en adelante EGCAP – eran las que aplicaban principalmente las Entidades Públicas en la celebración de los contratos de concesión. Sin embargo, con posterioridad se expidió la Ley 1508 de 2012, “Por la cual se establece el régimen jurídico de las Asociaciones Público-Privadas, se dictan normas orgánicas de presupuesto y se dictan otras disposiciones”, normativa que se menciona en su consulta […]. </w:t>
      </w:r>
    </w:p>
    <w:p w14:paraId="153B1047" w14:textId="77777777" w:rsidR="00FD7032" w:rsidRPr="003E1BCD" w:rsidRDefault="00FD7032" w:rsidP="00BE6C1E">
      <w:pPr>
        <w:spacing w:after="0" w:line="240" w:lineRule="auto"/>
        <w:contextualSpacing/>
        <w:jc w:val="both"/>
        <w:rPr>
          <w:rFonts w:ascii="Verdana" w:eastAsia="Calibri" w:hAnsi="Verdana" w:cs="Arial"/>
          <w:color w:val="000000" w:themeColor="text1"/>
          <w:sz w:val="20"/>
          <w:szCs w:val="20"/>
          <w:lang w:val="es-ES" w:eastAsia="es-ES_tradnl"/>
        </w:rPr>
      </w:pPr>
    </w:p>
    <w:p w14:paraId="15EC2925" w14:textId="77777777" w:rsidR="00FD7032" w:rsidRPr="000643BE" w:rsidRDefault="00FD7032" w:rsidP="00BE6C1E">
      <w:pPr>
        <w:tabs>
          <w:tab w:val="left" w:pos="0"/>
        </w:tabs>
        <w:spacing w:after="0" w:line="240" w:lineRule="auto"/>
        <w:contextualSpacing/>
        <w:jc w:val="both"/>
        <w:rPr>
          <w:rFonts w:ascii="Verdana" w:eastAsia="Calibri" w:hAnsi="Verdana" w:cs="Arial"/>
          <w:bCs/>
          <w:strike/>
          <w:color w:val="000000" w:themeColor="text1"/>
          <w:sz w:val="20"/>
          <w:szCs w:val="20"/>
          <w:lang w:val="es-ES_tradnl"/>
        </w:rPr>
      </w:pPr>
      <w:r w:rsidRPr="000643BE">
        <w:rPr>
          <w:rFonts w:ascii="Verdana" w:eastAsia="Calibri" w:hAnsi="Verdana" w:cs="Arial"/>
          <w:bCs/>
          <w:color w:val="000000" w:themeColor="text1"/>
          <w:sz w:val="20"/>
          <w:szCs w:val="20"/>
          <w:lang w:val="es-ES_tradnl"/>
        </w:rPr>
        <w:t xml:space="preserve">Con fundamento en dicha noción, el legislador entiende la concesión como una forma de colaboración público-privada, es decir, como un mecanismo a través del cual el sector privado participa en la gestión pública, representada en la ejecución de actividades de infraestructura o de otros servicios, vinculando capital, conocimientos y experiencia, así como un mayor riesgo que el que ordinariamente se asume en otras tipologías contractuales. </w:t>
      </w:r>
    </w:p>
    <w:p w14:paraId="1FF33082" w14:textId="77777777" w:rsidR="00FD7032" w:rsidRPr="003E1BCD" w:rsidRDefault="00FD7032" w:rsidP="00FD7032">
      <w:pPr>
        <w:spacing w:after="0"/>
        <w:rPr>
          <w:rFonts w:ascii="Verdana" w:hAnsi="Verdana"/>
          <w:color w:val="7030A0"/>
          <w:highlight w:val="lightGray"/>
          <w:lang w:val="es-ES_tradnl"/>
        </w:rPr>
      </w:pPr>
    </w:p>
    <w:p w14:paraId="4F98AA51" w14:textId="77777777" w:rsidR="00FD7032" w:rsidRDefault="00FD7032" w:rsidP="00FD7032">
      <w:pPr>
        <w:spacing w:after="0" w:line="240" w:lineRule="auto"/>
        <w:rPr>
          <w:rFonts w:ascii="Verdana" w:eastAsia="Calibri" w:hAnsi="Verdana" w:cs="Arial"/>
          <w:b/>
          <w:bCs/>
          <w:lang w:val="es-ES_tradnl" w:eastAsia="es-ES"/>
        </w:rPr>
      </w:pPr>
      <w:bookmarkStart w:id="2" w:name="_Hlk239240975"/>
      <w:r w:rsidRPr="00F80FB7">
        <w:rPr>
          <w:rFonts w:ascii="Verdana" w:eastAsia="Calibri" w:hAnsi="Verdana" w:cs="Arial"/>
          <w:b/>
          <w:bCs/>
          <w:lang w:val="es-ES_tradnl" w:eastAsia="es-ES"/>
        </w:rPr>
        <w:t>CONTRATOS Y CONVENIOS INTERADMINISTRATIVOS – Definición – Sujetos – Entidades Estatales</w:t>
      </w:r>
    </w:p>
    <w:bookmarkEnd w:id="2"/>
    <w:p w14:paraId="2ECABD05" w14:textId="77777777" w:rsidR="00FD7032" w:rsidRDefault="00FD7032" w:rsidP="00FD7032">
      <w:pPr>
        <w:spacing w:after="120" w:line="276" w:lineRule="auto"/>
        <w:jc w:val="both"/>
        <w:rPr>
          <w:rFonts w:ascii="Verdana" w:eastAsia="Calibri" w:hAnsi="Verdana" w:cs="Arial"/>
          <w:b/>
          <w:bCs/>
          <w:lang w:val="es-ES_tradnl" w:eastAsia="es-ES"/>
        </w:rPr>
      </w:pPr>
    </w:p>
    <w:p w14:paraId="32C22942" w14:textId="77777777" w:rsidR="00FD7032" w:rsidRPr="00111D1C" w:rsidRDefault="00FD7032" w:rsidP="00BE6C1E">
      <w:pPr>
        <w:spacing w:after="120" w:line="240" w:lineRule="auto"/>
        <w:jc w:val="both"/>
        <w:rPr>
          <w:rFonts w:ascii="Verdana" w:eastAsia="Calibri" w:hAnsi="Verdana" w:cs="Arial"/>
          <w:sz w:val="20"/>
          <w:szCs w:val="20"/>
          <w:lang w:eastAsia="es-ES"/>
        </w:rPr>
      </w:pPr>
      <w:r w:rsidRPr="00111D1C">
        <w:rPr>
          <w:rFonts w:ascii="Verdana" w:eastAsia="Calibri" w:hAnsi="Verdana" w:cs="Arial"/>
          <w:sz w:val="20"/>
          <w:szCs w:val="20"/>
          <w:lang w:val="es-ES_tradnl" w:eastAsia="es-ES"/>
        </w:rPr>
        <w:lastRenderedPageBreak/>
        <w:t xml:space="preserve">[…] </w:t>
      </w:r>
      <w:r w:rsidRPr="00111D1C">
        <w:rPr>
          <w:rFonts w:ascii="Verdana" w:eastAsia="Times New Roman" w:hAnsi="Verdana" w:cs="Arial"/>
          <w:color w:val="000000" w:themeColor="text1"/>
          <w:sz w:val="20"/>
          <w:szCs w:val="20"/>
          <w:lang w:val="es-ES" w:eastAsia="es-CO"/>
        </w:rPr>
        <w:t xml:space="preserve">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w:t>
      </w:r>
      <w:r w:rsidRPr="00111D1C">
        <w:rPr>
          <w:rFonts w:ascii="Verdana" w:eastAsia="Calibri" w:hAnsi="Verdana" w:cs="Arial"/>
          <w:sz w:val="20"/>
          <w:szCs w:val="20"/>
          <w:lang w:eastAsia="es-ES"/>
        </w:rPr>
        <w:t xml:space="preserve">sin que importen las normas que regulan la relación contractual. </w:t>
      </w:r>
    </w:p>
    <w:p w14:paraId="5DB5848B" w14:textId="77777777" w:rsidR="00FD7032" w:rsidRPr="00111D1C" w:rsidRDefault="00FD7032" w:rsidP="00BE6C1E">
      <w:pPr>
        <w:spacing w:after="120" w:line="240" w:lineRule="auto"/>
        <w:jc w:val="both"/>
        <w:rPr>
          <w:rFonts w:ascii="Verdana" w:eastAsia="Calibri" w:hAnsi="Verdana" w:cs="Arial"/>
          <w:bCs/>
          <w:color w:val="000000" w:themeColor="text1"/>
          <w:sz w:val="20"/>
          <w:szCs w:val="20"/>
          <w:lang w:eastAsia="es-ES_tradnl" w:bidi="es-ES"/>
        </w:rPr>
      </w:pPr>
      <w:r w:rsidRPr="00111D1C">
        <w:rPr>
          <w:rFonts w:ascii="Verdana" w:eastAsia="Calibri" w:hAnsi="Verdana" w:cs="Arial"/>
          <w:bCs/>
          <w:color w:val="000000" w:themeColor="text1"/>
          <w:sz w:val="20"/>
          <w:szCs w:val="20"/>
          <w:lang w:eastAsia="es-ES_tradnl" w:bidi="es-ES"/>
        </w:rPr>
        <w:t xml:space="preserve">[…] En esa línea, una interpretación sistemática de las Leyes 80 de 1993, 1150 de 2007 y 1474 de 2011 permite considerar el </w:t>
      </w:r>
      <w:r w:rsidRPr="00111D1C">
        <w:rPr>
          <w:rFonts w:ascii="Verdana" w:eastAsia="Calibri" w:hAnsi="Verdana" w:cs="Arial"/>
          <w:bCs/>
          <w:i/>
          <w:iCs/>
          <w:color w:val="000000" w:themeColor="text1"/>
          <w:sz w:val="20"/>
          <w:szCs w:val="20"/>
          <w:lang w:eastAsia="es-ES_tradnl" w:bidi="es-ES"/>
        </w:rPr>
        <w:t>contrato interadministrativo</w:t>
      </w:r>
      <w:r w:rsidRPr="00111D1C">
        <w:rPr>
          <w:rFonts w:ascii="Verdana" w:eastAsia="Calibri" w:hAnsi="Verdana" w:cs="Arial"/>
          <w:bCs/>
          <w:color w:val="000000" w:themeColor="text1"/>
          <w:sz w:val="20"/>
          <w:szCs w:val="20"/>
          <w:lang w:eastAsia="es-ES_tradnl" w:bidi="es-ES"/>
        </w:rPr>
        <w:t xml:space="preserve"> como una relación jurídica patrimonial, onerosa y conmutativa, cuya naturaleza y esencia es distinta a la de los convenios interadministrativos. De esta forma, el </w:t>
      </w:r>
      <w:r w:rsidRPr="00111D1C">
        <w:rPr>
          <w:rFonts w:ascii="Verdana" w:eastAsia="Calibri" w:hAnsi="Verdana" w:cs="Arial"/>
          <w:bCs/>
          <w:i/>
          <w:iCs/>
          <w:color w:val="000000" w:themeColor="text1"/>
          <w:sz w:val="20"/>
          <w:szCs w:val="20"/>
          <w:lang w:eastAsia="es-ES_tradnl" w:bidi="es-ES"/>
        </w:rPr>
        <w:t>convenio interadministrativo</w:t>
      </w:r>
      <w:r w:rsidRPr="00111D1C">
        <w:rPr>
          <w:rFonts w:ascii="Verdana" w:eastAsia="Calibri" w:hAnsi="Verdana" w:cs="Arial"/>
          <w:bCs/>
          <w:color w:val="000000" w:themeColor="text1"/>
          <w:sz w:val="20"/>
          <w:szCs w:val="20"/>
          <w:lang w:eastAsia="es-ES_tradnl" w:bidi="es-ES"/>
        </w:rPr>
        <w:t xml:space="preserve"> es un negocio jurídico entre Entidades Públicas y cuyo objeto es coordinar, cooperar, colaborar o distribuir competencias en la realización de funciones administrativas de interés común y, por tanto, tienen intereses convergentes o coincidentes, sin que se reciba por alguna de ellas el pago de un precio o contraprestación. Por su parte, el </w:t>
      </w:r>
      <w:r w:rsidRPr="00111D1C">
        <w:rPr>
          <w:rFonts w:ascii="Verdana" w:eastAsia="Calibri" w:hAnsi="Verdana" w:cs="Arial"/>
          <w:bCs/>
          <w:i/>
          <w:iCs/>
          <w:color w:val="000000" w:themeColor="text1"/>
          <w:sz w:val="20"/>
          <w:szCs w:val="20"/>
          <w:lang w:eastAsia="es-ES_tradnl" w:bidi="es-ES"/>
        </w:rPr>
        <w:t>contrato interadministrativo</w:t>
      </w:r>
      <w:r w:rsidRPr="00111D1C">
        <w:rPr>
          <w:rFonts w:ascii="Verdana" w:eastAsia="Calibri" w:hAnsi="Verdana" w:cs="Arial"/>
          <w:bCs/>
          <w:color w:val="000000" w:themeColor="text1"/>
          <w:sz w:val="20"/>
          <w:szCs w:val="20"/>
          <w:lang w:eastAsia="es-ES_tradnl" w:bidi="es-ES"/>
        </w:rPr>
        <w:t xml:space="preserve">, aunque también es celebrado entre Entidades Públicas, es un negocio jurídico generador de obligaciones al cual las partes acuden con intereses divergentes, y en el que existe una contraprestación directa a favor de la entidad contratista que ha entregado el bien, prestado el servicio o realizado la obra a favor de la entidad contratante. </w:t>
      </w:r>
    </w:p>
    <w:p w14:paraId="17AAB1D9" w14:textId="77777777" w:rsidR="00FD7032" w:rsidRPr="00861B91" w:rsidRDefault="00FD7032" w:rsidP="00FD7032">
      <w:pPr>
        <w:spacing w:after="0"/>
        <w:rPr>
          <w:rFonts w:ascii="Verdana" w:hAnsi="Verdana"/>
          <w:color w:val="7030A0"/>
          <w:highlight w:val="lightGray"/>
        </w:rPr>
      </w:pPr>
    </w:p>
    <w:p w14:paraId="0A759426" w14:textId="77777777" w:rsidR="00FD7032" w:rsidRDefault="00FD7032" w:rsidP="00FD7032">
      <w:pPr>
        <w:spacing w:after="120" w:line="276" w:lineRule="auto"/>
        <w:jc w:val="both"/>
        <w:rPr>
          <w:rFonts w:ascii="Verdana" w:eastAsia="Calibri" w:hAnsi="Verdana" w:cs="Arial"/>
          <w:b/>
          <w:bCs/>
          <w:lang w:val="es-ES_tradnl" w:eastAsia="es-ES"/>
        </w:rPr>
      </w:pPr>
      <w:bookmarkStart w:id="3" w:name="_Hlk239241013"/>
      <w:r w:rsidRPr="00F80FB7">
        <w:rPr>
          <w:rFonts w:ascii="Verdana" w:eastAsia="Calibri" w:hAnsi="Verdana" w:cs="Arial"/>
          <w:b/>
          <w:bCs/>
          <w:lang w:val="es-ES_tradnl" w:eastAsia="es-ES"/>
        </w:rPr>
        <w:t>EMPRESAS INDUSTRIALES Y COMERCIALES DEL ESTADO – Contratos interadministrativos</w:t>
      </w:r>
    </w:p>
    <w:bookmarkEnd w:id="3"/>
    <w:p w14:paraId="5BC11FC3" w14:textId="77777777" w:rsidR="00FD7032" w:rsidRPr="002B4549" w:rsidRDefault="00FD7032" w:rsidP="00AA17A6">
      <w:pPr>
        <w:spacing w:after="120" w:line="240" w:lineRule="auto"/>
        <w:jc w:val="both"/>
        <w:rPr>
          <w:rFonts w:ascii="Verdana" w:eastAsia="Times New Roman" w:hAnsi="Verdana" w:cs="Arial"/>
          <w:color w:val="000000" w:themeColor="text1"/>
          <w:sz w:val="20"/>
          <w:szCs w:val="20"/>
          <w:lang w:eastAsia="es-CO"/>
        </w:rPr>
      </w:pPr>
      <w:r w:rsidRPr="002B4549">
        <w:rPr>
          <w:rFonts w:ascii="Verdana" w:eastAsia="Times New Roman" w:hAnsi="Verdana" w:cs="Arial"/>
          <w:color w:val="000000" w:themeColor="text1"/>
          <w:sz w:val="20"/>
          <w:szCs w:val="20"/>
          <w:lang w:eastAsia="es-CO"/>
        </w:rPr>
        <w:t xml:space="preserve">[…] es jurídicamente viable que las Empresas Industriales y Comerciales del Estado (EICE) celebren contratos o convenios interadministrativos para la ejecución de obras públicas. Esta posibilidad se fundamenta en el criterio orgánico, según el cual el contratista debe ser una Entidad Estatal o una persona jurídica de derecho público, sin que ello se vea limitado por la existencia de un régimen especial de contratación. Adicionalmente, las EICE no fueron excluidas de la posibilidad de celebrar esta tipología contractual mediate la modalidad de contratación directa previsto para los contratos interadministrativos en el artículo 2° de la Ley 1150 de 2007. </w:t>
      </w:r>
    </w:p>
    <w:p w14:paraId="1AEC7141" w14:textId="77777777" w:rsidR="00FD7032" w:rsidRDefault="00FD7032" w:rsidP="00AA17A6">
      <w:pPr>
        <w:pStyle w:val="ListParagraph"/>
        <w:spacing w:line="240" w:lineRule="auto"/>
        <w:ind w:left="0"/>
        <w:contextualSpacing w:val="0"/>
        <w:jc w:val="both"/>
        <w:rPr>
          <w:rFonts w:ascii="Verdana" w:eastAsia="Times New Roman" w:hAnsi="Verdana" w:cs="Arial"/>
          <w:color w:val="000000" w:themeColor="text1"/>
          <w:sz w:val="20"/>
          <w:szCs w:val="20"/>
          <w:lang w:eastAsia="es-CO"/>
        </w:rPr>
      </w:pPr>
      <w:r w:rsidRPr="002B4549">
        <w:rPr>
          <w:rFonts w:ascii="Verdana" w:eastAsia="Calibri" w:hAnsi="Verdana" w:cs="Arial"/>
          <w:color w:val="000000" w:themeColor="text1"/>
          <w:sz w:val="20"/>
          <w:szCs w:val="20"/>
        </w:rPr>
        <w:t xml:space="preserve">La celebración de contratos interadministrativos por las EICE será posible siempre que del análisis jurídico, técnico y financiero se concluya que es viable su suscripción. Aunado a lo anterior, el objeto de la entidad ejecutora del contrato, señalado en la ley o en sus reglamentos, debe permitir que cumpla las obligaciones y realice las actividades que se derivan del acuerdo de voluntades. Cuando las EICE actúen como ejecutoras, dicha capacidad deberá ser confirmada de acuerdo con lo establecido en el objeto social de la empresa. </w:t>
      </w:r>
      <w:r w:rsidRPr="002B4549">
        <w:rPr>
          <w:rFonts w:ascii="Verdana" w:eastAsia="Times New Roman" w:hAnsi="Verdana" w:cs="Arial"/>
          <w:color w:val="000000" w:themeColor="text1"/>
          <w:sz w:val="20"/>
          <w:szCs w:val="20"/>
          <w:lang w:eastAsia="es-CO"/>
        </w:rPr>
        <w:t xml:space="preserve">En consecuencia, la capacidad de la EICE para actuar como entidad ejecutora de una obra pública dependerá de su objeto social. </w:t>
      </w:r>
      <w:r>
        <w:rPr>
          <w:rFonts w:ascii="Verdana" w:eastAsia="Times New Roman" w:hAnsi="Verdana" w:cs="Arial"/>
          <w:color w:val="000000" w:themeColor="text1"/>
          <w:sz w:val="20"/>
          <w:szCs w:val="20"/>
          <w:lang w:eastAsia="es-CO"/>
        </w:rPr>
        <w:t>[…]</w:t>
      </w:r>
    </w:p>
    <w:p w14:paraId="7AB0D473" w14:textId="77777777" w:rsidR="00AA17A6" w:rsidRDefault="00AA17A6" w:rsidP="00AA17A6">
      <w:pPr>
        <w:pStyle w:val="ListParagraph"/>
        <w:spacing w:line="240" w:lineRule="auto"/>
        <w:ind w:left="0"/>
        <w:contextualSpacing w:val="0"/>
        <w:jc w:val="both"/>
        <w:rPr>
          <w:rFonts w:ascii="Verdana" w:eastAsia="Times New Roman" w:hAnsi="Verdana" w:cs="Arial"/>
          <w:color w:val="000000" w:themeColor="text1"/>
          <w:sz w:val="20"/>
          <w:szCs w:val="20"/>
          <w:lang w:eastAsia="es-CO"/>
        </w:rPr>
      </w:pPr>
    </w:p>
    <w:p w14:paraId="2FB6CDE1" w14:textId="77777777" w:rsidR="00BE6C1E" w:rsidRDefault="00BE6C1E" w:rsidP="00AA17A6">
      <w:pPr>
        <w:pStyle w:val="ListParagraph"/>
        <w:spacing w:line="240" w:lineRule="auto"/>
        <w:ind w:left="0"/>
        <w:contextualSpacing w:val="0"/>
        <w:jc w:val="both"/>
        <w:rPr>
          <w:rFonts w:ascii="Verdana" w:eastAsia="Times New Roman" w:hAnsi="Verdana" w:cs="Arial"/>
          <w:color w:val="000000" w:themeColor="text1"/>
          <w:sz w:val="20"/>
          <w:szCs w:val="20"/>
          <w:lang w:eastAsia="es-CO"/>
        </w:rPr>
      </w:pPr>
    </w:p>
    <w:p w14:paraId="411DBC56" w14:textId="77777777" w:rsidR="00BE6C1E" w:rsidRPr="005F4A14" w:rsidRDefault="00BE6C1E" w:rsidP="00AA17A6">
      <w:pPr>
        <w:pStyle w:val="ListParagraph"/>
        <w:spacing w:line="240" w:lineRule="auto"/>
        <w:ind w:left="0"/>
        <w:contextualSpacing w:val="0"/>
        <w:jc w:val="both"/>
        <w:rPr>
          <w:rFonts w:ascii="Verdana" w:eastAsia="Times New Roman" w:hAnsi="Verdana" w:cs="Arial"/>
          <w:color w:val="000000" w:themeColor="text1"/>
          <w:sz w:val="20"/>
          <w:szCs w:val="20"/>
          <w:lang w:eastAsia="es-CO"/>
        </w:rPr>
      </w:pPr>
    </w:p>
    <w:p w14:paraId="7BC1964A" w14:textId="397E940A" w:rsidR="00FD7032" w:rsidRPr="00D14578" w:rsidRDefault="00FD7032" w:rsidP="00FD7032">
      <w:pPr>
        <w:spacing w:after="0" w:line="240" w:lineRule="auto"/>
        <w:rPr>
          <w:rFonts w:ascii="Verdana" w:hAnsi="Verdana"/>
        </w:rPr>
      </w:pPr>
      <w:r w:rsidRPr="00D14578">
        <w:rPr>
          <w:rFonts w:ascii="Verdana" w:hAnsi="Verdana"/>
        </w:rPr>
        <w:lastRenderedPageBreak/>
        <w:t xml:space="preserve">Bogotá D.C., </w:t>
      </w:r>
      <w:r w:rsidR="00F762F3">
        <w:rPr>
          <w:rFonts w:ascii="Verdana" w:hAnsi="Verdana"/>
        </w:rPr>
        <w:t>04 Junio 2026</w:t>
      </w:r>
    </w:p>
    <w:p w14:paraId="4CAF8041" w14:textId="3CB5A03C" w:rsidR="00FD7032" w:rsidRPr="00D14578" w:rsidRDefault="006A031D" w:rsidP="00FD7032">
      <w:pPr>
        <w:spacing w:after="0" w:line="240" w:lineRule="auto"/>
        <w:rPr>
          <w:rFonts w:ascii="Verdana" w:hAnsi="Verdana"/>
          <w:highlight w:val="lightGray"/>
          <w:lang w:val="es-ES"/>
        </w:rPr>
      </w:pPr>
      <w:r w:rsidRPr="006A031D">
        <w:rPr>
          <w:rFonts w:ascii="Verdana" w:eastAsia="Calibri" w:hAnsi="Verdana" w:cs="Arial"/>
          <w:noProof/>
          <w:lang w:val="es-ES" w:eastAsia="es-ES"/>
        </w:rPr>
        <w:drawing>
          <wp:anchor distT="0" distB="0" distL="114300" distR="114300" simplePos="0" relativeHeight="251659264" behindDoc="1" locked="0" layoutInCell="1" allowOverlap="1" wp14:anchorId="44CED826" wp14:editId="5AFA3633">
            <wp:simplePos x="0" y="0"/>
            <wp:positionH relativeFrom="margin">
              <wp:align>right</wp:align>
            </wp:positionH>
            <wp:positionV relativeFrom="paragraph">
              <wp:posOffset>42099</wp:posOffset>
            </wp:positionV>
            <wp:extent cx="2909455" cy="790309"/>
            <wp:effectExtent l="0" t="0" r="5715" b="0"/>
            <wp:wrapNone/>
            <wp:docPr id="13525691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69162" name=""/>
                    <pic:cNvPicPr/>
                  </pic:nvPicPr>
                  <pic:blipFill>
                    <a:blip r:embed="rId10">
                      <a:extLst>
                        <a:ext uri="{28A0092B-C50C-407E-A947-70E740481C1C}">
                          <a14:useLocalDpi xmlns:a14="http://schemas.microsoft.com/office/drawing/2010/main" val="0"/>
                        </a:ext>
                      </a:extLst>
                    </a:blip>
                    <a:stretch>
                      <a:fillRect/>
                    </a:stretch>
                  </pic:blipFill>
                  <pic:spPr>
                    <a:xfrm>
                      <a:off x="0" y="0"/>
                      <a:ext cx="2909455" cy="790309"/>
                    </a:xfrm>
                    <a:prstGeom prst="rect">
                      <a:avLst/>
                    </a:prstGeom>
                  </pic:spPr>
                </pic:pic>
              </a:graphicData>
            </a:graphic>
            <wp14:sizeRelH relativeFrom="margin">
              <wp14:pctWidth>0</wp14:pctWidth>
            </wp14:sizeRelH>
            <wp14:sizeRelV relativeFrom="margin">
              <wp14:pctHeight>0</wp14:pctHeight>
            </wp14:sizeRelV>
          </wp:anchor>
        </w:drawing>
      </w:r>
    </w:p>
    <w:p w14:paraId="03D822B2" w14:textId="3BA17942" w:rsidR="00FD7032" w:rsidRPr="00D14578" w:rsidRDefault="00FD7032" w:rsidP="00FD7032">
      <w:pPr>
        <w:spacing w:after="0" w:line="240" w:lineRule="auto"/>
        <w:rPr>
          <w:rFonts w:ascii="Verdana" w:hAnsi="Verdana"/>
          <w:lang w:val="es-ES"/>
        </w:rPr>
      </w:pPr>
      <w:bookmarkStart w:id="4" w:name="_Hlk143780582"/>
      <w:r w:rsidRPr="00D14578">
        <w:rPr>
          <w:rFonts w:ascii="Verdana" w:eastAsia="Calibri" w:hAnsi="Verdana" w:cs="Arial"/>
          <w:lang w:val="es-ES" w:eastAsia="es-ES"/>
        </w:rPr>
        <w:t>Señora</w:t>
      </w:r>
    </w:p>
    <w:p w14:paraId="6F0B4F47" w14:textId="14781E8B" w:rsidR="00FD7032" w:rsidRPr="000A1321" w:rsidRDefault="00E3211B" w:rsidP="00FD7032">
      <w:pPr>
        <w:spacing w:after="0" w:line="240" w:lineRule="auto"/>
        <w:rPr>
          <w:rFonts w:ascii="Verdana" w:eastAsia="Calibri" w:hAnsi="Verdana" w:cs="Arial"/>
          <w:lang w:val="es-ES" w:eastAsia="es-ES"/>
        </w:rPr>
      </w:pPr>
      <w:proofErr w:type="spellStart"/>
      <w:r>
        <w:rPr>
          <w:rFonts w:ascii="Verdana" w:eastAsia="Calibri" w:hAnsi="Verdana" w:cs="Arial"/>
          <w:b/>
          <w:bCs/>
          <w:lang w:eastAsia="es-ES"/>
        </w:rPr>
        <w:t>xxxx</w:t>
      </w:r>
      <w:proofErr w:type="spellEnd"/>
    </w:p>
    <w:p w14:paraId="1FED51C1" w14:textId="77777777" w:rsidR="00FD7032" w:rsidRPr="000A1321" w:rsidRDefault="00FD7032" w:rsidP="00FD7032">
      <w:pPr>
        <w:spacing w:after="0" w:line="240" w:lineRule="auto"/>
        <w:rPr>
          <w:rFonts w:ascii="Verdana" w:eastAsia="Calibri" w:hAnsi="Verdana" w:cs="Arial"/>
          <w:highlight w:val="lightGray"/>
          <w:lang w:val="es-ES" w:eastAsia="es-ES"/>
        </w:rPr>
      </w:pPr>
    </w:p>
    <w:p w14:paraId="6E660F6F" w14:textId="77777777" w:rsidR="00FD7032" w:rsidRPr="000A1321" w:rsidRDefault="00FD7032" w:rsidP="00FD7032">
      <w:pPr>
        <w:spacing w:after="0" w:line="240" w:lineRule="auto"/>
        <w:rPr>
          <w:rFonts w:ascii="Verdana" w:eastAsia="Calibri" w:hAnsi="Verdana" w:cs="Arial"/>
          <w:b/>
          <w:bCs/>
          <w:highlight w:val="lightGray"/>
          <w:lang w:val="es-ES" w:eastAsia="es-ES"/>
        </w:rPr>
      </w:pPr>
    </w:p>
    <w:tbl>
      <w:tblPr>
        <w:tblStyle w:val="TableGrid"/>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FD7032" w:rsidRPr="000A1321" w14:paraId="52F54EFF" w14:textId="77777777" w:rsidTr="00DD270A">
        <w:trPr>
          <w:trHeight w:val="300"/>
        </w:trPr>
        <w:tc>
          <w:tcPr>
            <w:tcW w:w="2410" w:type="dxa"/>
          </w:tcPr>
          <w:p w14:paraId="5C6B099D" w14:textId="77777777" w:rsidR="00FD7032" w:rsidRPr="000A1321" w:rsidRDefault="00FD7032" w:rsidP="00DD270A">
            <w:pPr>
              <w:ind w:left="-142"/>
              <w:jc w:val="both"/>
              <w:rPr>
                <w:rFonts w:ascii="Verdana" w:eastAsia="Calibri" w:hAnsi="Verdana" w:cs="Arial"/>
                <w:b/>
                <w:bCs/>
                <w:highlight w:val="lightGray"/>
                <w:lang w:val="es-ES" w:eastAsia="es-ES_tradnl"/>
              </w:rPr>
            </w:pPr>
          </w:p>
        </w:tc>
        <w:tc>
          <w:tcPr>
            <w:tcW w:w="6100" w:type="dxa"/>
          </w:tcPr>
          <w:p w14:paraId="115CA248" w14:textId="77777777" w:rsidR="00FD7032" w:rsidRPr="000A1321" w:rsidRDefault="00FD7032" w:rsidP="00DD270A">
            <w:pPr>
              <w:ind w:left="3"/>
              <w:jc w:val="both"/>
              <w:rPr>
                <w:rFonts w:ascii="Verdana" w:eastAsia="Calibri" w:hAnsi="Verdana" w:cs="Arial"/>
                <w:b/>
                <w:bCs/>
                <w:highlight w:val="lightGray"/>
                <w:lang w:val="es-ES" w:eastAsia="es-ES"/>
              </w:rPr>
            </w:pPr>
            <w:r w:rsidRPr="000A1321">
              <w:rPr>
                <w:rFonts w:ascii="Verdana" w:eastAsia="Calibri" w:hAnsi="Verdana" w:cs="Arial"/>
                <w:b/>
                <w:bCs/>
                <w:lang w:val="es-ES" w:eastAsia="es-ES"/>
              </w:rPr>
              <w:t>Concepto C-676 de 2026</w:t>
            </w:r>
          </w:p>
          <w:p w14:paraId="29CA5A42" w14:textId="77777777" w:rsidR="00FD7032" w:rsidRPr="000A1321" w:rsidRDefault="00FD7032" w:rsidP="00DD270A">
            <w:pPr>
              <w:ind w:left="3"/>
              <w:jc w:val="both"/>
              <w:rPr>
                <w:rFonts w:ascii="Verdana" w:eastAsia="Calibri" w:hAnsi="Verdana" w:cs="Arial"/>
                <w:b/>
                <w:bCs/>
                <w:highlight w:val="lightGray"/>
                <w:lang w:val="es-ES" w:eastAsia="es-ES"/>
              </w:rPr>
            </w:pPr>
          </w:p>
        </w:tc>
      </w:tr>
      <w:tr w:rsidR="00FD7032" w:rsidRPr="00861B91" w14:paraId="3E2133B5" w14:textId="77777777" w:rsidTr="00DD270A">
        <w:trPr>
          <w:trHeight w:val="300"/>
        </w:trPr>
        <w:tc>
          <w:tcPr>
            <w:tcW w:w="2410" w:type="dxa"/>
          </w:tcPr>
          <w:p w14:paraId="27E46F3F" w14:textId="77777777" w:rsidR="00FD7032" w:rsidRPr="00C068AE" w:rsidRDefault="00FD7032" w:rsidP="00DD270A">
            <w:pPr>
              <w:ind w:left="424" w:firstLine="142"/>
              <w:jc w:val="both"/>
              <w:rPr>
                <w:rFonts w:ascii="Verdana" w:eastAsia="Calibri" w:hAnsi="Verdana" w:cs="Arial"/>
                <w:highlight w:val="lightGray"/>
                <w:lang w:val="es-ES" w:eastAsia="es-ES_tradnl"/>
              </w:rPr>
            </w:pPr>
            <w:r w:rsidRPr="00C068AE">
              <w:rPr>
                <w:rFonts w:ascii="Verdana" w:eastAsia="Calibri" w:hAnsi="Verdana" w:cs="Arial"/>
                <w:b/>
                <w:lang w:val="es-ES" w:eastAsia="es-ES_tradnl"/>
              </w:rPr>
              <w:t>Temas:</w:t>
            </w:r>
            <w:r w:rsidRPr="00C068AE">
              <w:rPr>
                <w:rFonts w:ascii="Verdana" w:eastAsia="Calibri" w:hAnsi="Verdana" w:cs="Arial"/>
                <w:lang w:val="es-ES" w:eastAsia="es-ES_tradnl"/>
              </w:rPr>
              <w:t xml:space="preserve"> </w:t>
            </w:r>
            <w:r w:rsidRPr="00C068AE">
              <w:rPr>
                <w:rFonts w:ascii="Verdana" w:eastAsia="Calibri" w:hAnsi="Verdana" w:cs="Arial"/>
                <w:highlight w:val="lightGray"/>
                <w:lang w:val="es-ES" w:eastAsia="es-ES_tradnl"/>
              </w:rPr>
              <w:t xml:space="preserve">                 </w:t>
            </w:r>
          </w:p>
        </w:tc>
        <w:tc>
          <w:tcPr>
            <w:tcW w:w="6100" w:type="dxa"/>
          </w:tcPr>
          <w:p w14:paraId="018C78DD" w14:textId="77777777" w:rsidR="00FD7032" w:rsidRPr="00C068AE" w:rsidRDefault="00FD7032" w:rsidP="00DD270A">
            <w:pPr>
              <w:jc w:val="both"/>
              <w:rPr>
                <w:rFonts w:ascii="Verdana" w:eastAsia="Calibri" w:hAnsi="Verdana" w:cs="Arial"/>
              </w:rPr>
            </w:pPr>
            <w:r w:rsidRPr="00C068AE">
              <w:rPr>
                <w:rFonts w:ascii="Verdana" w:eastAsia="Calibri" w:hAnsi="Verdana" w:cs="Arial"/>
              </w:rPr>
              <w:t>CONTRATO DE CONCESIÓN ― Contrato estatal ― Concepto / CONTRATO DE CONCESIÓN ― Colaboración público - privada ― No exclusiva / CONTRATOS Y CONVENIOS INTERADMINISTRATIVOS – Definición – Sujetos – Entidades Estatales / EMPRESAS INDUSTRIALES Y COMERCIALES DEL ESTADO – Contratos interadministrativos</w:t>
            </w:r>
          </w:p>
          <w:p w14:paraId="050579E0" w14:textId="77777777" w:rsidR="00FD7032" w:rsidRPr="00C068AE" w:rsidRDefault="00FD7032" w:rsidP="00DD270A">
            <w:pPr>
              <w:jc w:val="both"/>
              <w:rPr>
                <w:rFonts w:ascii="Verdana" w:eastAsia="Calibri" w:hAnsi="Verdana" w:cs="Arial"/>
              </w:rPr>
            </w:pPr>
          </w:p>
        </w:tc>
      </w:tr>
      <w:tr w:rsidR="00FD7032" w:rsidRPr="00DE1131" w14:paraId="7296F9C9" w14:textId="77777777" w:rsidTr="00DD270A">
        <w:trPr>
          <w:trHeight w:val="87"/>
        </w:trPr>
        <w:tc>
          <w:tcPr>
            <w:tcW w:w="2410" w:type="dxa"/>
          </w:tcPr>
          <w:p w14:paraId="1AC987F9" w14:textId="77777777" w:rsidR="00FD7032" w:rsidRPr="00DE1131" w:rsidRDefault="00FD7032" w:rsidP="00DD270A">
            <w:pPr>
              <w:ind w:left="561"/>
              <w:jc w:val="both"/>
              <w:rPr>
                <w:rFonts w:ascii="Verdana" w:eastAsia="Calibri" w:hAnsi="Verdana" w:cs="Arial"/>
                <w:b/>
                <w:lang w:val="es-ES" w:eastAsia="es-ES_tradnl"/>
              </w:rPr>
            </w:pPr>
            <w:r w:rsidRPr="00DE1131">
              <w:rPr>
                <w:rFonts w:ascii="Verdana" w:eastAsia="Calibri" w:hAnsi="Verdana" w:cs="Arial"/>
                <w:b/>
                <w:lang w:val="es-ES" w:eastAsia="es-ES_tradnl"/>
              </w:rPr>
              <w:t>Radicación:</w:t>
            </w:r>
            <w:r w:rsidRPr="00DE1131">
              <w:rPr>
                <w:rFonts w:ascii="Verdana" w:eastAsia="Calibri" w:hAnsi="Verdana" w:cs="Arial"/>
                <w:lang w:val="es-ES" w:eastAsia="es-ES_tradnl"/>
              </w:rPr>
              <w:t xml:space="preserve">              </w:t>
            </w:r>
          </w:p>
        </w:tc>
        <w:tc>
          <w:tcPr>
            <w:tcW w:w="6100" w:type="dxa"/>
          </w:tcPr>
          <w:p w14:paraId="40720E2F" w14:textId="77777777" w:rsidR="00FD7032" w:rsidRPr="00DE1131" w:rsidRDefault="00FD7032" w:rsidP="00DD270A">
            <w:pPr>
              <w:ind w:left="3"/>
              <w:jc w:val="both"/>
              <w:rPr>
                <w:rFonts w:ascii="Verdana" w:hAnsi="Verdana"/>
                <w:lang w:val="es-ES"/>
              </w:rPr>
            </w:pPr>
            <w:r w:rsidRPr="00DE1131">
              <w:rPr>
                <w:rFonts w:ascii="Verdana" w:eastAsia="Calibri" w:hAnsi="Verdana" w:cs="Arial"/>
                <w:lang w:val="es-ES" w:eastAsia="es-ES"/>
              </w:rPr>
              <w:t>Respuesta a consulta con radicado No. 1_2026_04_24_005619</w:t>
            </w:r>
          </w:p>
        </w:tc>
      </w:tr>
    </w:tbl>
    <w:p w14:paraId="24F9969F" w14:textId="77777777" w:rsidR="00FD7032" w:rsidRPr="00DE1131" w:rsidRDefault="00FD7032" w:rsidP="00FD7032">
      <w:pPr>
        <w:spacing w:after="0" w:line="240" w:lineRule="auto"/>
        <w:jc w:val="both"/>
        <w:rPr>
          <w:rFonts w:ascii="Verdana" w:eastAsia="Calibri" w:hAnsi="Verdana" w:cs="Arial"/>
          <w:highlight w:val="lightGray"/>
          <w:lang w:val="es-ES" w:eastAsia="es-ES"/>
        </w:rPr>
      </w:pPr>
    </w:p>
    <w:p w14:paraId="16141C51" w14:textId="77777777" w:rsidR="00FD7032" w:rsidRPr="00DE1131" w:rsidRDefault="00FD7032" w:rsidP="00FD7032">
      <w:pPr>
        <w:spacing w:after="0" w:line="240" w:lineRule="auto"/>
        <w:jc w:val="both"/>
        <w:rPr>
          <w:rFonts w:ascii="Verdana" w:eastAsia="Calibri" w:hAnsi="Verdana" w:cs="Arial"/>
          <w:highlight w:val="lightGray"/>
          <w:lang w:val="es-ES" w:eastAsia="es-ES"/>
        </w:rPr>
      </w:pPr>
    </w:p>
    <w:p w14:paraId="1C8F1F01" w14:textId="65138EB2" w:rsidR="00FD7032" w:rsidRPr="00DE1131" w:rsidRDefault="00FD7032" w:rsidP="00FD7032">
      <w:pPr>
        <w:spacing w:after="0" w:line="276" w:lineRule="auto"/>
        <w:jc w:val="both"/>
        <w:rPr>
          <w:rFonts w:ascii="Verdana" w:eastAsia="Calibri" w:hAnsi="Verdana" w:cs="Arial"/>
          <w:lang w:val="es-ES" w:eastAsia="es-ES"/>
        </w:rPr>
      </w:pPr>
      <w:r w:rsidRPr="00DE1131">
        <w:rPr>
          <w:rFonts w:ascii="Verdana" w:eastAsia="Calibri" w:hAnsi="Verdana" w:cs="Arial"/>
          <w:lang w:val="es-ES" w:eastAsia="es-ES"/>
        </w:rPr>
        <w:t xml:space="preserve">Estimada </w:t>
      </w:r>
      <w:proofErr w:type="spellStart"/>
      <w:r w:rsidR="00E3211B">
        <w:rPr>
          <w:rFonts w:ascii="Verdana" w:eastAsia="Calibri" w:hAnsi="Verdana" w:cs="Arial"/>
          <w:lang w:val="es-ES" w:eastAsia="es-ES"/>
        </w:rPr>
        <w:t>xxx</w:t>
      </w:r>
      <w:proofErr w:type="spellEnd"/>
    </w:p>
    <w:p w14:paraId="39A51918" w14:textId="77777777" w:rsidR="00FD7032" w:rsidRPr="00DE1131" w:rsidRDefault="00FD7032" w:rsidP="00FD7032">
      <w:pPr>
        <w:tabs>
          <w:tab w:val="left" w:pos="3768"/>
        </w:tabs>
        <w:spacing w:after="0" w:line="276" w:lineRule="auto"/>
        <w:jc w:val="both"/>
        <w:rPr>
          <w:rFonts w:ascii="Verdana" w:eastAsia="Calibri" w:hAnsi="Verdana" w:cs="Arial"/>
          <w:lang w:val="es-ES" w:eastAsia="es-ES"/>
        </w:rPr>
      </w:pPr>
      <w:r w:rsidRPr="00DE1131">
        <w:rPr>
          <w:rFonts w:ascii="Verdana" w:eastAsia="Calibri" w:hAnsi="Verdana" w:cs="Arial"/>
          <w:lang w:val="es-ES" w:eastAsia="es-ES"/>
        </w:rPr>
        <w:tab/>
      </w:r>
    </w:p>
    <w:p w14:paraId="0DC07C3F" w14:textId="77777777" w:rsidR="00FD7032" w:rsidRPr="00DE1131" w:rsidRDefault="00FD7032" w:rsidP="00FD7032">
      <w:pPr>
        <w:spacing w:after="0" w:line="276" w:lineRule="auto"/>
        <w:jc w:val="both"/>
        <w:rPr>
          <w:rFonts w:ascii="Verdana" w:eastAsia="Calibri" w:hAnsi="Verdana" w:cs="Arial"/>
          <w:lang w:val="es-ES" w:eastAsia="es-ES"/>
        </w:rPr>
      </w:pPr>
      <w:r w:rsidRPr="00DE1131">
        <w:rPr>
          <w:rFonts w:ascii="Verdana" w:eastAsia="Calibri" w:hAnsi="Verdana" w:cs="Arial"/>
          <w:lang w:val="es-ES" w:eastAsia="es-ES"/>
        </w:rPr>
        <w:t>En ejercicio de la competencia otorgada por los artículos 3, numeral 5º, y 11, numeral 8º, del Decreto Ley 4170 de 2011,</w:t>
      </w:r>
      <w:r w:rsidRPr="00DE1131">
        <w:rPr>
          <w:rFonts w:ascii="Verdana" w:eastAsia="Arial MT" w:hAnsi="Verdana" w:cs="Arial MT"/>
          <w:lang w:val="es-ES" w:eastAsia="es-ES"/>
        </w:rPr>
        <w:t xml:space="preserve"> </w:t>
      </w:r>
      <w:r w:rsidRPr="00DE1131">
        <w:rPr>
          <w:rFonts w:ascii="Verdana" w:hAnsi="Verdana" w:cs="Arial"/>
          <w:lang w:val="es-ES"/>
        </w:rPr>
        <w:t xml:space="preserve">así como lo establecido en el artículo 4 de la Resolución 469 de 2025 expedida por esta Entidad, </w:t>
      </w:r>
      <w:r w:rsidRPr="00DE1131">
        <w:rPr>
          <w:rFonts w:ascii="Verdana" w:eastAsia="Calibri" w:hAnsi="Verdana" w:cs="Arial"/>
          <w:lang w:val="es-ES" w:eastAsia="es-ES"/>
        </w:rPr>
        <w:t xml:space="preserve">la Agencia Nacional de Contratación Pública – Colombia Compra Eficiente– responde su solicitud de consulta de fecha 24 de abril de 2026, en la cual manifiesta lo siguiente: </w:t>
      </w:r>
    </w:p>
    <w:p w14:paraId="2C6B3E27" w14:textId="77777777" w:rsidR="00FD7032" w:rsidRPr="00DE1131" w:rsidRDefault="00FD7032" w:rsidP="00FD7032">
      <w:pPr>
        <w:tabs>
          <w:tab w:val="left" w:pos="142"/>
          <w:tab w:val="left" w:pos="284"/>
        </w:tabs>
        <w:spacing w:after="0" w:line="276" w:lineRule="auto"/>
        <w:jc w:val="both"/>
        <w:rPr>
          <w:rFonts w:ascii="Verdana" w:eastAsia="Century Gothic" w:hAnsi="Verdana" w:cs="Century Gothic"/>
          <w:b/>
          <w:bCs/>
          <w:highlight w:val="lightGray"/>
          <w:lang w:val="es-ES"/>
        </w:rPr>
      </w:pPr>
    </w:p>
    <w:p w14:paraId="293C19AA" w14:textId="77777777" w:rsidR="00FD7032" w:rsidRPr="00E652EF" w:rsidRDefault="00FD7032" w:rsidP="00FD7032">
      <w:pPr>
        <w:spacing w:after="0" w:line="240" w:lineRule="auto"/>
        <w:ind w:left="709" w:right="709"/>
        <w:contextualSpacing/>
        <w:jc w:val="both"/>
        <w:rPr>
          <w:rFonts w:ascii="Verdana" w:eastAsia="Century Gothic" w:hAnsi="Verdana" w:cs="Century Gothic"/>
          <w:i/>
          <w:iCs/>
          <w:sz w:val="20"/>
          <w:szCs w:val="20"/>
        </w:rPr>
      </w:pPr>
      <w:r w:rsidRPr="00DE1131">
        <w:rPr>
          <w:rFonts w:ascii="Verdana" w:eastAsia="Century Gothic" w:hAnsi="Verdana" w:cs="Century Gothic"/>
          <w:i/>
          <w:iCs/>
          <w:sz w:val="20"/>
          <w:szCs w:val="20"/>
          <w:lang w:val="es-ES"/>
        </w:rPr>
        <w:t>“</w:t>
      </w:r>
      <w:r w:rsidRPr="00DE1131">
        <w:rPr>
          <w:rFonts w:ascii="Verdana" w:eastAsia="Century Gothic" w:hAnsi="Verdana" w:cs="Century Gothic"/>
          <w:i/>
          <w:iCs/>
          <w:sz w:val="20"/>
          <w:szCs w:val="20"/>
        </w:rPr>
        <w:t>¿Es jurídicamente posible suscribir un contrato de concesión mediante la figura del contrato interadministrativo entre un municipio y una empresa industrial y comercial del Estado (EICE)? Si la respuesta es positiva, cuáles serían las limitaciones y requisitos?”</w:t>
      </w:r>
    </w:p>
    <w:p w14:paraId="01B14AC8" w14:textId="77777777" w:rsidR="00FD7032" w:rsidRPr="00DE1131" w:rsidRDefault="00FD7032" w:rsidP="00FD7032">
      <w:pPr>
        <w:spacing w:after="0" w:line="240" w:lineRule="auto"/>
        <w:ind w:left="709" w:right="709"/>
        <w:contextualSpacing/>
        <w:jc w:val="both"/>
        <w:rPr>
          <w:rFonts w:ascii="Verdana" w:eastAsia="Century Gothic" w:hAnsi="Verdana" w:cs="Century Gothic"/>
          <w:i/>
          <w:iCs/>
          <w:sz w:val="20"/>
          <w:szCs w:val="20"/>
          <w:lang w:val="es-ES"/>
        </w:rPr>
      </w:pPr>
    </w:p>
    <w:p w14:paraId="098E7ABB" w14:textId="77777777" w:rsidR="00FD7032" w:rsidRPr="00DE1131" w:rsidRDefault="00FD7032" w:rsidP="00FD7032">
      <w:pPr>
        <w:spacing w:after="120" w:line="276" w:lineRule="auto"/>
        <w:ind w:firstLine="708"/>
        <w:jc w:val="both"/>
        <w:rPr>
          <w:rFonts w:ascii="Verdana" w:eastAsia="Calibri" w:hAnsi="Verdana" w:cs="Arial"/>
          <w:lang w:val="es-ES" w:eastAsia="es-ES"/>
        </w:rPr>
      </w:pPr>
      <w:r w:rsidRPr="00DE1131">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w:t>
      </w:r>
      <w:r w:rsidRPr="00DE1131">
        <w:rPr>
          <w:rFonts w:ascii="Verdana" w:eastAsia="Calibri" w:hAnsi="Verdana" w:cs="Arial"/>
          <w:lang w:val="es-ES" w:eastAsia="es-ES"/>
        </w:rPr>
        <w:lastRenderedPageBreak/>
        <w:t xml:space="preserve">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E1131">
        <w:rPr>
          <w:rFonts w:ascii="Verdana" w:hAnsi="Verdana"/>
          <w:lang w:val="es-ES"/>
        </w:rPr>
        <w:tab/>
      </w:r>
    </w:p>
    <w:p w14:paraId="3A070186" w14:textId="77777777" w:rsidR="00FD7032" w:rsidRPr="00DE1131" w:rsidRDefault="00FD7032" w:rsidP="00FD7032">
      <w:pPr>
        <w:spacing w:after="0" w:line="276" w:lineRule="auto"/>
        <w:ind w:firstLine="709"/>
        <w:jc w:val="both"/>
        <w:rPr>
          <w:rFonts w:ascii="Verdana" w:eastAsia="Calibri" w:hAnsi="Verdana" w:cs="Arial"/>
          <w:lang w:val="es-ES" w:eastAsia="es-ES"/>
        </w:rPr>
      </w:pPr>
      <w:r w:rsidRPr="00DE1131">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39D234E2" w14:textId="77777777" w:rsidR="00FD7032" w:rsidRPr="00DE1131" w:rsidRDefault="00FD7032" w:rsidP="00FD7032">
      <w:pPr>
        <w:spacing w:after="0" w:line="276" w:lineRule="auto"/>
        <w:ind w:firstLine="709"/>
        <w:jc w:val="both"/>
        <w:rPr>
          <w:rFonts w:ascii="Verdana" w:eastAsia="Calibri" w:hAnsi="Verdana" w:cs="Arial"/>
          <w:lang w:val="es-ES" w:eastAsia="es-ES"/>
        </w:rPr>
      </w:pPr>
    </w:p>
    <w:p w14:paraId="50438A08" w14:textId="77777777" w:rsidR="00FD7032" w:rsidRPr="00DE1131" w:rsidRDefault="00FD7032" w:rsidP="00FD7032">
      <w:pPr>
        <w:tabs>
          <w:tab w:val="left" w:pos="142"/>
          <w:tab w:val="left" w:pos="284"/>
        </w:tabs>
        <w:spacing w:after="0" w:line="276" w:lineRule="auto"/>
        <w:jc w:val="both"/>
        <w:rPr>
          <w:rFonts w:ascii="Verdana" w:eastAsia="Century Gothic" w:hAnsi="Verdana" w:cs="Century Gothic"/>
          <w:b/>
          <w:lang w:val="es-ES"/>
        </w:rPr>
      </w:pPr>
      <w:r w:rsidRPr="00DE1131">
        <w:rPr>
          <w:rFonts w:ascii="Verdana" w:eastAsia="Century Gothic" w:hAnsi="Verdana" w:cs="Century Gothic"/>
          <w:b/>
          <w:lang w:val="es-ES"/>
        </w:rPr>
        <w:t>1. Problema planteado:</w:t>
      </w:r>
    </w:p>
    <w:p w14:paraId="4A133D22" w14:textId="77777777" w:rsidR="00FD7032" w:rsidRPr="00E91FCD" w:rsidRDefault="00FD7032" w:rsidP="00FD7032">
      <w:pPr>
        <w:tabs>
          <w:tab w:val="left" w:pos="426"/>
        </w:tabs>
        <w:spacing w:after="0" w:line="276" w:lineRule="auto"/>
        <w:jc w:val="both"/>
        <w:rPr>
          <w:rFonts w:ascii="Verdana" w:eastAsia="Century Gothic" w:hAnsi="Verdana" w:cs="Century Gothic"/>
          <w:highlight w:val="lightGray"/>
          <w:lang w:val="es-ES"/>
        </w:rPr>
      </w:pPr>
    </w:p>
    <w:p w14:paraId="5F1D0E3A" w14:textId="77777777" w:rsidR="00FD7032" w:rsidRPr="00E91FCD" w:rsidRDefault="00FD7032" w:rsidP="00FD7032">
      <w:pPr>
        <w:spacing w:after="0" w:line="276" w:lineRule="auto"/>
        <w:jc w:val="both"/>
        <w:rPr>
          <w:rFonts w:ascii="Verdana" w:eastAsia="Century Gothic" w:hAnsi="Verdana" w:cs="Century Gothic"/>
        </w:rPr>
      </w:pPr>
      <w:r w:rsidRPr="00E91FCD">
        <w:rPr>
          <w:rFonts w:ascii="Verdana" w:eastAsia="Century Gothic" w:hAnsi="Verdana" w:cs="Century Gothic"/>
          <w:lang w:val="es-ES"/>
        </w:rPr>
        <w:t xml:space="preserve">De acuerdo con el contenido de su solicitud, esta Agencia resolverá el siguiente problema jurídico: </w:t>
      </w:r>
      <w:bookmarkStart w:id="5" w:name="_Hlk239241043"/>
      <w:r w:rsidRPr="00E91FCD">
        <w:rPr>
          <w:rFonts w:ascii="Verdana" w:eastAsia="Century Gothic" w:hAnsi="Verdana" w:cs="Century Gothic"/>
        </w:rPr>
        <w:t>¿Es jurídicamente posible suscribir un contrato de concesión mediante la figura del contrato interadministrativo entre un municipio y una empresa industrial y comercial del Estado (EICE)?</w:t>
      </w:r>
      <w:bookmarkEnd w:id="5"/>
    </w:p>
    <w:p w14:paraId="78B7AED8" w14:textId="77777777" w:rsidR="00FD7032" w:rsidRPr="008140C7" w:rsidRDefault="00FD7032" w:rsidP="00FD7032">
      <w:pPr>
        <w:spacing w:after="0" w:line="276" w:lineRule="auto"/>
        <w:jc w:val="both"/>
        <w:rPr>
          <w:rFonts w:ascii="Verdana" w:eastAsia="Century Gothic" w:hAnsi="Verdana" w:cs="Century Gothic"/>
          <w:highlight w:val="lightGray"/>
        </w:rPr>
      </w:pPr>
    </w:p>
    <w:p w14:paraId="39BB8443" w14:textId="77777777" w:rsidR="00FD7032" w:rsidRPr="008140C7" w:rsidRDefault="00FD7032" w:rsidP="00FD7032">
      <w:pPr>
        <w:tabs>
          <w:tab w:val="left" w:pos="142"/>
          <w:tab w:val="left" w:pos="284"/>
        </w:tabs>
        <w:spacing w:after="0" w:line="276" w:lineRule="auto"/>
        <w:jc w:val="both"/>
        <w:rPr>
          <w:rFonts w:ascii="Verdana" w:eastAsia="Century Gothic" w:hAnsi="Verdana" w:cs="Century Gothic"/>
          <w:b/>
          <w:lang w:val="es-ES"/>
        </w:rPr>
      </w:pPr>
      <w:r w:rsidRPr="008140C7">
        <w:rPr>
          <w:rFonts w:ascii="Verdana" w:eastAsia="Century Gothic" w:hAnsi="Verdana" w:cs="Century Gothic"/>
          <w:b/>
          <w:lang w:val="es-ES"/>
        </w:rPr>
        <w:t>2. Respuesta:</w:t>
      </w:r>
    </w:p>
    <w:p w14:paraId="69CDD87A" w14:textId="77777777" w:rsidR="00FD7032" w:rsidRPr="00861B91" w:rsidRDefault="00FD7032" w:rsidP="00FD7032">
      <w:pPr>
        <w:tabs>
          <w:tab w:val="left" w:pos="142"/>
          <w:tab w:val="left" w:pos="284"/>
        </w:tabs>
        <w:spacing w:after="0" w:line="276" w:lineRule="auto"/>
        <w:jc w:val="both"/>
        <w:rPr>
          <w:rFonts w:ascii="Verdana" w:eastAsia="Century Gothic" w:hAnsi="Verdana" w:cs="Century Gothic"/>
          <w:b/>
          <w:color w:val="7030A0"/>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D7032" w:rsidRPr="00861B91" w14:paraId="3A8BEB38" w14:textId="77777777" w:rsidTr="00DD270A">
        <w:tc>
          <w:tcPr>
            <w:tcW w:w="8828" w:type="dxa"/>
          </w:tcPr>
          <w:p w14:paraId="18F6ADDE" w14:textId="77777777" w:rsidR="00FD7032" w:rsidRDefault="00FD7032" w:rsidP="00DD270A">
            <w:pPr>
              <w:spacing w:after="120" w:line="276" w:lineRule="auto"/>
              <w:jc w:val="both"/>
            </w:pPr>
            <w:bookmarkStart w:id="6" w:name="_Hlk239241077"/>
            <w:r w:rsidRPr="00F370EE">
              <w:rPr>
                <w:rFonts w:ascii="Verdana" w:eastAsia="Calibri" w:hAnsi="Verdana" w:cs="Arial"/>
              </w:rPr>
              <w:t>Para responder el problema jurídico planteado, es importante indicar en primer lugar que, e</w:t>
            </w:r>
            <w:r w:rsidRPr="00F370EE">
              <w:rPr>
                <w:rFonts w:ascii="Verdana" w:hAnsi="Verdana"/>
              </w:rPr>
              <w:t>l contrato de concesión no se rige a partir de un criterio orgánico, sino en función de su objeto, su finalidad económica y la distribución de riesgos entre las partes, en los términos previstos en el artículo 32 de la Ley 80 de 1993. En este sentido, lo determinante para su configuración es la transferencia al concesionario de la prestación, operación, explotación o gestión de un bien, obra o servicio, bajo su cuenta y riesgo y a cambio de una remuneración</w:t>
            </w:r>
            <w:r w:rsidRPr="00F724D7">
              <w:t>.</w:t>
            </w:r>
          </w:p>
          <w:p w14:paraId="4A78E68E" w14:textId="77777777" w:rsidR="00FD7032" w:rsidRDefault="00FD7032" w:rsidP="00DD270A">
            <w:pPr>
              <w:spacing w:after="120" w:line="276" w:lineRule="auto"/>
              <w:ind w:firstLine="709"/>
              <w:jc w:val="both"/>
              <w:rPr>
                <w:rFonts w:ascii="Verdana" w:hAnsi="Verdana" w:cs="Arial"/>
              </w:rPr>
            </w:pPr>
            <w:r w:rsidRPr="00F370EE">
              <w:rPr>
                <w:rFonts w:ascii="Verdana" w:hAnsi="Verdana" w:cs="Arial"/>
              </w:rPr>
              <w:t>Por su parte, el contrato interadministrativo sí se define por un criterio orgánico, en la medida en que exige que las partes contratantes ostenten la calidad de entidades estatales, conforme a lo dispuesto en el artículo 2 de la Ley 80 de 1993. Su procedencia depende, además, de que las obligaciones derivadas del contrato guarden relación directa con el objeto de la entidad ejecutora.</w:t>
            </w:r>
          </w:p>
          <w:p w14:paraId="1B31A550" w14:textId="77777777" w:rsidR="00FD7032" w:rsidRPr="00EA5131" w:rsidRDefault="00FD7032" w:rsidP="00DD270A">
            <w:pPr>
              <w:spacing w:after="120" w:line="276" w:lineRule="auto"/>
              <w:ind w:firstLine="709"/>
              <w:jc w:val="both"/>
              <w:rPr>
                <w:rFonts w:ascii="Verdana" w:hAnsi="Verdana" w:cs="Arial"/>
              </w:rPr>
            </w:pPr>
            <w:r w:rsidRPr="00A72B76">
              <w:rPr>
                <w:rFonts w:ascii="Verdana" w:hAnsi="Verdana" w:cs="Arial"/>
              </w:rPr>
              <w:lastRenderedPageBreak/>
              <w:t>Así las cosas, mientras la existencia de un contrato de concesión depende de la concurrencia de determinados elementos sustanciales asociados a la gestión de un bien, obra o servicio por cuenta y riesgo del concesionario, la configuración de un contrato interadministrativo está determinada principalmente por la naturaleza jurídica de los sujetos que intervienen en la relación contractual y por la correspondencia entre el objeto contractual y las competencias de la entidad ejecutora.</w:t>
            </w:r>
          </w:p>
          <w:p w14:paraId="5A9FABBA" w14:textId="77777777" w:rsidR="00FD7032" w:rsidRPr="00861B91" w:rsidRDefault="00FD7032" w:rsidP="00182A76">
            <w:pPr>
              <w:spacing w:line="276" w:lineRule="auto"/>
              <w:ind w:firstLine="709"/>
              <w:jc w:val="both"/>
              <w:rPr>
                <w:rFonts w:ascii="Verdana" w:eastAsia="Calibri" w:hAnsi="Verdana" w:cs="Arial"/>
                <w:color w:val="7030A0"/>
              </w:rPr>
            </w:pPr>
            <w:r w:rsidRPr="008E2C57">
              <w:rPr>
                <w:rFonts w:ascii="Verdana" w:eastAsia="Calibri" w:hAnsi="Verdana" w:cs="Arial"/>
              </w:rPr>
              <w:t>Finalmente, se precisa que esta Agencia no puede definir un</w:t>
            </w:r>
            <w:r w:rsidRPr="008E2C57">
              <w:t xml:space="preserve"> </w:t>
            </w:r>
            <w:r w:rsidRPr="008E2C57">
              <w:rPr>
                <w:rFonts w:ascii="Verdana" w:eastAsia="Calibri" w:hAnsi="Verdana" w:cs="Arial"/>
              </w:rPr>
              <w:t xml:space="preserve">criterio universal y absoluto por vía consultiva, sino que brinda elementos hermenéuticos de carácter general para que los partícipes del sistema de compras y contratación pública adopten la decisión que corresponda, lo o es acorde con el principio de juridicidad. Por lo anterior, previo concepto de sus órganos asesores, la solución de estos temas corresponde a la entidad de adoptar la decisión correspondiente y, en caso de conflicto, a las autoridades judiciales, fiscales y disciplinarias. De esta manera, corresponderá a cada contratante definir la viabilidad técnica, jurídica y financiera de establecer un proceso de contratación, así como determinar la forma en la que estos grupos se estructuran atendiendo a las normas que regulan el sector objeto del contrato. </w:t>
            </w:r>
            <w:bookmarkEnd w:id="6"/>
          </w:p>
        </w:tc>
      </w:tr>
    </w:tbl>
    <w:p w14:paraId="24CB855C" w14:textId="77777777" w:rsidR="00FD7032" w:rsidRPr="00861B91" w:rsidRDefault="00FD7032" w:rsidP="00FD7032">
      <w:pPr>
        <w:tabs>
          <w:tab w:val="left" w:pos="142"/>
          <w:tab w:val="left" w:pos="284"/>
        </w:tabs>
        <w:spacing w:after="0" w:line="276" w:lineRule="auto"/>
        <w:jc w:val="both"/>
        <w:rPr>
          <w:rFonts w:ascii="Verdana" w:eastAsia="Century Gothic" w:hAnsi="Verdana" w:cs="Century Gothic"/>
          <w:b/>
          <w:bCs/>
          <w:color w:val="7030A0"/>
          <w:lang w:val="es-ES"/>
        </w:rPr>
      </w:pPr>
    </w:p>
    <w:p w14:paraId="2EC7CEE0" w14:textId="77777777" w:rsidR="00FD7032" w:rsidRPr="008140C7" w:rsidRDefault="00FD7032" w:rsidP="00FD7032">
      <w:pPr>
        <w:tabs>
          <w:tab w:val="left" w:pos="142"/>
          <w:tab w:val="left" w:pos="284"/>
        </w:tabs>
        <w:spacing w:after="0" w:line="276" w:lineRule="auto"/>
        <w:jc w:val="both"/>
        <w:rPr>
          <w:rFonts w:ascii="Verdana" w:eastAsia="Century Gothic" w:hAnsi="Verdana" w:cs="Century Gothic"/>
          <w:b/>
          <w:lang w:val="es-ES"/>
        </w:rPr>
      </w:pPr>
      <w:r w:rsidRPr="008140C7">
        <w:rPr>
          <w:rFonts w:ascii="Verdana" w:eastAsia="Century Gothic" w:hAnsi="Verdana" w:cs="Century Gothic"/>
          <w:b/>
          <w:lang w:val="es-ES"/>
        </w:rPr>
        <w:t>3. Razones de la respuesta:</w:t>
      </w:r>
    </w:p>
    <w:p w14:paraId="4258208C" w14:textId="77777777" w:rsidR="00FD7032" w:rsidRPr="008140C7" w:rsidRDefault="00FD7032" w:rsidP="00FD7032">
      <w:pPr>
        <w:spacing w:after="0" w:line="276" w:lineRule="auto"/>
        <w:jc w:val="both"/>
        <w:rPr>
          <w:rFonts w:ascii="Verdana" w:eastAsia="Calibri" w:hAnsi="Verdana" w:cs="Arial"/>
          <w:lang w:val="es-ES"/>
        </w:rPr>
      </w:pPr>
    </w:p>
    <w:p w14:paraId="49E5650A" w14:textId="77777777" w:rsidR="00FD7032" w:rsidRPr="008140C7" w:rsidRDefault="00FD7032" w:rsidP="00FD7032">
      <w:pPr>
        <w:spacing w:after="0" w:line="276" w:lineRule="auto"/>
        <w:jc w:val="both"/>
        <w:rPr>
          <w:rFonts w:ascii="Verdana" w:eastAsia="Calibri" w:hAnsi="Verdana" w:cs="Arial"/>
          <w:lang w:val="es-ES"/>
        </w:rPr>
      </w:pPr>
      <w:r w:rsidRPr="008140C7">
        <w:rPr>
          <w:rFonts w:ascii="Verdana" w:eastAsia="Calibri" w:hAnsi="Verdana" w:cs="Arial"/>
          <w:lang w:val="es-ES"/>
        </w:rPr>
        <w:t xml:space="preserve">Las respuestas anteriores se sustentan en las siguientes consideraciones: </w:t>
      </w:r>
    </w:p>
    <w:p w14:paraId="006203BC" w14:textId="77777777" w:rsidR="00FD7032" w:rsidRPr="00861B91" w:rsidRDefault="00FD7032" w:rsidP="00FD7032">
      <w:pPr>
        <w:tabs>
          <w:tab w:val="left" w:pos="142"/>
          <w:tab w:val="left" w:pos="284"/>
        </w:tabs>
        <w:spacing w:after="0" w:line="276" w:lineRule="auto"/>
        <w:jc w:val="both"/>
        <w:rPr>
          <w:rFonts w:ascii="Verdana" w:eastAsia="Century Gothic" w:hAnsi="Verdana" w:cs="Century Gothic"/>
          <w:b/>
          <w:color w:val="7030A0"/>
          <w:highlight w:val="magenta"/>
          <w:lang w:val="es-ES"/>
        </w:rPr>
      </w:pPr>
    </w:p>
    <w:p w14:paraId="4B35E145" w14:textId="77777777" w:rsidR="00FD7032" w:rsidRPr="00711651" w:rsidRDefault="00FD7032" w:rsidP="00FD7032">
      <w:pPr>
        <w:spacing w:after="120" w:line="276" w:lineRule="auto"/>
        <w:jc w:val="both"/>
        <w:rPr>
          <w:rFonts w:ascii="Verdana" w:eastAsia="Calibri" w:hAnsi="Verdana" w:cs="Arial"/>
          <w:color w:val="000000" w:themeColor="text1"/>
          <w:lang w:val="es-ES"/>
        </w:rPr>
      </w:pPr>
      <w:bookmarkStart w:id="7" w:name="_Hlk102983874"/>
      <w:bookmarkStart w:id="8" w:name="_Hlk102388095"/>
      <w:r w:rsidRPr="002F5307">
        <w:rPr>
          <w:rFonts w:ascii="Verdana" w:hAnsi="Verdana" w:cs="Arial"/>
          <w:bCs/>
          <w:lang w:val="es-ES_tradnl" w:eastAsia="es-ES" w:bidi="es-ES"/>
        </w:rPr>
        <w:t>i.</w:t>
      </w:r>
      <w:r w:rsidRPr="00861B91">
        <w:rPr>
          <w:rFonts w:ascii="Verdana" w:eastAsia="Calibri" w:hAnsi="Verdana" w:cs="Arial"/>
          <w:color w:val="7030A0"/>
        </w:rPr>
        <w:t xml:space="preserve"> </w:t>
      </w:r>
      <w:r w:rsidRPr="00711651">
        <w:rPr>
          <w:rFonts w:ascii="Verdana" w:eastAsia="Calibri" w:hAnsi="Verdana" w:cs="Arial"/>
          <w:color w:val="000000" w:themeColor="text1"/>
          <w:lang w:val="es-ES"/>
        </w:rPr>
        <w:t>El artículo 32 de la Ley 80 de 1993 contempla un listado enunciativo de los contratos que las Entidades Estatales, en virtud del principio de autonomía de la voluntad, pueden celebrar para el cumplimiento de sus fines. Dentro de dichos contratos se encuentra el contrato de concesión, al cual hace referencia en su consulta.</w:t>
      </w:r>
    </w:p>
    <w:p w14:paraId="6D0FE0B8" w14:textId="77777777" w:rsidR="00FD7032" w:rsidRPr="00711651" w:rsidRDefault="00FD7032" w:rsidP="00FD7032">
      <w:pPr>
        <w:tabs>
          <w:tab w:val="left" w:pos="0"/>
        </w:tabs>
        <w:spacing w:after="0" w:line="276" w:lineRule="auto"/>
        <w:jc w:val="both"/>
        <w:rPr>
          <w:rFonts w:ascii="Verdana" w:eastAsia="Calibri" w:hAnsi="Verdana" w:cs="Arial"/>
          <w:bCs/>
          <w:color w:val="000000" w:themeColor="text1"/>
          <w:lang w:val="es-ES_tradnl"/>
        </w:rPr>
      </w:pPr>
      <w:r w:rsidRPr="00711651">
        <w:rPr>
          <w:rFonts w:ascii="Verdana" w:eastAsia="Calibri" w:hAnsi="Verdana" w:cs="Arial"/>
          <w:bCs/>
          <w:color w:val="000000" w:themeColor="text1"/>
          <w:lang w:val="es-ES_tradnl"/>
        </w:rPr>
        <w:tab/>
        <w:t xml:space="preserve">El contrato de concesión ha sido tradicionalmente uno de los contratos estatales paradigmáticos. Esto debido a que, a través de él las Entidades Públicas reciben el apoyo de los particulares para el cumplimiento de los fines del Estado, permitiendo que aquellos exploten, operen, organicen, construyan, conserven o gestionen un determinado bien o servicio de propiedad estatal, en la medida de lo posible con sus propios recursos privados y con la oportunidad de recuperar </w:t>
      </w:r>
      <w:r w:rsidRPr="00711651">
        <w:rPr>
          <w:rFonts w:ascii="Verdana" w:eastAsia="Calibri" w:hAnsi="Verdana" w:cs="Arial"/>
          <w:bCs/>
          <w:color w:val="000000" w:themeColor="text1"/>
          <w:lang w:val="es-ES_tradnl"/>
        </w:rPr>
        <w:lastRenderedPageBreak/>
        <w:t xml:space="preserve">su inversión durante el plazo del contrato. En tal sentido, el </w:t>
      </w:r>
      <w:bookmarkStart w:id="9" w:name="_Hlk182373185"/>
      <w:r w:rsidRPr="00711651">
        <w:rPr>
          <w:rFonts w:ascii="Verdana" w:eastAsia="Calibri" w:hAnsi="Verdana" w:cs="Arial"/>
          <w:bCs/>
          <w:color w:val="000000" w:themeColor="text1"/>
          <w:lang w:val="es-ES_tradnl"/>
        </w:rPr>
        <w:t>numeral 4° del artículo 32 de la Ley 80 de 1993</w:t>
      </w:r>
      <w:bookmarkEnd w:id="9"/>
      <w:r w:rsidRPr="00711651">
        <w:rPr>
          <w:rFonts w:ascii="Verdana" w:eastAsia="Calibri" w:hAnsi="Verdana" w:cs="Arial"/>
          <w:bCs/>
          <w:color w:val="000000" w:themeColor="text1"/>
          <w:lang w:val="es-ES_tradnl"/>
        </w:rPr>
        <w:t>, los define así:</w:t>
      </w:r>
    </w:p>
    <w:p w14:paraId="152CD41B" w14:textId="77777777" w:rsidR="00FD7032" w:rsidRPr="00B973A0" w:rsidRDefault="00FD7032" w:rsidP="00FD7032">
      <w:pPr>
        <w:tabs>
          <w:tab w:val="left" w:pos="0"/>
        </w:tabs>
        <w:spacing w:after="0" w:line="276" w:lineRule="auto"/>
        <w:jc w:val="both"/>
        <w:rPr>
          <w:rFonts w:ascii="Verdana" w:eastAsia="Calibri" w:hAnsi="Verdana" w:cs="Arial"/>
          <w:bCs/>
          <w:color w:val="000000" w:themeColor="text1"/>
          <w:highlight w:val="lightGray"/>
          <w:lang w:val="es-ES_tradnl"/>
        </w:rPr>
      </w:pPr>
    </w:p>
    <w:p w14:paraId="73D1BA97" w14:textId="77777777" w:rsidR="00FD7032" w:rsidRPr="00711651" w:rsidRDefault="00FD7032" w:rsidP="00FD7032">
      <w:pPr>
        <w:tabs>
          <w:tab w:val="left" w:pos="0"/>
        </w:tabs>
        <w:spacing w:after="0" w:line="240" w:lineRule="auto"/>
        <w:ind w:left="709" w:right="709"/>
        <w:jc w:val="both"/>
        <w:rPr>
          <w:rFonts w:ascii="Verdana" w:eastAsia="Calibri" w:hAnsi="Verdana" w:cs="Arial"/>
          <w:bCs/>
          <w:color w:val="000000" w:themeColor="text1"/>
          <w:sz w:val="20"/>
          <w:szCs w:val="20"/>
          <w:lang w:val="es-ES_tradnl"/>
        </w:rPr>
      </w:pPr>
      <w:r w:rsidRPr="00711651">
        <w:rPr>
          <w:rFonts w:ascii="Verdana" w:eastAsia="Calibri" w:hAnsi="Verdana" w:cs="Arial"/>
          <w:bCs/>
          <w:color w:val="000000" w:themeColor="text1"/>
          <w:sz w:val="20"/>
          <w:szCs w:val="20"/>
          <w:lang w:val="es-ES_tradnl"/>
        </w:rPr>
        <w:t>“4. Son contratos de concesión los que celebran las entidades estatales con el objeto de otorgar a una persona llamada concesionario la prestación, operación, explotación, organización o gestión, total o parcial, de un servicio público, o la construcción, explotación o conservación total o parcial, de una obra o bien destinados al servicio o uso público, así como todas aquellas actividades necesarias para la adecuada prestación o funcionamiento de la obra o servicio por cuenta y riesgo del concesionario y bajo la vigilancia y control de la entidad concedente, a cambio de una remuneración que puede consistir en derechos, tarifas, tasas, valorización, o en la participación que se le otorgue en la explotación del bien, o en una suma periódica, única o porcentual y, en general, en cualquier otra modalidad de contraprestación que las partes acuerden”.</w:t>
      </w:r>
    </w:p>
    <w:p w14:paraId="4FF02831" w14:textId="77777777" w:rsidR="00FD7032" w:rsidRPr="00B973A0" w:rsidRDefault="00FD7032" w:rsidP="00FD7032">
      <w:pPr>
        <w:tabs>
          <w:tab w:val="left" w:pos="0"/>
        </w:tabs>
        <w:spacing w:after="0" w:line="276" w:lineRule="auto"/>
        <w:jc w:val="both"/>
        <w:rPr>
          <w:rFonts w:ascii="Verdana" w:eastAsia="Calibri" w:hAnsi="Verdana" w:cs="Arial"/>
          <w:bCs/>
          <w:color w:val="000000" w:themeColor="text1"/>
          <w:highlight w:val="lightGray"/>
          <w:lang w:val="es-ES_tradnl"/>
        </w:rPr>
      </w:pPr>
    </w:p>
    <w:p w14:paraId="4B42CB06" w14:textId="77777777" w:rsidR="00FD7032" w:rsidRPr="00751C68" w:rsidRDefault="00FD7032" w:rsidP="00FD7032">
      <w:pPr>
        <w:tabs>
          <w:tab w:val="left" w:pos="0"/>
        </w:tabs>
        <w:spacing w:after="120" w:line="276" w:lineRule="auto"/>
        <w:ind w:firstLine="709"/>
        <w:jc w:val="both"/>
        <w:rPr>
          <w:rFonts w:ascii="Verdana" w:eastAsia="Calibri" w:hAnsi="Verdana" w:cs="Arial"/>
          <w:bCs/>
          <w:color w:val="000000" w:themeColor="text1"/>
        </w:rPr>
      </w:pPr>
      <w:r w:rsidRPr="00751C68">
        <w:rPr>
          <w:rFonts w:ascii="Verdana" w:eastAsia="Calibri" w:hAnsi="Verdana" w:cs="Arial"/>
          <w:bCs/>
          <w:color w:val="000000" w:themeColor="text1"/>
        </w:rPr>
        <w:t xml:space="preserve">Tal como está tipificado el contrato de concesión en la Ley 80 de 1993, el Estado es el titular de la actividad o del bien y lo otorga a una persona que se denominará </w:t>
      </w:r>
      <w:r w:rsidRPr="00751C68">
        <w:rPr>
          <w:rFonts w:ascii="Verdana" w:eastAsia="Calibri" w:hAnsi="Verdana" w:cs="Arial"/>
          <w:bCs/>
          <w:i/>
          <w:iCs/>
          <w:color w:val="000000" w:themeColor="text1"/>
        </w:rPr>
        <w:t>concesionario</w:t>
      </w:r>
      <w:r w:rsidRPr="00751C68">
        <w:rPr>
          <w:rFonts w:ascii="Verdana" w:eastAsia="Calibri" w:hAnsi="Verdana" w:cs="Arial"/>
          <w:bCs/>
          <w:color w:val="000000" w:themeColor="text1"/>
        </w:rPr>
        <w:t xml:space="preserve">, para que este asuma el ejercicio del servicio público o la realización y explotación de una obra, por su propia cuenta y riesgo, pero con la permanente vigilancia de la entidad </w:t>
      </w:r>
      <w:r w:rsidRPr="00751C68">
        <w:rPr>
          <w:rFonts w:ascii="Verdana" w:eastAsia="Calibri" w:hAnsi="Verdana" w:cs="Arial"/>
          <w:bCs/>
          <w:i/>
          <w:iCs/>
          <w:color w:val="000000" w:themeColor="text1"/>
        </w:rPr>
        <w:t>concedente</w:t>
      </w:r>
      <w:r w:rsidRPr="00751C68">
        <w:rPr>
          <w:rFonts w:ascii="Verdana" w:eastAsia="Calibri" w:hAnsi="Verdana" w:cs="Arial"/>
          <w:bCs/>
          <w:color w:val="000000" w:themeColor="text1"/>
        </w:rPr>
        <w:t xml:space="preserve"> y como contraprestación recibirá un incentivo económico. La entidad concedente no se desprende de la potestad de dirección y control de la ejecución del contrato y debe ejercer la permanente vigilancia de la actividad que desarrolla el concesionario</w:t>
      </w:r>
      <w:r w:rsidRPr="00751C68">
        <w:rPr>
          <w:rStyle w:val="FootnoteReference"/>
          <w:rFonts w:ascii="Verdana" w:eastAsia="Calibri" w:hAnsi="Verdana" w:cs="Arial"/>
          <w:bCs/>
          <w:color w:val="000000" w:themeColor="text1"/>
        </w:rPr>
        <w:footnoteReference w:id="1"/>
      </w:r>
      <w:r w:rsidRPr="00751C68">
        <w:rPr>
          <w:rFonts w:ascii="Verdana" w:eastAsia="Calibri" w:hAnsi="Verdana" w:cs="Arial"/>
          <w:bCs/>
          <w:color w:val="000000" w:themeColor="text1"/>
        </w:rPr>
        <w:t xml:space="preserve">. </w:t>
      </w:r>
      <w:r w:rsidRPr="00751C68">
        <w:rPr>
          <w:rFonts w:ascii="Verdana" w:eastAsia="Calibri" w:hAnsi="Verdana" w:cs="Arial"/>
          <w:bCs/>
          <w:color w:val="000000" w:themeColor="text1"/>
          <w:lang w:val="es-ES_tradnl"/>
        </w:rPr>
        <w:t>Como se observa, en este tipo de contratos el contratista es, en principio, quien por su cuenta y riesgo ejecuta la prestación, operación, explotación u organización del servicio, así como la construcción, explotación o conservación del bien, a cambio de una remuneración</w:t>
      </w:r>
      <w:r w:rsidRPr="00751C68">
        <w:rPr>
          <w:rFonts w:ascii="Verdana" w:eastAsia="Calibri" w:hAnsi="Verdana" w:cs="Arial"/>
          <w:bCs/>
          <w:color w:val="000000" w:themeColor="text1"/>
          <w:vertAlign w:val="superscript"/>
          <w:lang w:val="es-ES_tradnl"/>
        </w:rPr>
        <w:footnoteReference w:id="2"/>
      </w:r>
      <w:r w:rsidRPr="00751C68">
        <w:rPr>
          <w:rFonts w:ascii="Verdana" w:eastAsia="Calibri" w:hAnsi="Verdana" w:cs="Arial"/>
          <w:bCs/>
          <w:color w:val="000000" w:themeColor="text1"/>
          <w:lang w:val="es-ES_tradnl"/>
        </w:rPr>
        <w:t xml:space="preserve">. </w:t>
      </w:r>
    </w:p>
    <w:p w14:paraId="5C737C3F" w14:textId="77777777" w:rsidR="00FD7032" w:rsidRPr="00772771" w:rsidRDefault="00FD7032" w:rsidP="00FD7032">
      <w:pPr>
        <w:tabs>
          <w:tab w:val="left" w:pos="0"/>
        </w:tabs>
        <w:spacing w:after="0" w:line="276" w:lineRule="auto"/>
        <w:ind w:firstLine="709"/>
        <w:jc w:val="both"/>
        <w:rPr>
          <w:rFonts w:ascii="Verdana" w:eastAsia="Calibri" w:hAnsi="Verdana" w:cs="Arial"/>
          <w:bCs/>
          <w:color w:val="000000" w:themeColor="text1"/>
        </w:rPr>
      </w:pPr>
      <w:r w:rsidRPr="00772771">
        <w:rPr>
          <w:rFonts w:ascii="Verdana" w:eastAsia="Calibri" w:hAnsi="Verdana" w:cs="Arial"/>
          <w:bCs/>
          <w:color w:val="000000" w:themeColor="text1"/>
          <w:lang w:val="es-ES_tradnl"/>
        </w:rPr>
        <w:lastRenderedPageBreak/>
        <w:t>De esta manera, como característica fundamental de estos contratos se resalta “</w:t>
      </w:r>
      <w:r w:rsidRPr="00772771">
        <w:rPr>
          <w:rFonts w:ascii="Verdana" w:eastAsia="Calibri" w:hAnsi="Verdana" w:cs="Arial"/>
          <w:bCs/>
          <w:color w:val="000000" w:themeColor="text1"/>
        </w:rPr>
        <w:t>la vinculación de recursos del sector privado, a manera de inversión, en proyectos de interés público que permitan maximizar el gasto estatal en la satisfacción de otras necesidades”</w:t>
      </w:r>
      <w:r w:rsidRPr="00772771">
        <w:rPr>
          <w:rStyle w:val="FootnoteReference"/>
          <w:rFonts w:ascii="Verdana" w:eastAsia="Calibri" w:hAnsi="Verdana" w:cs="Arial"/>
          <w:bCs/>
          <w:color w:val="000000" w:themeColor="text1"/>
          <w:lang w:val="es-ES_tradnl"/>
        </w:rPr>
        <w:footnoteReference w:id="3"/>
      </w:r>
      <w:r w:rsidRPr="00772771">
        <w:rPr>
          <w:rFonts w:ascii="Verdana" w:eastAsia="Calibri" w:hAnsi="Verdana" w:cs="Arial"/>
          <w:bCs/>
          <w:color w:val="000000" w:themeColor="text1"/>
        </w:rPr>
        <w:t xml:space="preserve">. Así mismo, es de la esencia del contrato de concesión la asunción de riesgos por parte del concesionario, lo que significa que tendrá derecho a la utilidad generada pero también asumirá las pérdidas derivadas de la gestión del servicio o bien concesionado. </w:t>
      </w:r>
      <w:r w:rsidRPr="00772771">
        <w:rPr>
          <w:rFonts w:ascii="Verdana" w:eastAsia="Calibri" w:hAnsi="Verdana" w:cs="Arial"/>
          <w:bCs/>
          <w:color w:val="000000" w:themeColor="text1"/>
          <w:lang w:val="es-ES_tradnl"/>
        </w:rPr>
        <w:t>En palabras de la Corte Constitucional:</w:t>
      </w:r>
    </w:p>
    <w:p w14:paraId="55725946" w14:textId="77777777" w:rsidR="00FD7032" w:rsidRPr="00772771" w:rsidRDefault="00FD7032" w:rsidP="00FD7032">
      <w:pPr>
        <w:shd w:val="clear" w:color="auto" w:fill="FFFFFF"/>
        <w:spacing w:after="0" w:line="276" w:lineRule="auto"/>
        <w:ind w:left="720"/>
        <w:jc w:val="both"/>
        <w:rPr>
          <w:rFonts w:ascii="Verdana" w:eastAsia="Calibri" w:hAnsi="Verdana" w:cs="Arial"/>
          <w:bCs/>
          <w:color w:val="000000" w:themeColor="text1"/>
          <w:lang w:val="es-ES_tradnl"/>
        </w:rPr>
      </w:pPr>
    </w:p>
    <w:p w14:paraId="1ED7AAD9" w14:textId="77777777" w:rsidR="00FD7032" w:rsidRPr="00772771" w:rsidRDefault="00FD7032" w:rsidP="00FD7032">
      <w:pPr>
        <w:spacing w:after="0" w:line="240" w:lineRule="auto"/>
        <w:ind w:left="709" w:right="709"/>
        <w:jc w:val="both"/>
        <w:rPr>
          <w:rFonts w:ascii="Verdana" w:eastAsia="Calibri" w:hAnsi="Verdana" w:cs="Arial"/>
          <w:color w:val="000000" w:themeColor="text1"/>
          <w:sz w:val="20"/>
          <w:szCs w:val="20"/>
          <w:lang w:val="es-ES"/>
        </w:rPr>
      </w:pPr>
      <w:r w:rsidRPr="00772771">
        <w:rPr>
          <w:rFonts w:ascii="Verdana" w:eastAsia="Calibri" w:hAnsi="Verdana" w:cs="Arial"/>
          <w:color w:val="000000" w:themeColor="text1"/>
          <w:sz w:val="20"/>
          <w:szCs w:val="20"/>
          <w:lang w:val="es-ES"/>
        </w:rPr>
        <w:t>“Los contratos de concesión son entonces instrumentos a través de los cuales el Estado promueve el concurso de la inversión privada para el cumplimiento de sus fines. Estos contratos adquieren especial importancia en contextos en los que existen restricciones presupuestales, pues permiten la realización de importantes obras de infraestructura (vial, energética, de transporte, de telecomunicaciones, etc.) con el apoyo de los recursos y conocimientos privados; de este modo facilitan que los recursos públicos se enfoquen en otras necesidades de la actuación estatal”</w:t>
      </w:r>
      <w:r w:rsidRPr="00772771">
        <w:rPr>
          <w:rFonts w:ascii="Verdana" w:eastAsia="Calibri" w:hAnsi="Verdana" w:cs="Arial"/>
          <w:color w:val="000000" w:themeColor="text1"/>
          <w:sz w:val="20"/>
          <w:szCs w:val="20"/>
          <w:vertAlign w:val="superscript"/>
          <w:lang w:val="es-ES"/>
        </w:rPr>
        <w:footnoteReference w:id="4"/>
      </w:r>
      <w:r w:rsidRPr="00772771">
        <w:rPr>
          <w:rFonts w:ascii="Verdana" w:eastAsia="Calibri" w:hAnsi="Verdana" w:cs="Arial"/>
          <w:color w:val="000000" w:themeColor="text1"/>
          <w:sz w:val="20"/>
          <w:szCs w:val="20"/>
          <w:lang w:val="es-ES"/>
        </w:rPr>
        <w:t xml:space="preserve">. </w:t>
      </w:r>
    </w:p>
    <w:p w14:paraId="52C20732" w14:textId="77777777" w:rsidR="00FD7032" w:rsidRPr="00B973A0" w:rsidRDefault="00FD7032" w:rsidP="00FD7032">
      <w:pPr>
        <w:tabs>
          <w:tab w:val="left" w:pos="0"/>
        </w:tabs>
        <w:spacing w:after="0" w:line="276" w:lineRule="auto"/>
        <w:ind w:firstLine="709"/>
        <w:jc w:val="both"/>
        <w:rPr>
          <w:rFonts w:ascii="Verdana" w:eastAsia="Calibri" w:hAnsi="Verdana" w:cs="Arial"/>
          <w:bCs/>
          <w:color w:val="000000" w:themeColor="text1"/>
          <w:highlight w:val="lightGray"/>
          <w:lang w:val="es-ES"/>
        </w:rPr>
      </w:pPr>
    </w:p>
    <w:p w14:paraId="789AE420" w14:textId="77777777" w:rsidR="00FD7032" w:rsidRPr="00C5370B" w:rsidRDefault="00FD7032" w:rsidP="00FD7032">
      <w:pPr>
        <w:spacing w:after="120" w:line="276" w:lineRule="auto"/>
        <w:ind w:firstLine="709"/>
        <w:jc w:val="both"/>
        <w:rPr>
          <w:rFonts w:ascii="Verdana" w:eastAsia="Calibri" w:hAnsi="Verdana" w:cs="Arial"/>
          <w:color w:val="000000" w:themeColor="text1"/>
          <w:lang w:val="es-ES"/>
        </w:rPr>
      </w:pPr>
      <w:r w:rsidRPr="006C37E2">
        <w:rPr>
          <w:rFonts w:ascii="Verdana" w:eastAsia="Calibri" w:hAnsi="Verdana" w:cs="Arial"/>
          <w:color w:val="000000" w:themeColor="text1"/>
          <w:lang w:val="es-ES"/>
        </w:rPr>
        <w:t xml:space="preserve">A partir de la tipificación de este contrato, en el artículo citado, y sin perjuicio de la existencia de regímenes especiales, las disposiciones del Estatuto General de Contratación de la Administración Pública – en adelante EGCAP – eran las que aplicaban principalmente las Entidades Públicas en la celebración de los contratos de concesión. Sin embargo, con posterioridad se expidió la Ley 1508 de 2012, “Por la cual se establece el régimen jurídico de las Asociaciones Público-Privadas, se dictan normas orgánicas de presupuesto y se dictan otras </w:t>
      </w:r>
      <w:r w:rsidRPr="00C5370B">
        <w:rPr>
          <w:rFonts w:ascii="Verdana" w:eastAsia="Calibri" w:hAnsi="Verdana" w:cs="Arial"/>
          <w:color w:val="000000" w:themeColor="text1"/>
          <w:lang w:val="es-ES"/>
        </w:rPr>
        <w:t xml:space="preserve">disposiciones”, normativa que se menciona en su consulta. </w:t>
      </w:r>
    </w:p>
    <w:p w14:paraId="692E8D18" w14:textId="77777777" w:rsidR="00FD7032" w:rsidRPr="00A86573" w:rsidRDefault="00FD7032" w:rsidP="00FD7032">
      <w:pPr>
        <w:spacing w:after="120" w:line="276" w:lineRule="auto"/>
        <w:ind w:firstLine="709"/>
        <w:jc w:val="both"/>
        <w:rPr>
          <w:rFonts w:ascii="Verdana" w:eastAsia="Calibri" w:hAnsi="Verdana" w:cs="Arial"/>
          <w:bCs/>
          <w:lang w:val="es-ES_tradnl"/>
        </w:rPr>
      </w:pPr>
      <w:r w:rsidRPr="00C5370B">
        <w:rPr>
          <w:rFonts w:ascii="Verdana" w:eastAsia="Calibri" w:hAnsi="Verdana" w:cs="Arial"/>
          <w:bCs/>
          <w:lang w:val="es-ES_tradnl"/>
        </w:rPr>
        <w:t xml:space="preserve">Mediante la </w:t>
      </w:r>
      <w:bookmarkStart w:id="11" w:name="_Hlk182374015"/>
      <w:r w:rsidRPr="00C5370B">
        <w:rPr>
          <w:rFonts w:ascii="Verdana" w:eastAsia="Calibri" w:hAnsi="Verdana" w:cs="Arial"/>
          <w:bCs/>
          <w:lang w:val="es-ES_tradnl"/>
        </w:rPr>
        <w:t xml:space="preserve">Ley 1508 de 2012 </w:t>
      </w:r>
      <w:bookmarkEnd w:id="11"/>
      <w:r w:rsidRPr="00C5370B">
        <w:rPr>
          <w:rFonts w:ascii="Verdana" w:eastAsia="Calibri" w:hAnsi="Verdana" w:cs="Arial"/>
          <w:bCs/>
          <w:lang w:val="es-ES_tradnl"/>
        </w:rPr>
        <w:t xml:space="preserve">se estableció el régimen jurídico de las Asociaciones Público-Privadas – APP, en cual se define dicha figura, se concreta su ámbito de aplicación y se prevén los principios generales a los que se someten las mencionadas Asociaciones, el derecho a retribuciones, el plazo de los respectivos contratos, entre otros aspectos. Adicionalmente, la norma aludida regula los tipos de Asociaciones Público-Privadas que existen en el ordenamiento </w:t>
      </w:r>
      <w:r w:rsidRPr="00A86573">
        <w:rPr>
          <w:rFonts w:ascii="Verdana" w:eastAsia="Calibri" w:hAnsi="Verdana" w:cs="Arial"/>
          <w:bCs/>
          <w:lang w:val="es-ES_tradnl"/>
        </w:rPr>
        <w:t xml:space="preserve">jurídico colombiano; así como el alcance y requisitos que se deben cumplir, en </w:t>
      </w:r>
      <w:r w:rsidRPr="00A86573">
        <w:rPr>
          <w:rFonts w:ascii="Verdana" w:eastAsia="Calibri" w:hAnsi="Verdana" w:cs="Arial"/>
          <w:bCs/>
          <w:lang w:val="es-ES_tradnl"/>
        </w:rPr>
        <w:lastRenderedPageBreak/>
        <w:t>cada caso, para su concreción y para la celebración y ejecución de los contratos respectivos.</w:t>
      </w:r>
    </w:p>
    <w:p w14:paraId="39E7BA18" w14:textId="77777777" w:rsidR="00FD7032" w:rsidRPr="00A86573" w:rsidRDefault="00FD7032" w:rsidP="00FD7032">
      <w:pPr>
        <w:tabs>
          <w:tab w:val="left" w:pos="426"/>
        </w:tabs>
        <w:spacing w:after="0" w:line="276" w:lineRule="auto"/>
        <w:ind w:firstLine="709"/>
        <w:jc w:val="both"/>
        <w:rPr>
          <w:rFonts w:ascii="Verdana" w:eastAsia="Calibri" w:hAnsi="Verdana" w:cs="Arial"/>
          <w:color w:val="000000" w:themeColor="text1"/>
          <w:lang w:val="es-ES"/>
        </w:rPr>
      </w:pPr>
      <w:r w:rsidRPr="00A86573">
        <w:rPr>
          <w:rFonts w:ascii="Verdana" w:eastAsia="Calibri" w:hAnsi="Verdana" w:cs="Arial"/>
          <w:bCs/>
          <w:lang w:val="es-ES_tradnl"/>
        </w:rPr>
        <w:t xml:space="preserve">En ese contexto, el </w:t>
      </w:r>
      <w:bookmarkStart w:id="12" w:name="_Hlk182374022"/>
      <w:r w:rsidRPr="00A86573">
        <w:rPr>
          <w:rFonts w:ascii="Verdana" w:eastAsia="Calibri" w:hAnsi="Verdana" w:cs="Arial"/>
          <w:bCs/>
          <w:lang w:val="es-ES_tradnl"/>
        </w:rPr>
        <w:t>artículo 1</w:t>
      </w:r>
      <w:bookmarkEnd w:id="12"/>
      <w:r w:rsidRPr="00A86573">
        <w:rPr>
          <w:rFonts w:ascii="Verdana" w:eastAsia="Calibri" w:hAnsi="Verdana" w:cs="Arial"/>
          <w:bCs/>
          <w:i/>
          <w:iCs/>
          <w:lang w:val="es-ES_tradnl"/>
        </w:rPr>
        <w:t xml:space="preserve"> ibidem</w:t>
      </w:r>
      <w:r w:rsidRPr="00A86573">
        <w:rPr>
          <w:rFonts w:ascii="Verdana" w:eastAsia="Calibri" w:hAnsi="Verdana" w:cs="Arial"/>
          <w:bCs/>
          <w:lang w:val="es-ES_tradnl"/>
        </w:rPr>
        <w:t xml:space="preserve"> definió </w:t>
      </w:r>
      <w:r w:rsidRPr="00A86573">
        <w:rPr>
          <w:rFonts w:ascii="Verdana" w:eastAsia="Calibri" w:hAnsi="Verdana" w:cs="Arial"/>
          <w:bCs/>
          <w:lang w:val="es-MX"/>
        </w:rPr>
        <w:t xml:space="preserve">las Asociaciones-Público Privadas </w:t>
      </w:r>
      <w:r w:rsidRPr="00A86573">
        <w:rPr>
          <w:rFonts w:ascii="Verdana" w:eastAsia="Calibri" w:hAnsi="Verdana" w:cs="Arial"/>
          <w:color w:val="000000" w:themeColor="text1"/>
          <w:lang w:val="es-ES"/>
        </w:rPr>
        <w:t>–APP– de la siguiente manera:</w:t>
      </w:r>
    </w:p>
    <w:p w14:paraId="09DB0589" w14:textId="77777777" w:rsidR="00FD7032" w:rsidRPr="00A86573" w:rsidRDefault="00FD7032" w:rsidP="00FD7032">
      <w:pPr>
        <w:tabs>
          <w:tab w:val="left" w:pos="0"/>
        </w:tabs>
        <w:spacing w:after="0" w:line="276" w:lineRule="auto"/>
        <w:ind w:left="709" w:right="709"/>
        <w:jc w:val="both"/>
        <w:rPr>
          <w:rFonts w:ascii="Verdana" w:eastAsia="Calibri" w:hAnsi="Verdana" w:cs="Arial"/>
          <w:bCs/>
          <w:color w:val="000000" w:themeColor="text1"/>
          <w:lang w:val="es-ES_tradnl"/>
        </w:rPr>
      </w:pPr>
    </w:p>
    <w:p w14:paraId="327011F1" w14:textId="77777777" w:rsidR="00FD7032" w:rsidRPr="00A86573" w:rsidRDefault="00FD7032" w:rsidP="00FD7032">
      <w:pPr>
        <w:spacing w:after="0" w:line="240" w:lineRule="auto"/>
        <w:ind w:left="709" w:right="709"/>
        <w:jc w:val="both"/>
        <w:rPr>
          <w:rFonts w:ascii="Verdana" w:eastAsia="Calibri" w:hAnsi="Verdana" w:cs="Arial"/>
          <w:color w:val="000000" w:themeColor="text1"/>
          <w:sz w:val="20"/>
          <w:szCs w:val="20"/>
          <w:lang w:val="es-ES"/>
        </w:rPr>
      </w:pPr>
      <w:r w:rsidRPr="00A86573">
        <w:rPr>
          <w:rFonts w:ascii="Verdana" w:eastAsia="Calibri" w:hAnsi="Verdana" w:cs="Arial"/>
          <w:color w:val="000000" w:themeColor="text1"/>
          <w:sz w:val="20"/>
          <w:szCs w:val="20"/>
          <w:lang w:val="es-ES"/>
        </w:rPr>
        <w:t>“Artículo 1. Las Asociaciones Público-Privadas son un instrumento de vinculación de capital privado, que se materializan en un contrato entre una entidad estatal y una persona natural o jurídica de derecho privado, para la provisión de bienes públicos y de sus servicios relacionados, que involucra la retención y transferencia de riesgos entre las partes y mecanismos de pago, relacionados con la disponibilidad y el nivel de servicio de la infraestructura y/o servicio”.</w:t>
      </w:r>
    </w:p>
    <w:p w14:paraId="106D14BC" w14:textId="77777777" w:rsidR="00FD7032" w:rsidRPr="00A86573" w:rsidRDefault="00FD7032" w:rsidP="00FD7032">
      <w:pPr>
        <w:tabs>
          <w:tab w:val="left" w:pos="0"/>
        </w:tabs>
        <w:spacing w:after="0" w:line="276" w:lineRule="auto"/>
        <w:ind w:firstLine="709"/>
        <w:jc w:val="both"/>
        <w:rPr>
          <w:rFonts w:ascii="Verdana" w:eastAsia="Calibri" w:hAnsi="Verdana" w:cs="Arial"/>
          <w:bCs/>
          <w:color w:val="000000" w:themeColor="text1"/>
          <w:lang w:val="es-ES_tradnl"/>
        </w:rPr>
      </w:pPr>
    </w:p>
    <w:p w14:paraId="43C11D07" w14:textId="77777777" w:rsidR="00FD7032" w:rsidRPr="00A86573" w:rsidRDefault="00FD7032" w:rsidP="00FD7032">
      <w:pPr>
        <w:tabs>
          <w:tab w:val="left" w:pos="0"/>
        </w:tabs>
        <w:spacing w:after="120" w:line="276" w:lineRule="auto"/>
        <w:ind w:firstLine="709"/>
        <w:jc w:val="both"/>
        <w:rPr>
          <w:rFonts w:ascii="Verdana" w:eastAsia="Calibri" w:hAnsi="Verdana" w:cs="Arial"/>
          <w:bCs/>
          <w:strike/>
          <w:color w:val="000000" w:themeColor="text1"/>
          <w:lang w:val="es-ES_tradnl"/>
        </w:rPr>
      </w:pPr>
      <w:r w:rsidRPr="00A86573">
        <w:rPr>
          <w:rFonts w:ascii="Verdana" w:eastAsia="Calibri" w:hAnsi="Verdana" w:cs="Arial"/>
          <w:bCs/>
          <w:color w:val="000000" w:themeColor="text1"/>
          <w:lang w:val="es-ES_tradnl"/>
        </w:rPr>
        <w:t>Con fundamento en dicha noción, el legislador entiende la concesión como una forma de colaboración público-privada</w:t>
      </w:r>
      <w:r w:rsidRPr="00A86573">
        <w:rPr>
          <w:rFonts w:ascii="Verdana" w:eastAsia="Calibri" w:hAnsi="Verdana" w:cs="Arial"/>
          <w:bCs/>
          <w:color w:val="000000" w:themeColor="text1"/>
          <w:vertAlign w:val="superscript"/>
          <w:lang w:val="es-ES_tradnl"/>
        </w:rPr>
        <w:footnoteReference w:id="5"/>
      </w:r>
      <w:r w:rsidRPr="00A86573">
        <w:rPr>
          <w:rFonts w:ascii="Verdana" w:eastAsia="Calibri" w:hAnsi="Verdana" w:cs="Arial"/>
          <w:bCs/>
          <w:color w:val="000000" w:themeColor="text1"/>
          <w:lang w:val="es-ES_tradnl"/>
        </w:rPr>
        <w:t xml:space="preserve">, es decir, como un mecanismo a través del cual el sector privado participa en la gestión pública, representada en la ejecución de actividades de infraestructura o de otros servicios, vinculando capital, conocimientos y experiencia, así como un mayor riesgo que el que ordinariamente se asume en otras tipologías contractuales. </w:t>
      </w:r>
    </w:p>
    <w:p w14:paraId="6283803D" w14:textId="77777777" w:rsidR="00FD7032" w:rsidRPr="00A86573" w:rsidRDefault="00FD7032" w:rsidP="00FD7032">
      <w:pPr>
        <w:tabs>
          <w:tab w:val="left" w:pos="426"/>
        </w:tabs>
        <w:spacing w:after="0" w:line="276" w:lineRule="auto"/>
        <w:ind w:firstLine="709"/>
        <w:jc w:val="both"/>
        <w:rPr>
          <w:rFonts w:ascii="Verdana" w:eastAsia="Calibri" w:hAnsi="Verdana" w:cs="Arial"/>
          <w:bCs/>
          <w:lang w:val="es-ES_tradnl"/>
        </w:rPr>
      </w:pPr>
      <w:r w:rsidRPr="00A86573">
        <w:rPr>
          <w:rFonts w:ascii="Verdana" w:eastAsia="Calibri" w:hAnsi="Verdana" w:cs="Arial"/>
          <w:bCs/>
          <w:lang w:val="es-MX"/>
        </w:rPr>
        <w:t xml:space="preserve">Conforme a la regulación vigente, las Asociaciones Publico Privadas constituyen </w:t>
      </w:r>
      <w:r w:rsidRPr="00A86573">
        <w:rPr>
          <w:rFonts w:ascii="Verdana" w:eastAsia="Calibri" w:hAnsi="Verdana" w:cs="Arial"/>
          <w:bCs/>
          <w:lang w:val="es-ES_tradnl"/>
        </w:rPr>
        <w:t>modalidades de negocio en las cuales la disponibilidad y el nivel de la infraestructura o servicio resultan determinantes. Así lo señala lo señala la Corte Constitucional, expresando lo siguiente:</w:t>
      </w:r>
    </w:p>
    <w:p w14:paraId="69DB972C" w14:textId="77777777" w:rsidR="00FD7032" w:rsidRPr="00A86573" w:rsidRDefault="00FD7032" w:rsidP="00FD7032">
      <w:pPr>
        <w:tabs>
          <w:tab w:val="left" w:pos="426"/>
        </w:tabs>
        <w:spacing w:after="0" w:line="276" w:lineRule="auto"/>
        <w:ind w:firstLine="709"/>
        <w:jc w:val="both"/>
        <w:rPr>
          <w:rFonts w:ascii="Verdana" w:eastAsia="Calibri" w:hAnsi="Verdana" w:cs="Arial"/>
          <w:bCs/>
          <w:lang w:val="es-ES_tradnl"/>
        </w:rPr>
      </w:pPr>
    </w:p>
    <w:p w14:paraId="28436C38" w14:textId="77777777" w:rsidR="00FD7032" w:rsidRPr="00A86573" w:rsidRDefault="00FD7032" w:rsidP="00FD7032">
      <w:pPr>
        <w:tabs>
          <w:tab w:val="left" w:pos="426"/>
        </w:tabs>
        <w:spacing w:after="0" w:line="240" w:lineRule="auto"/>
        <w:ind w:left="709" w:right="709"/>
        <w:jc w:val="both"/>
        <w:rPr>
          <w:rFonts w:ascii="Verdana" w:eastAsia="Calibri" w:hAnsi="Verdana" w:cs="Arial"/>
          <w:bCs/>
          <w:sz w:val="20"/>
          <w:szCs w:val="20"/>
        </w:rPr>
      </w:pPr>
      <w:r w:rsidRPr="00A86573">
        <w:rPr>
          <w:rFonts w:ascii="Verdana" w:eastAsia="Calibri" w:hAnsi="Verdana" w:cs="Arial"/>
          <w:bCs/>
          <w:sz w:val="20"/>
          <w:szCs w:val="20"/>
          <w:lang w:val="es-MX"/>
        </w:rPr>
        <w:t>“</w:t>
      </w:r>
      <w:r w:rsidRPr="00A86573">
        <w:rPr>
          <w:rFonts w:ascii="Verdana" w:eastAsia="Calibri" w:hAnsi="Verdana" w:cs="Arial"/>
          <w:bCs/>
          <w:sz w:val="20"/>
          <w:szCs w:val="20"/>
        </w:rPr>
        <w:t xml:space="preserve">Las APP se caracterizan por: (i) tener una larga duración; (ii) definir sus objetos alrededor de proyectos, lo que conlleva la previsión de actividades como el diseño, construcción y mantenimiento de la infraestructura pública sobre la que verse el contrato y/o los servicios asociados; (iii) contar con financiación privada o público-privada; (iv) establecer como forma de remuneración el otorgamiento del derecho a la explotación de la infraestructura o servicio, aunque en algunos casos es posible pactar el desembolso de recursos públicos; (v) condicionar la remuneración a niveles de calidad; (vi) trasladar parte importante de los riesgos al </w:t>
      </w:r>
      <w:r w:rsidRPr="00A86573">
        <w:rPr>
          <w:rFonts w:ascii="Verdana" w:eastAsia="Calibri" w:hAnsi="Verdana" w:cs="Arial"/>
          <w:bCs/>
          <w:sz w:val="20"/>
          <w:szCs w:val="20"/>
        </w:rPr>
        <w:lastRenderedPageBreak/>
        <w:t xml:space="preserve">contratista –por ejemplo, los asociados al diseño, niveles de demanda, deterioro y mantenimiento de la infraestructura- según su capacidad y experiencia; y (vii) distribuir las tareas entre las partes de acuerdo con su experiencia y ventaja competitiva </w:t>
      </w:r>
      <w:r w:rsidRPr="00A86573">
        <w:rPr>
          <w:rFonts w:ascii="Verdana" w:eastAsia="Calibri" w:hAnsi="Verdana" w:cs="Arial"/>
          <w:bCs/>
          <w:sz w:val="20"/>
          <w:szCs w:val="20"/>
          <w:lang w:val="es-MX"/>
        </w:rPr>
        <w:t>[...]”</w:t>
      </w:r>
      <w:r w:rsidRPr="00A86573">
        <w:rPr>
          <w:rFonts w:ascii="Verdana" w:eastAsia="Calibri" w:hAnsi="Verdana" w:cs="Arial"/>
          <w:bCs/>
          <w:sz w:val="20"/>
          <w:szCs w:val="20"/>
          <w:vertAlign w:val="superscript"/>
        </w:rPr>
        <w:footnoteReference w:id="6"/>
      </w:r>
      <w:r w:rsidRPr="00A86573">
        <w:rPr>
          <w:rFonts w:ascii="Verdana" w:eastAsia="Calibri" w:hAnsi="Verdana" w:cs="Arial"/>
          <w:bCs/>
          <w:sz w:val="20"/>
          <w:szCs w:val="20"/>
        </w:rPr>
        <w:t>.</w:t>
      </w:r>
    </w:p>
    <w:p w14:paraId="3D9B7623" w14:textId="77777777" w:rsidR="00FD7032" w:rsidRPr="00A86573" w:rsidRDefault="00FD7032" w:rsidP="00FD7032">
      <w:pPr>
        <w:widowControl w:val="0"/>
        <w:autoSpaceDE w:val="0"/>
        <w:autoSpaceDN w:val="0"/>
        <w:spacing w:after="0" w:line="276" w:lineRule="auto"/>
        <w:ind w:right="98"/>
        <w:jc w:val="both"/>
        <w:rPr>
          <w:rFonts w:ascii="Verdana" w:eastAsia="Calibri" w:hAnsi="Verdana" w:cs="Arial"/>
          <w:lang w:val="es-ES_tradnl"/>
        </w:rPr>
      </w:pPr>
    </w:p>
    <w:p w14:paraId="100FF5BC" w14:textId="77777777" w:rsidR="00FD7032" w:rsidRPr="00A86573" w:rsidRDefault="00FD7032" w:rsidP="00FD7032">
      <w:pPr>
        <w:spacing w:after="120" w:line="276" w:lineRule="auto"/>
        <w:jc w:val="both"/>
        <w:rPr>
          <w:rFonts w:ascii="Verdana" w:eastAsia="Times New Roman" w:hAnsi="Verdana" w:cs="Arial"/>
          <w:color w:val="000000" w:themeColor="text1"/>
          <w:lang w:val="es-ES" w:eastAsia="es-CO"/>
        </w:rPr>
      </w:pPr>
      <w:r w:rsidRPr="00A86573">
        <w:rPr>
          <w:rFonts w:ascii="Verdana" w:eastAsia="Calibri" w:hAnsi="Verdana" w:cs="Arial"/>
          <w:lang w:val="es-ES_tradnl"/>
        </w:rPr>
        <w:t xml:space="preserve">ii. Por otra parte, </w:t>
      </w:r>
      <w:r w:rsidRPr="00A86573">
        <w:rPr>
          <w:rFonts w:ascii="Verdana" w:eastAsia="Times New Roman" w:hAnsi="Verdana" w:cs="Arial"/>
          <w:lang w:eastAsia="es-CO"/>
        </w:rPr>
        <w:t xml:space="preserve">La doctrina ha señalado que “se denominan contratos interadministrativos los contratos </w:t>
      </w:r>
      <w:r w:rsidRPr="00A86573">
        <w:rPr>
          <w:rFonts w:ascii="Verdana" w:eastAsia="Times New Roman" w:hAnsi="Verdana" w:cs="Arial"/>
          <w:color w:val="000000" w:themeColor="text1"/>
          <w:lang w:eastAsia="es-CO"/>
        </w:rPr>
        <w:t>bilaterales celebrados entre dos entidades estatales”</w:t>
      </w:r>
      <w:r w:rsidRPr="00A86573">
        <w:rPr>
          <w:rFonts w:ascii="Verdana" w:eastAsia="Times New Roman" w:hAnsi="Verdana" w:cs="Arial"/>
          <w:color w:val="000000" w:themeColor="text1"/>
          <w:vertAlign w:val="superscript"/>
          <w:lang w:eastAsia="es-CO"/>
        </w:rPr>
        <w:footnoteReference w:id="7"/>
      </w:r>
      <w:r w:rsidRPr="00A86573">
        <w:rPr>
          <w:rFonts w:ascii="Verdana" w:eastAsia="Times New Roman" w:hAnsi="Verdana" w:cs="Arial"/>
          <w:color w:val="000000" w:themeColor="text1"/>
          <w:lang w:eastAsia="es-CO"/>
        </w:rPr>
        <w:t xml:space="preserve">. </w:t>
      </w:r>
      <w:r w:rsidRPr="00A86573">
        <w:rPr>
          <w:rFonts w:ascii="Verdana" w:eastAsia="Times New Roman" w:hAnsi="Verdana" w:cs="Arial"/>
          <w:color w:val="000000" w:themeColor="text1"/>
          <w:lang w:val="es-ES" w:eastAsia="es-CO"/>
        </w:rPr>
        <w:t>Aunque la Ley 80 de 1993 no definió ni desarrolló esta tipología contractual, el Decreto 1082 de 2015 califica a los convenios o contratos interadministrativos como aquella contratación entre Entidades Estatales</w:t>
      </w:r>
      <w:r w:rsidRPr="00A86573">
        <w:rPr>
          <w:rFonts w:ascii="Verdana" w:eastAsia="Times New Roman" w:hAnsi="Verdana" w:cs="Arial"/>
          <w:color w:val="000000" w:themeColor="text1"/>
          <w:vertAlign w:val="superscript"/>
          <w:lang w:val="es-ES" w:eastAsia="es-CO"/>
        </w:rPr>
        <w:footnoteReference w:id="8"/>
      </w:r>
      <w:r w:rsidRPr="00A86573">
        <w:rPr>
          <w:rFonts w:ascii="Verdana" w:eastAsia="Times New Roman" w:hAnsi="Verdana" w:cs="Arial"/>
          <w:color w:val="000000" w:themeColor="text1"/>
          <w:lang w:val="es-ES" w:eastAsia="es-CO"/>
        </w:rPr>
        <w:t xml:space="preserve">. </w:t>
      </w:r>
    </w:p>
    <w:p w14:paraId="4F52D8AE" w14:textId="77777777" w:rsidR="00FD7032" w:rsidRPr="00A86573" w:rsidRDefault="00FD7032" w:rsidP="00FD7032">
      <w:pPr>
        <w:spacing w:after="120" w:line="276" w:lineRule="auto"/>
        <w:ind w:firstLine="708"/>
        <w:jc w:val="both"/>
        <w:rPr>
          <w:rFonts w:ascii="Verdana" w:eastAsia="Calibri" w:hAnsi="Verdana" w:cs="Arial"/>
          <w:lang w:eastAsia="es-ES"/>
        </w:rPr>
      </w:pPr>
      <w:r w:rsidRPr="00A86573">
        <w:rPr>
          <w:rFonts w:ascii="Verdana" w:eastAsia="Times New Roman" w:hAnsi="Verdana" w:cs="Arial"/>
          <w:color w:val="000000" w:themeColor="text1"/>
          <w:lang w:val="es-ES" w:eastAsia="es-CO"/>
        </w:rPr>
        <w:t xml:space="preserve">De acuerdo con esto, 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sean g, </w:t>
      </w:r>
      <w:r w:rsidRPr="00A86573">
        <w:rPr>
          <w:rFonts w:ascii="Verdana" w:eastAsia="Calibri" w:hAnsi="Verdana" w:cs="Arial"/>
          <w:lang w:eastAsia="es-ES"/>
        </w:rPr>
        <w:t xml:space="preserve">sin que importen las normas que regulan la relación contractual. </w:t>
      </w:r>
    </w:p>
    <w:p w14:paraId="384F6B92" w14:textId="77777777" w:rsidR="00FD7032" w:rsidRPr="00A86573" w:rsidRDefault="00FD7032" w:rsidP="00FD7032">
      <w:pPr>
        <w:spacing w:after="0" w:line="276" w:lineRule="auto"/>
        <w:ind w:firstLine="708"/>
        <w:contextualSpacing/>
        <w:jc w:val="both"/>
        <w:rPr>
          <w:rFonts w:ascii="Verdana" w:eastAsia="Calibri" w:hAnsi="Verdana" w:cs="Arial"/>
          <w:lang w:val="es-ES"/>
        </w:rPr>
      </w:pPr>
      <w:r w:rsidRPr="00A86573">
        <w:rPr>
          <w:rFonts w:ascii="Verdana" w:eastAsia="Calibri" w:hAnsi="Verdana" w:cs="Arial"/>
          <w:lang w:eastAsia="es-ES"/>
        </w:rPr>
        <w:t xml:space="preserve">Bajo el criterio orgánico descrito, cualquier entidad puede contratar bajo la figura de un contrato interadministrativo con </w:t>
      </w:r>
      <w:r w:rsidRPr="00A86573">
        <w:rPr>
          <w:rFonts w:ascii="Verdana" w:eastAsia="Calibri" w:hAnsi="Verdana" w:cs="Arial"/>
          <w:lang w:val="es-MX" w:eastAsia="es-ES"/>
        </w:rPr>
        <w:t>EICE</w:t>
      </w:r>
      <w:r w:rsidRPr="00A86573">
        <w:rPr>
          <w:rFonts w:ascii="Verdana" w:eastAsia="Calibri" w:hAnsi="Verdana" w:cs="Arial"/>
          <w:lang w:eastAsia="es-ES"/>
        </w:rPr>
        <w:t xml:space="preserve">, pues se trata de un acuerdo entre Entidades Estatales, según la definición que al respecto estableció el artículo 2 de la </w:t>
      </w:r>
      <w:r w:rsidRPr="00A86573">
        <w:rPr>
          <w:rFonts w:ascii="Verdana" w:eastAsia="Calibri" w:hAnsi="Verdana" w:cs="Arial"/>
          <w:lang w:val="es-ES"/>
        </w:rPr>
        <w:t>Ley 80 de 1993, según el cual:</w:t>
      </w:r>
    </w:p>
    <w:p w14:paraId="59DE8A24" w14:textId="77777777" w:rsidR="00FD7032" w:rsidRPr="00A86573" w:rsidRDefault="00FD7032" w:rsidP="00FD7032">
      <w:pPr>
        <w:spacing w:after="0" w:line="276" w:lineRule="auto"/>
        <w:ind w:firstLine="708"/>
        <w:contextualSpacing/>
        <w:jc w:val="both"/>
        <w:rPr>
          <w:rFonts w:ascii="Verdana" w:eastAsia="Calibri" w:hAnsi="Verdana" w:cs="Arial"/>
          <w:lang w:eastAsia="es-ES"/>
        </w:rPr>
      </w:pPr>
    </w:p>
    <w:p w14:paraId="49667991" w14:textId="77777777" w:rsidR="00FD7032" w:rsidRPr="00A86573" w:rsidRDefault="00FD7032" w:rsidP="00FD7032">
      <w:pPr>
        <w:spacing w:after="0" w:line="240" w:lineRule="auto"/>
        <w:ind w:firstLine="708"/>
        <w:contextualSpacing/>
        <w:jc w:val="both"/>
        <w:rPr>
          <w:rFonts w:ascii="Verdana" w:eastAsia="Calibri" w:hAnsi="Verdana" w:cs="Arial"/>
          <w:sz w:val="20"/>
          <w:szCs w:val="20"/>
          <w:lang w:eastAsia="es-ES"/>
        </w:rPr>
      </w:pPr>
      <w:r w:rsidRPr="00A86573">
        <w:rPr>
          <w:rFonts w:ascii="Verdana" w:eastAsia="Calibri" w:hAnsi="Verdana" w:cs="Arial"/>
          <w:sz w:val="20"/>
          <w:szCs w:val="20"/>
          <w:lang w:eastAsia="es-ES"/>
        </w:rPr>
        <w:t>“1o. Se denominan entidades estatales: </w:t>
      </w:r>
    </w:p>
    <w:p w14:paraId="7B529E7E" w14:textId="77777777" w:rsidR="00FD7032" w:rsidRPr="00A86573" w:rsidRDefault="00FD7032" w:rsidP="00FD7032">
      <w:pPr>
        <w:spacing w:after="0" w:line="240" w:lineRule="auto"/>
        <w:ind w:firstLine="708"/>
        <w:contextualSpacing/>
        <w:jc w:val="both"/>
        <w:rPr>
          <w:rFonts w:ascii="Verdana" w:eastAsia="Calibri" w:hAnsi="Verdana" w:cs="Arial"/>
          <w:sz w:val="20"/>
          <w:szCs w:val="20"/>
          <w:lang w:val="es-ES"/>
        </w:rPr>
      </w:pPr>
    </w:p>
    <w:p w14:paraId="2B973A6A" w14:textId="77777777" w:rsidR="00FD7032" w:rsidRPr="00A86573" w:rsidRDefault="00FD7032" w:rsidP="00FD7032">
      <w:pPr>
        <w:spacing w:after="0" w:line="240" w:lineRule="auto"/>
        <w:ind w:left="709" w:right="709"/>
        <w:contextualSpacing/>
        <w:jc w:val="both"/>
        <w:rPr>
          <w:rFonts w:ascii="Verdana" w:eastAsia="Calibri" w:hAnsi="Verdana" w:cs="Arial"/>
          <w:sz w:val="20"/>
          <w:szCs w:val="20"/>
          <w:lang w:eastAsia="es-ES"/>
        </w:rPr>
      </w:pPr>
      <w:r w:rsidRPr="00A86573">
        <w:rPr>
          <w:rFonts w:ascii="Verdana" w:eastAsia="Calibri" w:hAnsi="Verdana" w:cs="Arial"/>
          <w:sz w:val="20"/>
          <w:szCs w:val="20"/>
          <w:lang w:eastAsia="es-ES"/>
        </w:rPr>
        <w:t xml:space="preserve">a) La Nación, las regiones, los departamentos, las provincias, el distrito capital y los distritos especiales, las áreas metropolitanas, las asociaciones de municipios, los territorios indígenas y los municipios; los establecimientos públicos, </w:t>
      </w:r>
      <w:r w:rsidRPr="00A86573">
        <w:rPr>
          <w:rFonts w:ascii="Verdana" w:eastAsia="Calibri" w:hAnsi="Verdana" w:cs="Arial"/>
          <w:i/>
          <w:sz w:val="20"/>
          <w:szCs w:val="20"/>
          <w:u w:val="single"/>
          <w:lang w:eastAsia="es-ES"/>
        </w:rPr>
        <w:t>las empresas industriales y comerciales del Estado</w:t>
      </w:r>
      <w:r w:rsidRPr="00A86573">
        <w:rPr>
          <w:rFonts w:ascii="Verdana" w:eastAsia="Calibri" w:hAnsi="Verdana" w:cs="Arial"/>
          <w:sz w:val="20"/>
          <w:szCs w:val="20"/>
          <w:lang w:eastAsia="es-ES"/>
        </w:rPr>
        <w:t xml:space="preserve">, las sociedades de economía mixta en las que el Estado tenga </w:t>
      </w:r>
      <w:r w:rsidRPr="00A86573">
        <w:rPr>
          <w:rFonts w:ascii="Verdana" w:eastAsia="Calibri" w:hAnsi="Verdana" w:cs="Arial"/>
          <w:sz w:val="20"/>
          <w:szCs w:val="20"/>
          <w:lang w:eastAsia="es-ES"/>
        </w:rPr>
        <w:lastRenderedPageBreak/>
        <w:t>participación superior al cincuenta por ciento (50%), así como las entidades descentralizadas indirectas y las demás personas jurídicas en las que exista dicha participación pública mayoritaria, cualquiera sea la denominación que ellas adopten, en todos los órdenes y niveles”. [Énfasis fuera del texto original]</w:t>
      </w:r>
    </w:p>
    <w:p w14:paraId="63A8CB0C" w14:textId="77777777" w:rsidR="00FD7032" w:rsidRPr="00A86573" w:rsidRDefault="00FD7032" w:rsidP="00FD7032">
      <w:pPr>
        <w:spacing w:after="0" w:line="276" w:lineRule="auto"/>
        <w:ind w:firstLine="709"/>
        <w:jc w:val="both"/>
        <w:rPr>
          <w:rFonts w:ascii="Verdana" w:eastAsia="Calibri" w:hAnsi="Verdana" w:cs="Arial"/>
          <w:bCs/>
          <w:color w:val="000000" w:themeColor="text1"/>
          <w:lang w:eastAsia="es-ES_tradnl" w:bidi="es-ES"/>
        </w:rPr>
      </w:pPr>
    </w:p>
    <w:p w14:paraId="5D8283B1" w14:textId="77777777" w:rsidR="00FD7032" w:rsidRPr="00A86573" w:rsidRDefault="00FD7032" w:rsidP="00FD7032">
      <w:pPr>
        <w:spacing w:after="0" w:line="276" w:lineRule="auto"/>
        <w:ind w:firstLine="709"/>
        <w:jc w:val="both"/>
        <w:rPr>
          <w:rFonts w:ascii="Verdana" w:eastAsia="Calibri" w:hAnsi="Verdana" w:cs="Arial"/>
          <w:bCs/>
          <w:color w:val="000000" w:themeColor="text1"/>
          <w:lang w:eastAsia="es-ES_tradnl" w:bidi="es-ES"/>
        </w:rPr>
      </w:pPr>
      <w:r w:rsidRPr="00A86573">
        <w:rPr>
          <w:rFonts w:ascii="Verdana" w:eastAsia="Calibri" w:hAnsi="Verdana" w:cs="Arial"/>
          <w:bCs/>
          <w:color w:val="000000" w:themeColor="text1"/>
          <w:lang w:eastAsia="es-ES_tradnl" w:bidi="es-ES"/>
        </w:rPr>
        <w:t xml:space="preserve">Ahora bien, es importante aclarar que la doctrina y la jurisprudencia han resaltado las diferencias entre los contratos interadministrativos y los convenios interadministrativos de que trata el artículo 95 de la Ley 489 de 1998.  Al respecto, la Sala de Consulta y Servicio Civil del Consejo de Estado expresó lo siguiente: </w:t>
      </w:r>
    </w:p>
    <w:p w14:paraId="73031290" w14:textId="77777777" w:rsidR="00FD7032" w:rsidRPr="00A86573" w:rsidRDefault="00FD7032" w:rsidP="00FD7032">
      <w:pPr>
        <w:spacing w:after="0" w:line="276" w:lineRule="auto"/>
        <w:ind w:firstLine="708"/>
        <w:jc w:val="both"/>
        <w:rPr>
          <w:rFonts w:ascii="Verdana" w:eastAsia="Calibri" w:hAnsi="Verdana" w:cs="Arial"/>
          <w:bCs/>
          <w:color w:val="000000" w:themeColor="text1"/>
          <w:lang w:eastAsia="es-ES_tradnl" w:bidi="es-ES"/>
        </w:rPr>
      </w:pPr>
    </w:p>
    <w:p w14:paraId="57EC026A" w14:textId="77777777" w:rsidR="00FD7032" w:rsidRPr="00A86573" w:rsidRDefault="00FD7032" w:rsidP="00FD7032">
      <w:pPr>
        <w:spacing w:after="0" w:line="240" w:lineRule="auto"/>
        <w:ind w:left="709" w:right="709"/>
        <w:contextualSpacing/>
        <w:jc w:val="both"/>
        <w:rPr>
          <w:rFonts w:ascii="Verdana" w:eastAsia="Calibri" w:hAnsi="Verdana" w:cs="Arial"/>
          <w:bCs/>
          <w:color w:val="000000" w:themeColor="text1"/>
          <w:sz w:val="20"/>
          <w:szCs w:val="20"/>
          <w:lang w:eastAsia="es-ES_tradnl" w:bidi="es-ES"/>
        </w:rPr>
      </w:pPr>
      <w:r w:rsidRPr="00A86573">
        <w:rPr>
          <w:rFonts w:ascii="Verdana" w:eastAsia="Calibri" w:hAnsi="Verdana" w:cs="Arial"/>
          <w:bCs/>
          <w:color w:val="000000" w:themeColor="text1"/>
          <w:sz w:val="20"/>
          <w:szCs w:val="20"/>
          <w:lang w:eastAsia="es-ES_tradnl" w:bidi="es-ES"/>
        </w:rPr>
        <w:t>“</w:t>
      </w:r>
      <w:r w:rsidRPr="00A86573">
        <w:rPr>
          <w:rFonts w:ascii="Verdana" w:eastAsia="Calibri" w:hAnsi="Verdana" w:cs="Arial"/>
          <w:color w:val="000000" w:themeColor="text1"/>
          <w:sz w:val="20"/>
          <w:szCs w:val="20"/>
          <w:lang w:eastAsia="es-ES_tradnl" w:bidi="es-ES"/>
        </w:rPr>
        <w:t>La noción convenio interadministrativo es diferente a la de contrato interadministrativo. Los contratos interadministrativos se distinguen de los convenios interadministrativos en que en los primeros existe entre las entidades estatales partes intereses opuestos y se persigue una contraprestación o precio por la adquisición de bienes o la prestación de servicios o la realización de una obra, mientras que en los segundos las entidades partes se encuentran en pie de igualdad, tienen intereses comunes para lograr una finalidad estatal impuesta por la Constitución o la ley a las mismas, sin que tengan un interés puramente económico (es decir, destinados a obtener una ganancia)”.</w:t>
      </w:r>
      <w:r w:rsidRPr="00A86573">
        <w:rPr>
          <w:rFonts w:ascii="Verdana" w:eastAsia="Calibri" w:hAnsi="Verdana" w:cs="Arial"/>
          <w:bCs/>
          <w:color w:val="000000" w:themeColor="text1"/>
          <w:sz w:val="20"/>
          <w:szCs w:val="20"/>
          <w:vertAlign w:val="superscript"/>
          <w:lang w:val="es-ES_tradnl" w:eastAsia="es-ES_tradnl" w:bidi="es-ES"/>
        </w:rPr>
        <w:t xml:space="preserve"> </w:t>
      </w:r>
      <w:r w:rsidRPr="00A86573">
        <w:rPr>
          <w:rFonts w:ascii="Verdana" w:eastAsia="Calibri" w:hAnsi="Verdana" w:cs="Arial"/>
          <w:bCs/>
          <w:color w:val="000000" w:themeColor="text1"/>
          <w:sz w:val="20"/>
          <w:szCs w:val="20"/>
          <w:vertAlign w:val="superscript"/>
          <w:lang w:val="es-ES_tradnl" w:eastAsia="es-ES_tradnl" w:bidi="es-ES"/>
        </w:rPr>
        <w:footnoteReference w:id="9"/>
      </w:r>
    </w:p>
    <w:p w14:paraId="14259020" w14:textId="77777777" w:rsidR="00FD7032" w:rsidRPr="00A86573" w:rsidRDefault="00FD7032" w:rsidP="00FD7032">
      <w:pPr>
        <w:spacing w:after="0" w:line="276" w:lineRule="auto"/>
        <w:ind w:firstLine="708"/>
        <w:jc w:val="both"/>
        <w:rPr>
          <w:rFonts w:ascii="Verdana" w:eastAsia="Calibri" w:hAnsi="Verdana" w:cs="Arial"/>
          <w:bCs/>
          <w:color w:val="000000" w:themeColor="text1"/>
          <w:lang w:eastAsia="es-ES_tradnl" w:bidi="es-ES"/>
        </w:rPr>
      </w:pPr>
    </w:p>
    <w:p w14:paraId="0016D985" w14:textId="77777777" w:rsidR="00FD7032" w:rsidRPr="00A86573" w:rsidRDefault="00FD7032" w:rsidP="00FD7032">
      <w:pPr>
        <w:spacing w:after="0" w:line="276" w:lineRule="auto"/>
        <w:ind w:firstLine="709"/>
        <w:jc w:val="both"/>
        <w:rPr>
          <w:rFonts w:ascii="Verdana" w:eastAsia="Calibri" w:hAnsi="Verdana" w:cs="Arial"/>
          <w:bCs/>
          <w:color w:val="000000" w:themeColor="text1"/>
          <w:lang w:eastAsia="es-ES_tradnl" w:bidi="es-ES"/>
        </w:rPr>
      </w:pPr>
      <w:r w:rsidRPr="00A86573">
        <w:rPr>
          <w:rFonts w:ascii="Verdana" w:eastAsia="Calibri" w:hAnsi="Verdana" w:cs="Arial"/>
          <w:bCs/>
          <w:color w:val="000000" w:themeColor="text1"/>
          <w:lang w:eastAsia="es-ES_tradnl" w:bidi="es-ES"/>
        </w:rPr>
        <w:t>En línea con lo anterior, la Sala Contenciosa Administrativa del Consejo de Estado en sentencia del 14 de junio de 2019 también señaló:</w:t>
      </w:r>
    </w:p>
    <w:p w14:paraId="07A37825" w14:textId="77777777" w:rsidR="00FD7032" w:rsidRPr="00A86573" w:rsidRDefault="00FD7032" w:rsidP="00FD7032">
      <w:pPr>
        <w:spacing w:after="0" w:line="276" w:lineRule="auto"/>
        <w:rPr>
          <w:rFonts w:ascii="Verdana" w:eastAsia="Calibri" w:hAnsi="Verdana" w:cs="Arial"/>
          <w:bCs/>
          <w:color w:val="000000" w:themeColor="text1"/>
          <w:lang w:eastAsia="es-ES_tradnl" w:bidi="es-ES"/>
        </w:rPr>
      </w:pPr>
    </w:p>
    <w:p w14:paraId="2544D918" w14:textId="77777777" w:rsidR="00FD7032" w:rsidRPr="00A86573" w:rsidRDefault="00FD7032" w:rsidP="00FD7032">
      <w:pPr>
        <w:spacing w:after="0" w:line="240" w:lineRule="auto"/>
        <w:ind w:left="709" w:right="709"/>
        <w:contextualSpacing/>
        <w:jc w:val="both"/>
        <w:rPr>
          <w:rFonts w:ascii="Verdana" w:eastAsia="Calibri" w:hAnsi="Verdana" w:cs="Arial"/>
          <w:color w:val="000000" w:themeColor="text1"/>
          <w:sz w:val="20"/>
          <w:szCs w:val="20"/>
          <w:lang w:val="es-ES_tradnl" w:eastAsia="es-ES_tradnl" w:bidi="es-ES"/>
        </w:rPr>
      </w:pPr>
      <w:r w:rsidRPr="00A86573">
        <w:rPr>
          <w:rFonts w:ascii="Verdana" w:eastAsia="Calibri" w:hAnsi="Verdana" w:cs="Arial"/>
          <w:color w:val="000000" w:themeColor="text1"/>
          <w:sz w:val="20"/>
          <w:szCs w:val="20"/>
          <w:lang w:val="es-ES_tradnl" w:eastAsia="es-ES_tradnl" w:bidi="es-ES"/>
        </w:rPr>
        <w:t>“La Sala de Consulta y Servicio Civil</w:t>
      </w:r>
      <w:r w:rsidRPr="00A86573">
        <w:rPr>
          <w:rFonts w:ascii="Verdana" w:eastAsia="Calibri" w:hAnsi="Verdana" w:cs="Arial"/>
          <w:color w:val="000000" w:themeColor="text1"/>
          <w:sz w:val="20"/>
          <w:szCs w:val="20"/>
          <w:vertAlign w:val="superscript"/>
          <w:lang w:val="es-ES_tradnl" w:eastAsia="es-ES_tradnl" w:bidi="es-ES"/>
        </w:rPr>
        <w:footnoteReference w:id="10"/>
      </w:r>
      <w:r w:rsidRPr="00A86573">
        <w:rPr>
          <w:rFonts w:ascii="Verdana" w:eastAsia="Calibri" w:hAnsi="Verdana" w:cs="Arial"/>
          <w:color w:val="000000" w:themeColor="text1"/>
          <w:sz w:val="20"/>
          <w:szCs w:val="20"/>
          <w:lang w:val="es-ES_tradnl" w:eastAsia="es-ES_tradnl" w:bidi="es-ES"/>
        </w:rPr>
        <w:t xml:space="preserve"> de esta Corporación se ha referido a los </w:t>
      </w:r>
      <w:r w:rsidRPr="00A86573">
        <w:rPr>
          <w:rFonts w:ascii="Verdana" w:eastAsia="Calibri" w:hAnsi="Verdana" w:cs="Arial"/>
          <w:i/>
          <w:color w:val="000000" w:themeColor="text1"/>
          <w:sz w:val="20"/>
          <w:szCs w:val="20"/>
          <w:lang w:val="es-ES_tradnl" w:eastAsia="es-ES_tradnl" w:bidi="es-ES"/>
        </w:rPr>
        <w:t>“convenios interadministrativos”</w:t>
      </w:r>
      <w:r w:rsidRPr="00A86573">
        <w:rPr>
          <w:rFonts w:ascii="Verdana" w:eastAsia="Calibri" w:hAnsi="Verdana" w:cs="Arial"/>
          <w:color w:val="000000" w:themeColor="text1"/>
          <w:sz w:val="20"/>
          <w:szCs w:val="20"/>
          <w:lang w:val="es-ES_tradnl" w:eastAsia="es-ES_tradnl" w:bidi="es-ES"/>
        </w:rPr>
        <w:t xml:space="preserve"> a los cuales alude el artículo 95 de la Ley 489 de 1998, calificándolos de </w:t>
      </w:r>
      <w:r w:rsidRPr="00A86573">
        <w:rPr>
          <w:rFonts w:ascii="Verdana" w:eastAsia="Calibri" w:hAnsi="Verdana" w:cs="Arial"/>
          <w:i/>
          <w:color w:val="000000" w:themeColor="text1"/>
          <w:sz w:val="20"/>
          <w:szCs w:val="20"/>
          <w:lang w:val="es-ES_tradnl" w:eastAsia="es-ES_tradnl" w:bidi="es-ES"/>
        </w:rPr>
        <w:t xml:space="preserve">“puros” </w:t>
      </w:r>
      <w:r w:rsidRPr="00A86573">
        <w:rPr>
          <w:rFonts w:ascii="Verdana" w:eastAsia="Calibri" w:hAnsi="Verdana" w:cs="Arial"/>
          <w:color w:val="000000" w:themeColor="text1"/>
          <w:sz w:val="20"/>
          <w:szCs w:val="20"/>
          <w:lang w:val="es-ES_tradnl" w:eastAsia="es-ES_tradnl" w:bidi="es-ES"/>
        </w:rPr>
        <w:t xml:space="preserve">y entendiendo que estos, además de perseguir la finalidad de cooperación antes indicada, no implican intereses contrapuestos ni tampoco se circunscriben a un </w:t>
      </w:r>
      <w:r w:rsidRPr="00A86573">
        <w:rPr>
          <w:rFonts w:ascii="Verdana" w:eastAsia="Calibri" w:hAnsi="Verdana" w:cs="Arial"/>
          <w:i/>
          <w:color w:val="000000" w:themeColor="text1"/>
          <w:sz w:val="20"/>
          <w:szCs w:val="20"/>
          <w:lang w:val="es-ES_tradnl" w:eastAsia="es-ES_tradnl" w:bidi="es-ES"/>
        </w:rPr>
        <w:t>“intercambio patrimonial”</w:t>
      </w:r>
      <w:r w:rsidRPr="00A86573">
        <w:rPr>
          <w:rFonts w:ascii="Verdana" w:eastAsia="Calibri" w:hAnsi="Verdana" w:cs="Arial"/>
          <w:color w:val="000000" w:themeColor="text1"/>
          <w:sz w:val="20"/>
          <w:szCs w:val="20"/>
          <w:lang w:val="es-ES_tradnl" w:eastAsia="es-ES_tradnl" w:bidi="es-ES"/>
        </w:rPr>
        <w:t>. Sin perjuicio de lo anterior, en otra oportunidad, la misma Sala</w:t>
      </w:r>
      <w:r w:rsidRPr="00A86573">
        <w:rPr>
          <w:rFonts w:ascii="Verdana" w:eastAsia="Calibri" w:hAnsi="Verdana" w:cs="Arial"/>
          <w:color w:val="000000" w:themeColor="text1"/>
          <w:sz w:val="20"/>
          <w:szCs w:val="20"/>
          <w:vertAlign w:val="superscript"/>
          <w:lang w:val="es-ES_tradnl" w:eastAsia="es-ES_tradnl" w:bidi="es-ES"/>
        </w:rPr>
        <w:footnoteReference w:id="11"/>
      </w:r>
      <w:r w:rsidRPr="00A86573">
        <w:rPr>
          <w:rFonts w:ascii="Verdana" w:eastAsia="Calibri" w:hAnsi="Verdana" w:cs="Arial"/>
          <w:color w:val="000000" w:themeColor="text1"/>
          <w:sz w:val="20"/>
          <w:szCs w:val="20"/>
          <w:lang w:val="es-ES_tradnl" w:eastAsia="es-ES_tradnl" w:bidi="es-ES"/>
        </w:rPr>
        <w:t xml:space="preserve"> había indicado que, si bien en dichos </w:t>
      </w:r>
      <w:r w:rsidRPr="00A86573">
        <w:rPr>
          <w:rFonts w:ascii="Verdana" w:eastAsia="Calibri" w:hAnsi="Verdana" w:cs="Arial"/>
          <w:color w:val="000000" w:themeColor="text1"/>
          <w:sz w:val="20"/>
          <w:szCs w:val="20"/>
          <w:lang w:val="es-ES_tradnl" w:eastAsia="es-ES_tradnl" w:bidi="es-ES"/>
        </w:rPr>
        <w:lastRenderedPageBreak/>
        <w:t xml:space="preserve">convenios no se daba un </w:t>
      </w:r>
      <w:r w:rsidRPr="00A86573">
        <w:rPr>
          <w:rFonts w:ascii="Verdana" w:eastAsia="Calibri" w:hAnsi="Verdana" w:cs="Arial"/>
          <w:i/>
          <w:color w:val="000000" w:themeColor="text1"/>
          <w:sz w:val="20"/>
          <w:szCs w:val="20"/>
          <w:lang w:val="es-ES_tradnl" w:eastAsia="es-ES_tradnl" w:bidi="es-ES"/>
        </w:rPr>
        <w:t>“verdadero intercambio de bienes o servicios (contrato conmutativo)”</w:t>
      </w:r>
      <w:r w:rsidRPr="00A86573">
        <w:rPr>
          <w:rFonts w:ascii="Verdana" w:eastAsia="Calibri" w:hAnsi="Verdana" w:cs="Arial"/>
          <w:color w:val="000000" w:themeColor="text1"/>
          <w:sz w:val="20"/>
          <w:szCs w:val="20"/>
          <w:lang w:val="es-ES_tradnl" w:eastAsia="es-ES_tradnl" w:bidi="es-ES"/>
        </w:rPr>
        <w:t>, ello no impedía que se conviniera una remuneración a cargo de alguna(s) entidad(es).</w:t>
      </w:r>
    </w:p>
    <w:p w14:paraId="5D4930F2" w14:textId="77777777" w:rsidR="00FD7032" w:rsidRPr="00A86573" w:rsidRDefault="00FD7032" w:rsidP="00FD7032">
      <w:pPr>
        <w:spacing w:after="0" w:line="240" w:lineRule="auto"/>
        <w:ind w:left="709" w:right="709"/>
        <w:contextualSpacing/>
        <w:jc w:val="both"/>
        <w:rPr>
          <w:rFonts w:ascii="Verdana" w:eastAsia="Calibri" w:hAnsi="Verdana" w:cs="Arial"/>
          <w:bCs/>
          <w:color w:val="000000" w:themeColor="text1"/>
          <w:sz w:val="20"/>
          <w:szCs w:val="20"/>
          <w:lang w:val="es-ES_tradnl" w:eastAsia="es-ES_tradnl" w:bidi="es-ES"/>
        </w:rPr>
      </w:pPr>
    </w:p>
    <w:p w14:paraId="5BE7A9A0" w14:textId="77777777" w:rsidR="00FD7032" w:rsidRPr="00A86573" w:rsidRDefault="00FD7032" w:rsidP="00FD7032">
      <w:pPr>
        <w:spacing w:after="0" w:line="240" w:lineRule="auto"/>
        <w:ind w:left="709" w:right="709"/>
        <w:contextualSpacing/>
        <w:jc w:val="both"/>
        <w:rPr>
          <w:rFonts w:ascii="Verdana" w:eastAsia="Calibri" w:hAnsi="Verdana" w:cs="Arial"/>
          <w:color w:val="000000" w:themeColor="text1"/>
          <w:sz w:val="20"/>
          <w:szCs w:val="20"/>
          <w:lang w:val="es-ES_tradnl" w:eastAsia="es-ES_tradnl" w:bidi="es-ES"/>
        </w:rPr>
      </w:pPr>
      <w:r w:rsidRPr="00A86573">
        <w:rPr>
          <w:rFonts w:ascii="Verdana" w:eastAsia="Calibri" w:hAnsi="Verdana" w:cs="Arial"/>
          <w:color w:val="000000" w:themeColor="text1"/>
          <w:sz w:val="20"/>
          <w:szCs w:val="20"/>
          <w:lang w:val="es-ES_tradnl" w:eastAsia="es-ES_tradnl" w:bidi="es-ES"/>
        </w:rPr>
        <w:t xml:space="preserve">Lo expuesto evidencia que, en general, las interpretaciones en torno a los </w:t>
      </w:r>
      <w:r w:rsidRPr="00A86573">
        <w:rPr>
          <w:rFonts w:ascii="Verdana" w:eastAsia="Calibri" w:hAnsi="Verdana" w:cs="Arial"/>
          <w:i/>
          <w:color w:val="000000" w:themeColor="text1"/>
          <w:sz w:val="20"/>
          <w:szCs w:val="20"/>
          <w:lang w:val="es-ES_tradnl" w:eastAsia="es-ES_tradnl" w:bidi="es-ES"/>
        </w:rPr>
        <w:t>“convenios interadministrativos”</w:t>
      </w:r>
      <w:r w:rsidRPr="00A86573">
        <w:rPr>
          <w:rFonts w:ascii="Verdana" w:eastAsia="Calibri" w:hAnsi="Verdana" w:cs="Arial"/>
          <w:color w:val="000000" w:themeColor="text1"/>
          <w:sz w:val="20"/>
          <w:szCs w:val="20"/>
          <w:lang w:val="es-ES_tradnl" w:eastAsia="es-ES_tradnl" w:bidi="es-ES"/>
        </w:rPr>
        <w:t xml:space="preserve"> previstos en el artículo 95 de la Ley 489 de 1998, en el propósito de encasillarlos dentro de una categoría normativa delimitada en su estructura, elementos y régimen jurídico, han sido dubitativas al vincular o no las obligaciones propias de dichos convenios con las de los contratos estatales sometidos al EGCAP, las cuales tienen por objeto prestaciones patrimoniales”</w:t>
      </w:r>
      <w:r w:rsidRPr="00A86573">
        <w:rPr>
          <w:rFonts w:ascii="Verdana" w:eastAsia="Calibri" w:hAnsi="Verdana" w:cs="Arial"/>
          <w:color w:val="000000" w:themeColor="text1"/>
          <w:sz w:val="20"/>
          <w:szCs w:val="20"/>
          <w:vertAlign w:val="superscript"/>
          <w:lang w:val="es-ES_tradnl" w:eastAsia="es-ES_tradnl" w:bidi="es-ES"/>
        </w:rPr>
        <w:footnoteReference w:id="12"/>
      </w:r>
      <w:r w:rsidRPr="00A86573">
        <w:rPr>
          <w:rFonts w:ascii="Verdana" w:eastAsia="Calibri" w:hAnsi="Verdana" w:cs="Arial"/>
          <w:color w:val="000000" w:themeColor="text1"/>
          <w:sz w:val="20"/>
          <w:szCs w:val="20"/>
          <w:lang w:val="es-ES_tradnl" w:eastAsia="es-ES_tradnl" w:bidi="es-ES"/>
        </w:rPr>
        <w:t>.</w:t>
      </w:r>
      <w:r w:rsidRPr="00A86573">
        <w:rPr>
          <w:rStyle w:val="FootnoteReference"/>
          <w:rFonts w:ascii="Verdana" w:eastAsia="Calibri" w:hAnsi="Verdana" w:cs="Arial"/>
          <w:color w:val="000000" w:themeColor="text1"/>
          <w:sz w:val="20"/>
          <w:szCs w:val="20"/>
          <w:lang w:eastAsia="es-ES_tradnl" w:bidi="es-ES"/>
        </w:rPr>
        <w:footnoteReference w:id="13"/>
      </w:r>
      <w:r w:rsidRPr="00A86573">
        <w:rPr>
          <w:rFonts w:ascii="Verdana" w:eastAsia="Calibri" w:hAnsi="Verdana" w:cs="Arial"/>
          <w:color w:val="000000" w:themeColor="text1"/>
          <w:sz w:val="20"/>
          <w:szCs w:val="20"/>
          <w:lang w:val="es-ES_tradnl" w:eastAsia="es-ES_tradnl" w:bidi="es-ES"/>
        </w:rPr>
        <w:t xml:space="preserve"> </w:t>
      </w:r>
    </w:p>
    <w:p w14:paraId="616346AD" w14:textId="77777777" w:rsidR="00FD7032" w:rsidRPr="00A86573" w:rsidRDefault="00FD7032" w:rsidP="00FD7032">
      <w:pPr>
        <w:spacing w:after="0" w:line="276" w:lineRule="auto"/>
        <w:ind w:left="709" w:right="709"/>
        <w:contextualSpacing/>
        <w:jc w:val="both"/>
        <w:rPr>
          <w:rFonts w:ascii="Verdana" w:eastAsia="Calibri" w:hAnsi="Verdana" w:cs="Arial"/>
          <w:bCs/>
          <w:color w:val="000000" w:themeColor="text1"/>
          <w:lang w:val="es-ES_tradnl" w:eastAsia="es-ES_tradnl" w:bidi="es-ES"/>
        </w:rPr>
      </w:pPr>
    </w:p>
    <w:p w14:paraId="389B35BD" w14:textId="77777777" w:rsidR="00FD7032" w:rsidRPr="00A86573" w:rsidRDefault="00FD7032" w:rsidP="00FD7032">
      <w:pPr>
        <w:spacing w:after="120" w:line="276" w:lineRule="auto"/>
        <w:ind w:firstLine="709"/>
        <w:jc w:val="both"/>
        <w:rPr>
          <w:rFonts w:ascii="Verdana" w:eastAsia="Calibri" w:hAnsi="Verdana" w:cs="Arial"/>
          <w:bCs/>
          <w:color w:val="000000" w:themeColor="text1"/>
          <w:lang w:eastAsia="es-ES_tradnl" w:bidi="es-ES"/>
        </w:rPr>
      </w:pPr>
      <w:r w:rsidRPr="00A86573">
        <w:rPr>
          <w:rFonts w:ascii="Verdana" w:eastAsia="Calibri" w:hAnsi="Verdana" w:cs="Arial"/>
          <w:bCs/>
          <w:color w:val="000000" w:themeColor="text1"/>
          <w:lang w:eastAsia="es-ES_tradnl" w:bidi="es-ES"/>
        </w:rPr>
        <w:t xml:space="preserve">La referida corporación judicial resaltó la finalidad del acuerdo de voluntades como un factor de diferenciación entre las dos figuras. Si bien estas tienen un tronco común, se diferencian en la medida en que los </w:t>
      </w:r>
      <w:r w:rsidRPr="00A86573">
        <w:rPr>
          <w:rFonts w:ascii="Verdana" w:eastAsia="Calibri" w:hAnsi="Verdana" w:cs="Arial"/>
          <w:bCs/>
          <w:i/>
          <w:iCs/>
          <w:color w:val="000000" w:themeColor="text1"/>
          <w:lang w:eastAsia="es-ES_tradnl" w:bidi="es-ES"/>
        </w:rPr>
        <w:t>contratos interadministrativos</w:t>
      </w:r>
      <w:r w:rsidRPr="00A86573">
        <w:rPr>
          <w:rFonts w:ascii="Verdana" w:eastAsia="Calibri" w:hAnsi="Verdana" w:cs="Arial"/>
          <w:bCs/>
          <w:color w:val="000000" w:themeColor="text1"/>
          <w:lang w:eastAsia="es-ES_tradnl" w:bidi="es-ES"/>
        </w:rPr>
        <w:t xml:space="preserve"> comportan obligaciones de contenido patrimonial que se traducen en intereses contrapuestos entre las partes, pues implican un gravamen a cambio de un beneficio en una relación de carácter conmutativo. En contraste, los </w:t>
      </w:r>
      <w:r w:rsidRPr="00A86573">
        <w:rPr>
          <w:rFonts w:ascii="Verdana" w:eastAsia="Calibri" w:hAnsi="Verdana" w:cs="Arial"/>
          <w:bCs/>
          <w:i/>
          <w:iCs/>
          <w:color w:val="000000" w:themeColor="text1"/>
          <w:lang w:eastAsia="es-ES_tradnl" w:bidi="es-ES"/>
        </w:rPr>
        <w:t>convenios interadministrativos</w:t>
      </w:r>
      <w:r w:rsidRPr="00A86573">
        <w:rPr>
          <w:rFonts w:ascii="Verdana" w:eastAsia="Calibri" w:hAnsi="Verdana" w:cs="Arial"/>
          <w:bCs/>
          <w:color w:val="000000" w:themeColor="text1"/>
          <w:lang w:eastAsia="es-ES_tradnl" w:bidi="es-ES"/>
        </w:rPr>
        <w:t xml:space="preserve"> involucran la ejecución de actividades en función de un interés común para las partes; si bien es posible pactar remuneración</w:t>
      </w:r>
      <w:r w:rsidRPr="00A86573">
        <w:rPr>
          <w:rStyle w:val="FootnoteReference"/>
          <w:rFonts w:ascii="Verdana" w:eastAsia="Calibri" w:hAnsi="Verdana" w:cs="Arial"/>
          <w:bCs/>
          <w:color w:val="000000" w:themeColor="text1"/>
          <w:lang w:eastAsia="es-ES_tradnl" w:bidi="es-ES"/>
        </w:rPr>
        <w:footnoteReference w:id="14"/>
      </w:r>
      <w:r w:rsidRPr="00A86573">
        <w:rPr>
          <w:rFonts w:ascii="Verdana" w:eastAsia="Calibri" w:hAnsi="Verdana" w:cs="Arial"/>
          <w:bCs/>
          <w:color w:val="000000" w:themeColor="text1"/>
          <w:lang w:eastAsia="es-ES_tradnl" w:bidi="es-ES"/>
        </w:rPr>
        <w:t xml:space="preserve">, con esta se pretende el cumplimiento de fines comunes entre quienes lo ejecutan. </w:t>
      </w:r>
    </w:p>
    <w:p w14:paraId="356953CD" w14:textId="77777777" w:rsidR="00FD7032" w:rsidRPr="00A86573" w:rsidRDefault="00FD7032" w:rsidP="00FD7032">
      <w:pPr>
        <w:spacing w:after="120" w:line="276" w:lineRule="auto"/>
        <w:ind w:firstLine="709"/>
        <w:jc w:val="both"/>
        <w:rPr>
          <w:rFonts w:ascii="Verdana" w:eastAsia="Calibri" w:hAnsi="Verdana" w:cs="Arial"/>
          <w:bCs/>
          <w:color w:val="000000" w:themeColor="text1"/>
          <w:lang w:eastAsia="es-ES_tradnl" w:bidi="es-ES"/>
        </w:rPr>
      </w:pPr>
      <w:r w:rsidRPr="00A86573">
        <w:rPr>
          <w:rFonts w:ascii="Verdana" w:eastAsia="Calibri" w:hAnsi="Verdana" w:cs="Arial"/>
          <w:bCs/>
          <w:color w:val="000000" w:themeColor="text1"/>
          <w:lang w:eastAsia="es-ES_tradnl" w:bidi="es-ES"/>
        </w:rPr>
        <w:lastRenderedPageBreak/>
        <w:t xml:space="preserve">En esa línea, una interpretación sistemática de las Leyes 80 de 1993, 1150 de 2007 y 1474 de 2011 permite considerar el </w:t>
      </w:r>
      <w:r w:rsidRPr="00A86573">
        <w:rPr>
          <w:rFonts w:ascii="Verdana" w:eastAsia="Calibri" w:hAnsi="Verdana" w:cs="Arial"/>
          <w:bCs/>
          <w:i/>
          <w:iCs/>
          <w:color w:val="000000" w:themeColor="text1"/>
          <w:lang w:eastAsia="es-ES_tradnl" w:bidi="es-ES"/>
        </w:rPr>
        <w:t>contrato interadministrativo</w:t>
      </w:r>
      <w:r w:rsidRPr="00A86573">
        <w:rPr>
          <w:rFonts w:ascii="Verdana" w:eastAsia="Calibri" w:hAnsi="Verdana" w:cs="Arial"/>
          <w:bCs/>
          <w:color w:val="000000" w:themeColor="text1"/>
          <w:lang w:eastAsia="es-ES_tradnl" w:bidi="es-ES"/>
        </w:rPr>
        <w:t xml:space="preserve"> como una relación jurídica patrimonial, onerosa y conmutativa, cuya naturaleza y esencia es distinta a la de los convenios interadministrativos. De esta forma, el </w:t>
      </w:r>
      <w:r w:rsidRPr="00A86573">
        <w:rPr>
          <w:rFonts w:ascii="Verdana" w:eastAsia="Calibri" w:hAnsi="Verdana" w:cs="Arial"/>
          <w:bCs/>
          <w:i/>
          <w:iCs/>
          <w:color w:val="000000" w:themeColor="text1"/>
          <w:lang w:eastAsia="es-ES_tradnl" w:bidi="es-ES"/>
        </w:rPr>
        <w:t>convenio interadministrativo</w:t>
      </w:r>
      <w:r w:rsidRPr="00A86573">
        <w:rPr>
          <w:rFonts w:ascii="Verdana" w:eastAsia="Calibri" w:hAnsi="Verdana" w:cs="Arial"/>
          <w:bCs/>
          <w:color w:val="000000" w:themeColor="text1"/>
          <w:lang w:eastAsia="es-ES_tradnl" w:bidi="es-ES"/>
        </w:rPr>
        <w:t xml:space="preserve"> es un negocio jurídico entre Entidades Públicas y cuyo objeto es coordinar, cooperar, colaborar o distribuir competencias en la realización de funciones administrativas de interés común y, por tanto, tienen intereses convergentes o coincidentes, sin que se reciba por alguna de ellas el pago de un precio o contraprestación. Por su parte, el </w:t>
      </w:r>
      <w:r w:rsidRPr="00A86573">
        <w:rPr>
          <w:rFonts w:ascii="Verdana" w:eastAsia="Calibri" w:hAnsi="Verdana" w:cs="Arial"/>
          <w:bCs/>
          <w:i/>
          <w:iCs/>
          <w:color w:val="000000" w:themeColor="text1"/>
          <w:lang w:eastAsia="es-ES_tradnl" w:bidi="es-ES"/>
        </w:rPr>
        <w:t>contrato interadministrativo</w:t>
      </w:r>
      <w:r w:rsidRPr="00A86573">
        <w:rPr>
          <w:rFonts w:ascii="Verdana" w:eastAsia="Calibri" w:hAnsi="Verdana" w:cs="Arial"/>
          <w:bCs/>
          <w:color w:val="000000" w:themeColor="text1"/>
          <w:lang w:eastAsia="es-ES_tradnl" w:bidi="es-ES"/>
        </w:rPr>
        <w:t xml:space="preserve">, aunque también es celebrado entre Entidades Públicas, es un negocio jurídico generador de obligaciones al cual las partes acuden con intereses divergentes, y en el que existe una contraprestación directa a favor de la entidad contratista que ha entregado el bien, prestado el servicio o realizado la obra a favor de la entidad contratante. </w:t>
      </w:r>
    </w:p>
    <w:p w14:paraId="24C0A588" w14:textId="77777777" w:rsidR="00FD7032" w:rsidRPr="00A86573" w:rsidRDefault="00FD7032" w:rsidP="00FD7032">
      <w:pPr>
        <w:spacing w:after="0" w:line="276" w:lineRule="auto"/>
        <w:ind w:firstLine="709"/>
        <w:contextualSpacing/>
        <w:jc w:val="both"/>
        <w:rPr>
          <w:rFonts w:ascii="Verdana" w:eastAsia="Calibri" w:hAnsi="Verdana" w:cs="Arial"/>
          <w:color w:val="000000" w:themeColor="text1"/>
        </w:rPr>
      </w:pPr>
      <w:r w:rsidRPr="00A86573">
        <w:rPr>
          <w:rFonts w:ascii="Verdana" w:eastAsia="Calibri" w:hAnsi="Verdana" w:cs="Arial"/>
          <w:bCs/>
          <w:color w:val="000000" w:themeColor="text1"/>
          <w:lang w:eastAsia="es-ES_tradnl" w:bidi="es-ES"/>
        </w:rPr>
        <w:t xml:space="preserve">Aclarado lo anterior, en </w:t>
      </w:r>
      <w:r w:rsidRPr="00A86573">
        <w:rPr>
          <w:rFonts w:ascii="Verdana" w:eastAsia="Calibri" w:hAnsi="Verdana" w:cs="Arial"/>
          <w:color w:val="000000" w:themeColor="text1"/>
        </w:rPr>
        <w:t>relación con la modalidad de selección, la Ley 1150 de 2007 establece que las Entidades Estatales pueden suscribir contratos interadministrativos de manera directa, siempre que las obligaciones derivadas de los mismos tengan relación con el objeto de la entidad ejecutora. Al respecto, el literal c) del numeral 4 del artículo 2 de la mencionada Ley, modificado por el artículo 92 de la Ley 1474 de 2011, estableció lo siguiente:</w:t>
      </w:r>
    </w:p>
    <w:p w14:paraId="0D9B25E1" w14:textId="77777777" w:rsidR="00FD7032" w:rsidRPr="00A86573" w:rsidRDefault="00FD7032" w:rsidP="00FD7032">
      <w:pPr>
        <w:spacing w:after="0" w:line="276" w:lineRule="auto"/>
        <w:ind w:firstLine="709"/>
        <w:contextualSpacing/>
        <w:jc w:val="both"/>
        <w:rPr>
          <w:rFonts w:ascii="Verdana" w:eastAsia="Calibri" w:hAnsi="Verdana" w:cs="Arial"/>
          <w:color w:val="000000" w:themeColor="text1"/>
        </w:rPr>
      </w:pPr>
    </w:p>
    <w:p w14:paraId="1408E98E" w14:textId="77777777" w:rsidR="00FD7032" w:rsidRPr="00A86573" w:rsidRDefault="00FD7032" w:rsidP="00FD7032">
      <w:pPr>
        <w:pStyle w:val="NormalWeb"/>
        <w:spacing w:before="0" w:beforeAutospacing="0" w:after="0" w:afterAutospacing="0"/>
        <w:ind w:left="709" w:right="709"/>
        <w:contextualSpacing/>
        <w:jc w:val="both"/>
        <w:rPr>
          <w:rFonts w:ascii="Verdana" w:hAnsi="Verdana" w:cs="Arial"/>
          <w:sz w:val="20"/>
          <w:szCs w:val="20"/>
        </w:rPr>
      </w:pPr>
      <w:r w:rsidRPr="00A86573">
        <w:rPr>
          <w:rFonts w:ascii="Verdana" w:hAnsi="Verdana" w:cs="Arial"/>
          <w:sz w:val="20"/>
          <w:szCs w:val="20"/>
        </w:rPr>
        <w:t xml:space="preserve">“Artículo 92. Contratos interadministrativos. Modificase el inciso primero del literal c) del numeral 4 del artículo </w:t>
      </w:r>
      <w:hyperlink r:id="rId11" w:anchor="2" w:history="1">
        <w:r w:rsidRPr="00A86573">
          <w:rPr>
            <w:rStyle w:val="Hyperlink"/>
            <w:rFonts w:ascii="Verdana" w:eastAsiaTheme="majorEastAsia" w:hAnsi="Verdana" w:cs="Arial"/>
            <w:color w:val="auto"/>
            <w:sz w:val="20"/>
            <w:szCs w:val="20"/>
            <w:u w:val="none"/>
          </w:rPr>
          <w:t>2</w:t>
        </w:r>
      </w:hyperlink>
      <w:r w:rsidRPr="00A86573">
        <w:rPr>
          <w:rFonts w:ascii="Verdana" w:hAnsi="Verdana" w:cs="Arial"/>
          <w:sz w:val="20"/>
          <w:szCs w:val="20"/>
        </w:rPr>
        <w:t>o de la Ley 1150 de 2007, el cual quedará así:</w:t>
      </w:r>
    </w:p>
    <w:p w14:paraId="34F4A4A2" w14:textId="77777777" w:rsidR="00FD7032" w:rsidRPr="00A86573" w:rsidRDefault="00FD7032" w:rsidP="00FD7032">
      <w:pPr>
        <w:pStyle w:val="NormalWeb"/>
        <w:spacing w:before="0" w:beforeAutospacing="0" w:after="0" w:afterAutospacing="0"/>
        <w:ind w:left="709" w:right="709"/>
        <w:contextualSpacing/>
        <w:jc w:val="both"/>
        <w:rPr>
          <w:rFonts w:ascii="Verdana" w:hAnsi="Verdana" w:cs="Arial"/>
          <w:sz w:val="20"/>
          <w:szCs w:val="20"/>
        </w:rPr>
      </w:pPr>
    </w:p>
    <w:p w14:paraId="285CAF99" w14:textId="77777777" w:rsidR="00FD7032" w:rsidRPr="00A86573" w:rsidRDefault="00FD7032" w:rsidP="00FD7032">
      <w:pPr>
        <w:pStyle w:val="NormalWeb"/>
        <w:spacing w:before="0" w:beforeAutospacing="0" w:after="0" w:afterAutospacing="0"/>
        <w:ind w:left="709" w:right="709"/>
        <w:contextualSpacing/>
        <w:jc w:val="both"/>
        <w:rPr>
          <w:rFonts w:ascii="Verdana" w:hAnsi="Verdana" w:cs="Arial"/>
          <w:sz w:val="20"/>
          <w:szCs w:val="20"/>
        </w:rPr>
      </w:pPr>
      <w:r w:rsidRPr="00A86573">
        <w:rPr>
          <w:rFonts w:ascii="Verdana" w:hAnsi="Verdana" w:cs="Arial"/>
          <w:sz w:val="20"/>
          <w:szCs w:val="20"/>
        </w:rPr>
        <w:t>c) Contratos interadministrativos, siempre que las obligaciones derivadas del mismo tengan relación directa con el objeto de la entidad ejecutora señalado en la ley o en sus reglamentos.</w:t>
      </w:r>
    </w:p>
    <w:p w14:paraId="06C944C5" w14:textId="77777777" w:rsidR="00FD7032" w:rsidRPr="00A86573" w:rsidRDefault="00FD7032" w:rsidP="00FD7032">
      <w:pPr>
        <w:pStyle w:val="NormalWeb"/>
        <w:spacing w:before="0" w:beforeAutospacing="0" w:after="0" w:afterAutospacing="0"/>
        <w:ind w:left="709" w:right="709"/>
        <w:contextualSpacing/>
        <w:jc w:val="both"/>
        <w:rPr>
          <w:rFonts w:ascii="Verdana" w:hAnsi="Verdana" w:cs="Arial"/>
          <w:sz w:val="20"/>
          <w:szCs w:val="20"/>
        </w:rPr>
      </w:pPr>
    </w:p>
    <w:p w14:paraId="725FF847" w14:textId="77777777" w:rsidR="00FD7032" w:rsidRPr="00A86573" w:rsidRDefault="00FD7032" w:rsidP="00FD7032">
      <w:pPr>
        <w:pStyle w:val="NormalWeb"/>
        <w:spacing w:before="0" w:beforeAutospacing="0" w:after="0" w:afterAutospacing="0"/>
        <w:ind w:left="709" w:right="709"/>
        <w:contextualSpacing/>
        <w:jc w:val="both"/>
        <w:rPr>
          <w:rFonts w:ascii="Verdana" w:hAnsi="Verdana" w:cs="Arial"/>
          <w:sz w:val="20"/>
          <w:szCs w:val="20"/>
        </w:rPr>
      </w:pPr>
      <w:r w:rsidRPr="00A86573">
        <w:rPr>
          <w:rFonts w:ascii="Verdana" w:hAnsi="Verdana" w:cs="Arial"/>
          <w:sz w:val="20"/>
          <w:szCs w:val="20"/>
        </w:rPr>
        <w:t>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14:paraId="2701D231" w14:textId="77777777" w:rsidR="008E15E8" w:rsidRPr="00A86573" w:rsidRDefault="008E15E8" w:rsidP="00FD7032">
      <w:pPr>
        <w:pStyle w:val="NormalWeb"/>
        <w:spacing w:before="0" w:beforeAutospacing="0" w:after="0" w:afterAutospacing="0"/>
        <w:ind w:left="709" w:right="709"/>
        <w:contextualSpacing/>
        <w:jc w:val="both"/>
        <w:rPr>
          <w:rFonts w:ascii="Verdana" w:hAnsi="Verdana" w:cs="Arial"/>
          <w:sz w:val="20"/>
          <w:szCs w:val="20"/>
        </w:rPr>
      </w:pPr>
    </w:p>
    <w:p w14:paraId="66C4BD44" w14:textId="77777777" w:rsidR="00FD7032" w:rsidRDefault="00FD7032" w:rsidP="00182A76">
      <w:pPr>
        <w:spacing w:after="0" w:line="276" w:lineRule="auto"/>
        <w:jc w:val="both"/>
        <w:rPr>
          <w:rFonts w:ascii="Verdana" w:eastAsia="Calibri" w:hAnsi="Verdana" w:cs="Arial"/>
          <w:lang w:val="es-ES_tradnl"/>
        </w:rPr>
      </w:pPr>
      <w:r w:rsidRPr="00A86573">
        <w:rPr>
          <w:rFonts w:ascii="Verdana" w:eastAsia="Calibri" w:hAnsi="Verdana" w:cs="Arial"/>
          <w:lang w:val="es-ES_tradnl"/>
        </w:rPr>
        <w:lastRenderedPageBreak/>
        <w:tab/>
        <w:t>Así, la suscripción de contratos interadministrativos</w:t>
      </w:r>
      <w:r w:rsidRPr="008368B7">
        <w:rPr>
          <w:rFonts w:ascii="Verdana" w:eastAsia="Calibri" w:hAnsi="Verdana" w:cs="Arial"/>
          <w:lang w:val="es-ES_tradnl"/>
        </w:rPr>
        <w:t xml:space="preserve"> mediante contratación directa tiene como requisito que las obligaciones del negocio jurídico tengan relación directa con el objeto de la entidad ejecutora, según lo establecido en la ley o en sus reglamentos. La condición impuesta por el legislador para la suscripción de estos contratos se establece a efectos de constatar que el ejecutor cuente con la capacidad jurídica para contraer las obligaciones establecidas en el contrato.</w:t>
      </w:r>
    </w:p>
    <w:p w14:paraId="249DD51D" w14:textId="77777777" w:rsidR="00FD7032" w:rsidRPr="009377F3" w:rsidRDefault="00FD7032" w:rsidP="00FD7032">
      <w:pPr>
        <w:spacing w:before="120" w:after="0" w:line="276" w:lineRule="auto"/>
        <w:contextualSpacing/>
        <w:jc w:val="both"/>
        <w:rPr>
          <w:rFonts w:ascii="Verdana" w:eastAsia="Calibri" w:hAnsi="Verdana" w:cs="Arial"/>
          <w:lang w:val="es-ES_tradnl"/>
        </w:rPr>
      </w:pPr>
    </w:p>
    <w:p w14:paraId="5605733B" w14:textId="77777777" w:rsidR="00FD7032" w:rsidRPr="008368B7" w:rsidRDefault="00FD7032" w:rsidP="00FD7032">
      <w:pPr>
        <w:spacing w:after="120" w:line="276" w:lineRule="auto"/>
        <w:jc w:val="both"/>
        <w:rPr>
          <w:rFonts w:ascii="Verdana" w:eastAsia="Calibri" w:hAnsi="Verdana" w:cs="Arial"/>
        </w:rPr>
      </w:pPr>
      <w:r w:rsidRPr="008368B7">
        <w:rPr>
          <w:rFonts w:ascii="Verdana" w:eastAsia="Calibri" w:hAnsi="Verdana" w:cs="Arial"/>
        </w:rPr>
        <w:t>iii. Finalmente, se precisa que esta Agencia no puede definir un</w:t>
      </w:r>
      <w:r w:rsidRPr="008368B7">
        <w:t xml:space="preserve"> </w:t>
      </w:r>
      <w:r w:rsidRPr="008368B7">
        <w:rPr>
          <w:rFonts w:ascii="Verdana" w:eastAsia="Calibri" w:hAnsi="Verdana" w:cs="Arial"/>
        </w:rPr>
        <w:t xml:space="preserve">criterio universal y absoluto por vía consultiva, sino que brinda elementos hermenéuticos de carácter general para que los partícipes del sistema de compras y contratación pública adopten la decisión que corresponda, lo o es acorde con el principio de juridicidad. Por lo anterior, previo concepto de sus órganos asesores, la solución de estos temas corresponde a la entidad de adoptar la decisión correspondiente y, en caso de conflicto, a las autoridades judiciales, fiscales y disciplinarias. De esta manera, corresponderá a cada contratante definir la viabilidad técnica, jurídica y financiera de establecer un proceso de contratación, así como determinar la forma en la que estos grupos se estructuran atendiendo a las normas que regulan el sector objeto del contrato. </w:t>
      </w:r>
    </w:p>
    <w:p w14:paraId="2A227307" w14:textId="77777777" w:rsidR="00FD7032" w:rsidRPr="00A17443" w:rsidRDefault="00FD7032" w:rsidP="00FD7032">
      <w:pPr>
        <w:spacing w:after="0" w:line="276" w:lineRule="auto"/>
        <w:ind w:right="51"/>
        <w:jc w:val="both"/>
        <w:rPr>
          <w:rFonts w:ascii="Verdana" w:eastAsia="Calibri" w:hAnsi="Verdana" w:cs="Arial"/>
          <w:bCs/>
          <w:highlight w:val="lightGray"/>
        </w:rPr>
      </w:pPr>
    </w:p>
    <w:bookmarkEnd w:id="7"/>
    <w:bookmarkEnd w:id="8"/>
    <w:p w14:paraId="06A3B028" w14:textId="77777777" w:rsidR="00FD7032" w:rsidRPr="00A17443" w:rsidRDefault="00FD7032" w:rsidP="00FD7032">
      <w:pPr>
        <w:spacing w:after="0" w:line="276" w:lineRule="auto"/>
        <w:jc w:val="both"/>
        <w:rPr>
          <w:rFonts w:ascii="Verdana" w:eastAsia="Century Gothic" w:hAnsi="Verdana" w:cs="Century Gothic"/>
          <w:b/>
          <w:lang w:val="es-ES"/>
        </w:rPr>
      </w:pPr>
      <w:r w:rsidRPr="00A17443">
        <w:rPr>
          <w:rFonts w:ascii="Verdana" w:eastAsia="Century Gothic" w:hAnsi="Verdana" w:cs="Century Gothic"/>
          <w:b/>
          <w:lang w:val="es-ES"/>
        </w:rPr>
        <w:t>4. Referencias normativas, jurisprudenciales y otras fuentes:</w:t>
      </w:r>
    </w:p>
    <w:p w14:paraId="50A9B57D" w14:textId="77777777" w:rsidR="00FD7032" w:rsidRPr="00861B91" w:rsidRDefault="00FD7032" w:rsidP="00FD7032">
      <w:pPr>
        <w:spacing w:after="0" w:line="276" w:lineRule="auto"/>
        <w:jc w:val="both"/>
        <w:rPr>
          <w:rFonts w:ascii="Verdana" w:eastAsia="Century Gothic" w:hAnsi="Verdana" w:cs="Century Gothic"/>
          <w:b/>
          <w:color w:val="7030A0"/>
          <w:lang w:val="es-ES"/>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D7032" w:rsidRPr="00861B91" w14:paraId="1876BB1F" w14:textId="77777777" w:rsidTr="00DD270A">
        <w:trPr>
          <w:trHeight w:val="453"/>
        </w:trPr>
        <w:tc>
          <w:tcPr>
            <w:tcW w:w="8647" w:type="dxa"/>
          </w:tcPr>
          <w:p w14:paraId="19A456C7" w14:textId="77777777" w:rsidR="00FD7032" w:rsidRPr="004F1199" w:rsidRDefault="00FD7032" w:rsidP="00DD270A">
            <w:pPr>
              <w:widowControl w:val="0"/>
              <w:numPr>
                <w:ilvl w:val="0"/>
                <w:numId w:val="16"/>
              </w:numPr>
              <w:autoSpaceDE w:val="0"/>
              <w:autoSpaceDN w:val="0"/>
              <w:spacing w:line="276" w:lineRule="auto"/>
              <w:jc w:val="both"/>
              <w:rPr>
                <w:rFonts w:ascii="Verdana" w:eastAsia="Calibri" w:hAnsi="Verdana" w:cs="Arial"/>
                <w:lang w:val="es-ES"/>
              </w:rPr>
            </w:pPr>
            <w:r w:rsidRPr="004F1199">
              <w:rPr>
                <w:rFonts w:ascii="Verdana" w:eastAsia="Calibri" w:hAnsi="Verdana" w:cs="Arial"/>
                <w:lang w:val="es-ES"/>
              </w:rPr>
              <w:t>Ley 80 de 1993. Artículos 2 y 32</w:t>
            </w:r>
            <w:r>
              <w:rPr>
                <w:rFonts w:ascii="Verdana" w:eastAsia="Calibri" w:hAnsi="Verdana" w:cs="Arial"/>
                <w:lang w:val="es-ES"/>
              </w:rPr>
              <w:t>.</w:t>
            </w:r>
          </w:p>
          <w:p w14:paraId="50A1C604" w14:textId="77777777" w:rsidR="00FD7032" w:rsidRPr="004F1199" w:rsidRDefault="00FD7032" w:rsidP="00DD270A">
            <w:pPr>
              <w:widowControl w:val="0"/>
              <w:numPr>
                <w:ilvl w:val="0"/>
                <w:numId w:val="16"/>
              </w:numPr>
              <w:autoSpaceDE w:val="0"/>
              <w:autoSpaceDN w:val="0"/>
              <w:spacing w:line="276" w:lineRule="auto"/>
              <w:jc w:val="both"/>
              <w:rPr>
                <w:rFonts w:ascii="Verdana" w:eastAsia="Calibri" w:hAnsi="Verdana" w:cs="Arial"/>
                <w:lang w:val="es-ES"/>
              </w:rPr>
            </w:pPr>
            <w:r w:rsidRPr="004F1199">
              <w:rPr>
                <w:rFonts w:ascii="Verdana" w:eastAsia="Calibri" w:hAnsi="Verdana" w:cs="Arial"/>
                <w:lang w:val="es-ES"/>
              </w:rPr>
              <w:t>Ley 489 de 1998. Artículo 95</w:t>
            </w:r>
            <w:r>
              <w:rPr>
                <w:rFonts w:ascii="Verdana" w:eastAsia="Calibri" w:hAnsi="Verdana" w:cs="Arial"/>
                <w:lang w:val="es-ES"/>
              </w:rPr>
              <w:t>.</w:t>
            </w:r>
          </w:p>
          <w:p w14:paraId="69366A5B" w14:textId="77777777" w:rsidR="00FD7032" w:rsidRPr="004F1199" w:rsidRDefault="00FD7032" w:rsidP="00DD270A">
            <w:pPr>
              <w:widowControl w:val="0"/>
              <w:numPr>
                <w:ilvl w:val="0"/>
                <w:numId w:val="16"/>
              </w:numPr>
              <w:autoSpaceDE w:val="0"/>
              <w:autoSpaceDN w:val="0"/>
              <w:spacing w:line="276" w:lineRule="auto"/>
              <w:jc w:val="both"/>
              <w:rPr>
                <w:rFonts w:ascii="Verdana" w:eastAsia="Calibri" w:hAnsi="Verdana" w:cs="Arial"/>
                <w:lang w:val="es-ES"/>
              </w:rPr>
            </w:pPr>
            <w:r w:rsidRPr="004F1199">
              <w:rPr>
                <w:rFonts w:ascii="Verdana" w:eastAsia="Calibri" w:hAnsi="Verdana" w:cs="Arial"/>
                <w:lang w:val="es-ES"/>
              </w:rPr>
              <w:t>Ley 1508 de 2012. Artículo 1</w:t>
            </w:r>
            <w:r>
              <w:rPr>
                <w:rFonts w:ascii="Verdana" w:eastAsia="Calibri" w:hAnsi="Verdana" w:cs="Arial"/>
                <w:lang w:val="es-ES"/>
              </w:rPr>
              <w:t>.</w:t>
            </w:r>
          </w:p>
          <w:p w14:paraId="679B1C44" w14:textId="77777777" w:rsidR="00FD7032" w:rsidRPr="004F1199" w:rsidRDefault="00FD7032" w:rsidP="00DD270A">
            <w:pPr>
              <w:widowControl w:val="0"/>
              <w:numPr>
                <w:ilvl w:val="0"/>
                <w:numId w:val="16"/>
              </w:numPr>
              <w:autoSpaceDE w:val="0"/>
              <w:autoSpaceDN w:val="0"/>
              <w:spacing w:line="276" w:lineRule="auto"/>
              <w:jc w:val="both"/>
              <w:rPr>
                <w:rFonts w:ascii="Verdana" w:eastAsia="Calibri" w:hAnsi="Verdana" w:cs="Arial"/>
                <w:lang w:val="es-ES"/>
              </w:rPr>
            </w:pPr>
            <w:r w:rsidRPr="004F1199">
              <w:rPr>
                <w:rFonts w:ascii="Verdana" w:eastAsia="Calibri" w:hAnsi="Verdana" w:cs="Arial"/>
                <w:lang w:val="es-ES"/>
              </w:rPr>
              <w:t>Decreto 1082 de 2015. Artículo 2.2.1.2.1.4.4</w:t>
            </w:r>
            <w:r>
              <w:rPr>
                <w:rFonts w:ascii="Verdana" w:eastAsia="Calibri" w:hAnsi="Verdana" w:cs="Arial"/>
                <w:lang w:val="es-ES"/>
              </w:rPr>
              <w:t>.</w:t>
            </w:r>
          </w:p>
          <w:p w14:paraId="44985C88" w14:textId="77777777" w:rsidR="00FD7032" w:rsidRPr="004F1199" w:rsidRDefault="00FD7032" w:rsidP="00DD270A">
            <w:pPr>
              <w:widowControl w:val="0"/>
              <w:numPr>
                <w:ilvl w:val="0"/>
                <w:numId w:val="16"/>
              </w:numPr>
              <w:autoSpaceDE w:val="0"/>
              <w:autoSpaceDN w:val="0"/>
              <w:spacing w:line="276" w:lineRule="auto"/>
              <w:jc w:val="both"/>
              <w:rPr>
                <w:rFonts w:ascii="Verdana" w:eastAsia="Calibri" w:hAnsi="Verdana" w:cs="Arial"/>
                <w:lang w:val="es-ES"/>
              </w:rPr>
            </w:pPr>
            <w:r w:rsidRPr="004F1199">
              <w:rPr>
                <w:rFonts w:ascii="Verdana" w:eastAsia="Calibri" w:hAnsi="Verdana" w:cs="Arial"/>
                <w:lang w:val="es-ES"/>
              </w:rPr>
              <w:t>Corte Constitucional, Sentencia C-300 de 2012. Magistrado Ponente: Jorge Ignacio Pretelt Chaljub</w:t>
            </w:r>
            <w:r>
              <w:rPr>
                <w:rFonts w:ascii="Verdana" w:eastAsia="Calibri" w:hAnsi="Verdana" w:cs="Arial"/>
                <w:lang w:val="es-ES"/>
              </w:rPr>
              <w:t>.</w:t>
            </w:r>
          </w:p>
          <w:p w14:paraId="2422A29A" w14:textId="77777777" w:rsidR="00FD7032" w:rsidRPr="004F1199" w:rsidRDefault="00FD7032" w:rsidP="00DD270A">
            <w:pPr>
              <w:widowControl w:val="0"/>
              <w:numPr>
                <w:ilvl w:val="0"/>
                <w:numId w:val="16"/>
              </w:numPr>
              <w:autoSpaceDE w:val="0"/>
              <w:autoSpaceDN w:val="0"/>
              <w:spacing w:line="276" w:lineRule="auto"/>
              <w:jc w:val="both"/>
              <w:rPr>
                <w:rFonts w:ascii="Verdana" w:eastAsia="Calibri" w:hAnsi="Verdana" w:cs="Arial"/>
                <w:lang w:val="es-ES"/>
              </w:rPr>
            </w:pPr>
            <w:r w:rsidRPr="004F1199">
              <w:rPr>
                <w:rFonts w:ascii="Verdana" w:eastAsia="Calibri" w:hAnsi="Verdana" w:cs="Arial"/>
                <w:lang w:val="es-ES"/>
              </w:rPr>
              <w:t>Consejo de Estado. Sección Tercera. Sentencia del 23 de octubre de 2017. Consejero Ponente: Jaime Orlando Santofimio Gamboa. Exp. 53.477.</w:t>
            </w:r>
          </w:p>
          <w:p w14:paraId="5FC4B593" w14:textId="77777777" w:rsidR="00FD7032" w:rsidRPr="00861B91" w:rsidRDefault="00FD7032" w:rsidP="00DD270A">
            <w:pPr>
              <w:widowControl w:val="0"/>
              <w:numPr>
                <w:ilvl w:val="0"/>
                <w:numId w:val="16"/>
              </w:numPr>
              <w:autoSpaceDE w:val="0"/>
              <w:autoSpaceDN w:val="0"/>
              <w:spacing w:line="276" w:lineRule="auto"/>
              <w:jc w:val="both"/>
              <w:rPr>
                <w:rFonts w:ascii="Verdana" w:eastAsia="Calibri" w:hAnsi="Verdana" w:cs="Arial"/>
                <w:color w:val="7030A0"/>
                <w:lang w:val="es-ES"/>
              </w:rPr>
            </w:pPr>
            <w:r w:rsidRPr="004F1199">
              <w:rPr>
                <w:rFonts w:ascii="Verdana" w:eastAsia="Calibri" w:hAnsi="Verdana" w:cs="Arial"/>
                <w:lang w:val="es-ES"/>
              </w:rPr>
              <w:t>Consejo de Estado. Sala de lo Contencioso Administrativo, Sección Tercera. Sentencia de 23 de junio de 2010, Exp. 1998-00261. C.P. Mauricio Fajardo Gómez</w:t>
            </w:r>
            <w:r>
              <w:rPr>
                <w:rFonts w:ascii="Verdana" w:eastAsia="Calibri" w:hAnsi="Verdana" w:cs="Arial"/>
                <w:lang w:val="es-ES"/>
              </w:rPr>
              <w:t>.</w:t>
            </w:r>
          </w:p>
        </w:tc>
      </w:tr>
    </w:tbl>
    <w:p w14:paraId="1DF54B43" w14:textId="77777777" w:rsidR="00FD7032" w:rsidRPr="00A17443" w:rsidRDefault="00FD7032" w:rsidP="00FD7032">
      <w:pPr>
        <w:widowControl w:val="0"/>
        <w:autoSpaceDE w:val="0"/>
        <w:autoSpaceDN w:val="0"/>
        <w:spacing w:after="0" w:line="276" w:lineRule="auto"/>
        <w:jc w:val="both"/>
        <w:rPr>
          <w:rFonts w:ascii="Verdana" w:hAnsi="Verdana" w:cs="Arial"/>
          <w:highlight w:val="lightGray"/>
          <w:lang w:val="es-ES"/>
        </w:rPr>
      </w:pPr>
    </w:p>
    <w:p w14:paraId="66550940" w14:textId="77777777" w:rsidR="00FD7032" w:rsidRPr="00F041DF" w:rsidRDefault="00FD7032" w:rsidP="00FD7032">
      <w:pPr>
        <w:tabs>
          <w:tab w:val="left" w:pos="142"/>
          <w:tab w:val="left" w:pos="284"/>
        </w:tabs>
        <w:spacing w:after="0" w:line="276" w:lineRule="auto"/>
        <w:jc w:val="both"/>
        <w:rPr>
          <w:rFonts w:ascii="Verdana" w:eastAsia="Century Gothic" w:hAnsi="Verdana" w:cs="Century Gothic"/>
          <w:b/>
          <w:lang w:val="es-ES"/>
        </w:rPr>
      </w:pPr>
      <w:r w:rsidRPr="00A17443">
        <w:rPr>
          <w:rFonts w:ascii="Verdana" w:eastAsia="Century Gothic" w:hAnsi="Verdana" w:cs="Century Gothic"/>
          <w:b/>
          <w:lang w:val="es-ES"/>
        </w:rPr>
        <w:t>5. Doctrina de la Agencia Nacional de Contratación Pública:</w:t>
      </w:r>
    </w:p>
    <w:p w14:paraId="6750DA21" w14:textId="77777777" w:rsidR="00FD7032" w:rsidRPr="00285E8E" w:rsidRDefault="00FD7032" w:rsidP="00FD7032">
      <w:pPr>
        <w:spacing w:after="0" w:line="276" w:lineRule="auto"/>
        <w:jc w:val="both"/>
        <w:rPr>
          <w:rFonts w:ascii="Verdana" w:hAnsi="Verdana" w:cs="Arial"/>
          <w:bCs/>
          <w:shd w:val="clear" w:color="auto" w:fill="FFFFFF"/>
        </w:rPr>
      </w:pPr>
      <w:r w:rsidRPr="00285E8E">
        <w:rPr>
          <w:rFonts w:ascii="Verdana" w:hAnsi="Verdana" w:cs="Arial"/>
          <w:bCs/>
          <w:shd w:val="clear" w:color="auto" w:fill="FFFFFF"/>
        </w:rPr>
        <w:lastRenderedPageBreak/>
        <w:t xml:space="preserve">La Agencia Nacional de Contratación Pública – Colombia Compra Eficiente, </w:t>
      </w:r>
      <w:r w:rsidRPr="00285E8E">
        <w:rPr>
          <w:rFonts w:ascii="Verdana" w:eastAsia="Calibri" w:hAnsi="Verdana" w:cs="Arial"/>
          <w:lang w:val="es-ES" w:eastAsia="es-ES"/>
        </w:rPr>
        <w:t>analizó algunos temas asociados al contrato de concesión</w:t>
      </w:r>
      <w:r w:rsidRPr="00285E8E">
        <w:rPr>
          <w:rFonts w:ascii="Verdana" w:hAnsi="Verdana" w:cs="Arial"/>
          <w:bCs/>
          <w:shd w:val="clear" w:color="auto" w:fill="FFFFFF"/>
        </w:rPr>
        <w:t xml:space="preserve"> </w:t>
      </w:r>
      <w:r w:rsidRPr="00285E8E">
        <w:rPr>
          <w:rFonts w:ascii="Verdana" w:hAnsi="Verdana" w:cs="Arial"/>
          <w:lang w:val="es-ES"/>
        </w:rPr>
        <w:t xml:space="preserve">en los conceptos, </w:t>
      </w:r>
      <w:r w:rsidRPr="00285E8E">
        <w:rPr>
          <w:rFonts w:ascii="Verdana" w:eastAsia="Calibri" w:hAnsi="Verdana" w:cs="Arial"/>
          <w:lang w:val="es-ES" w:eastAsia="es-ES"/>
        </w:rPr>
        <w:t>C-251 del 27 de mayo de 2020, C-400 del 30 de junio de 2020, C-507 del 13 de agosto de 2020, C-718 del 20 de diciembre de 2020, C-077 del 16 de marzo de 2021, C-186 del 31 de julio de 2024, C-566 del 13 de noviembre de 2024</w:t>
      </w:r>
      <w:r w:rsidRPr="00285E8E">
        <w:rPr>
          <w:rFonts w:ascii="Verdana" w:hAnsi="Verdana" w:cs="Arial"/>
          <w:bCs/>
          <w:shd w:val="clear" w:color="auto" w:fill="FFFFFF"/>
        </w:rPr>
        <w:t>, C-763 del 05 de diciembre de 2024, C-403 del 23 de abril de 2026, entre otros.</w:t>
      </w:r>
    </w:p>
    <w:p w14:paraId="23CD03D3" w14:textId="77777777" w:rsidR="00FD7032" w:rsidRPr="00B52E6D" w:rsidRDefault="00FD7032" w:rsidP="00FD7032">
      <w:pPr>
        <w:spacing w:after="0" w:line="276" w:lineRule="auto"/>
        <w:jc w:val="both"/>
        <w:rPr>
          <w:rFonts w:ascii="Verdana" w:hAnsi="Verdana" w:cs="Arial"/>
          <w:shd w:val="clear" w:color="auto" w:fill="FFFFFF"/>
          <w:lang w:val="es-ES"/>
        </w:rPr>
      </w:pPr>
    </w:p>
    <w:p w14:paraId="0B187558" w14:textId="77777777" w:rsidR="00FD7032" w:rsidRPr="00B52E6D" w:rsidRDefault="00FD7032" w:rsidP="00FD7032">
      <w:pPr>
        <w:spacing w:after="0" w:line="276" w:lineRule="auto"/>
        <w:jc w:val="both"/>
        <w:rPr>
          <w:rFonts w:ascii="Verdana" w:hAnsi="Verdana"/>
          <w:lang w:val="es-ES"/>
        </w:rPr>
      </w:pPr>
      <w:r w:rsidRPr="00B52E6D">
        <w:rPr>
          <w:rFonts w:ascii="Verdana" w:hAnsi="Verdana" w:cs="Arial"/>
          <w:shd w:val="clear" w:color="auto" w:fill="FFFFFF"/>
          <w:lang w:val="es-ES"/>
        </w:rPr>
        <w:t>Estos</w:t>
      </w:r>
      <w:r w:rsidRPr="00B52E6D">
        <w:rPr>
          <w:rFonts w:ascii="Verdana" w:hAnsi="Verdana"/>
          <w:lang w:val="es-ES"/>
        </w:rPr>
        <w:t xml:space="preserve"> y otros se encuentran disponibles para consulta en el Sistema de relatoría de la Agencia, al cual se puede acceder a través del siguiente enlace:</w:t>
      </w:r>
      <w:r w:rsidRPr="00B52E6D">
        <w:rPr>
          <w:rFonts w:ascii="Verdana" w:hAnsi="Verdana" w:cs="Arial"/>
          <w:shd w:val="clear" w:color="auto" w:fill="FFFFFF"/>
          <w:lang w:val="es-ES"/>
        </w:rPr>
        <w:t xml:space="preserve"> </w:t>
      </w:r>
      <w:hyperlink r:id="rId12" w:history="1">
        <w:r w:rsidRPr="00B52E6D">
          <w:rPr>
            <w:rStyle w:val="Hyperlink"/>
            <w:rFonts w:ascii="Verdana" w:hAnsi="Verdana" w:cs="Arial"/>
            <w:shd w:val="clear" w:color="auto" w:fill="FFFFFF"/>
            <w:lang w:val="es-ES"/>
          </w:rPr>
          <w:t>https://relatoria.colombiacompra.gov.co/busqueda/conceptos</w:t>
        </w:r>
      </w:hyperlink>
    </w:p>
    <w:p w14:paraId="445A7394" w14:textId="77777777" w:rsidR="00FD7032" w:rsidRPr="00B52E6D" w:rsidRDefault="00FD7032" w:rsidP="00FD7032">
      <w:pPr>
        <w:spacing w:after="0" w:line="276" w:lineRule="auto"/>
        <w:jc w:val="both"/>
        <w:rPr>
          <w:rFonts w:ascii="Verdana" w:hAnsi="Verdana" w:cs="Arial"/>
          <w:shd w:val="clear" w:color="auto" w:fill="FFFFFF"/>
        </w:rPr>
      </w:pPr>
    </w:p>
    <w:p w14:paraId="5D10E0F6" w14:textId="77777777" w:rsidR="00FD7032" w:rsidRPr="00255E89" w:rsidRDefault="00FD7032" w:rsidP="00FD7032">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Por último, lo invitamos a seguirnos en las redes sociales en las cuales se difunde información institucional: </w:t>
      </w:r>
    </w:p>
    <w:p w14:paraId="6B93224B" w14:textId="77777777" w:rsidR="00FD7032" w:rsidRPr="00064773" w:rsidRDefault="00FD7032" w:rsidP="00FD7032">
      <w:pPr>
        <w:spacing w:after="0" w:line="276" w:lineRule="auto"/>
        <w:jc w:val="both"/>
        <w:rPr>
          <w:rFonts w:ascii="Verdana" w:hAnsi="Verdana" w:cs="Arial"/>
          <w:shd w:val="clear" w:color="auto" w:fill="FFFFFF"/>
        </w:rPr>
      </w:pPr>
    </w:p>
    <w:p w14:paraId="06978ACA" w14:textId="77777777" w:rsidR="00FD7032" w:rsidRPr="00B52E6D" w:rsidRDefault="00FD7032" w:rsidP="00FD7032">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Twitter: </w:t>
      </w:r>
      <w:r w:rsidRPr="00B52E6D">
        <w:rPr>
          <w:rStyle w:val="Hyperlink"/>
          <w:rFonts w:ascii="Verdana" w:hAnsi="Verdana"/>
          <w:lang w:val="es-ES"/>
        </w:rPr>
        <w:t>@colombiacompra</w:t>
      </w:r>
      <w:r w:rsidRPr="00B52E6D">
        <w:rPr>
          <w:rStyle w:val="Hyperlink"/>
          <w:rFonts w:ascii="Verdana" w:hAnsi="Verdana"/>
          <w:color w:val="auto"/>
          <w:lang w:val="es-ES"/>
        </w:rPr>
        <w:t xml:space="preserve"> </w:t>
      </w:r>
    </w:p>
    <w:p w14:paraId="7EB41E74" w14:textId="77777777" w:rsidR="00FD7032" w:rsidRPr="00B52E6D" w:rsidRDefault="00FD7032" w:rsidP="00FD7032">
      <w:pPr>
        <w:spacing w:after="0" w:line="276" w:lineRule="auto"/>
        <w:jc w:val="both"/>
        <w:rPr>
          <w:rFonts w:ascii="Verdana" w:hAnsi="Verdana" w:cs="Arial"/>
          <w:shd w:val="clear" w:color="auto" w:fill="FFFFFF"/>
        </w:rPr>
      </w:pPr>
      <w:r w:rsidRPr="00B52E6D">
        <w:rPr>
          <w:rFonts w:ascii="Verdana" w:hAnsi="Verdana" w:cs="Arial"/>
          <w:shd w:val="clear" w:color="auto" w:fill="FFFFFF"/>
        </w:rPr>
        <w:t>Facebook:</w:t>
      </w:r>
      <w:r w:rsidRPr="00B52E6D">
        <w:rPr>
          <w:rStyle w:val="Hyperlink"/>
          <w:rFonts w:ascii="Verdana" w:hAnsi="Verdana"/>
          <w:lang w:val="es-ES"/>
        </w:rPr>
        <w:t xml:space="preserve"> ColombiaCompraEficiente</w:t>
      </w:r>
    </w:p>
    <w:p w14:paraId="5F013562" w14:textId="77777777" w:rsidR="00FD7032" w:rsidRPr="00B52E6D" w:rsidRDefault="00FD7032" w:rsidP="00FD7032">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LinkedIn: </w:t>
      </w:r>
      <w:r w:rsidRPr="00B52E6D">
        <w:rPr>
          <w:rStyle w:val="Hyperlink"/>
          <w:rFonts w:ascii="Verdana" w:hAnsi="Verdana"/>
          <w:lang w:val="es-ES"/>
        </w:rPr>
        <w:t>Agencia Nacional de Contratación Pública - Colombia Compra Eficiente</w:t>
      </w:r>
      <w:r w:rsidRPr="00B52E6D">
        <w:rPr>
          <w:rFonts w:ascii="Verdana" w:hAnsi="Verdana" w:cs="Arial"/>
          <w:color w:val="0000FF"/>
          <w:shd w:val="clear" w:color="auto" w:fill="FFFFFF"/>
        </w:rPr>
        <w:t xml:space="preserve"> </w:t>
      </w:r>
    </w:p>
    <w:p w14:paraId="4C69EA82" w14:textId="77777777" w:rsidR="00FD7032" w:rsidRPr="00B52E6D" w:rsidRDefault="00FD7032" w:rsidP="00FD7032">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Instagram: </w:t>
      </w:r>
      <w:r w:rsidRPr="00B52E6D">
        <w:rPr>
          <w:rStyle w:val="Hyperlink"/>
          <w:rFonts w:ascii="Verdana" w:hAnsi="Verdana"/>
          <w:lang w:val="es-ES"/>
        </w:rPr>
        <w:t>@colombiacompraeficiente_cce</w:t>
      </w:r>
    </w:p>
    <w:p w14:paraId="16566B60" w14:textId="77777777" w:rsidR="00FD7032" w:rsidRPr="00B52E6D" w:rsidRDefault="00FD7032" w:rsidP="00FD7032">
      <w:pPr>
        <w:widowControl w:val="0"/>
        <w:autoSpaceDE w:val="0"/>
        <w:autoSpaceDN w:val="0"/>
        <w:spacing w:after="0" w:line="276" w:lineRule="auto"/>
        <w:jc w:val="both"/>
        <w:rPr>
          <w:rFonts w:ascii="Verdana" w:hAnsi="Verdana" w:cs="Arial"/>
          <w:lang w:val="es-ES"/>
        </w:rPr>
      </w:pPr>
    </w:p>
    <w:p w14:paraId="0C61F5CE" w14:textId="77777777" w:rsidR="00FD7032" w:rsidRPr="00B52E6D" w:rsidRDefault="00FD7032" w:rsidP="00FD7032">
      <w:pPr>
        <w:widowControl w:val="0"/>
        <w:autoSpaceDE w:val="0"/>
        <w:autoSpaceDN w:val="0"/>
        <w:spacing w:after="0" w:line="276" w:lineRule="auto"/>
        <w:jc w:val="both"/>
        <w:rPr>
          <w:rFonts w:ascii="Verdana" w:hAnsi="Verdana" w:cs="Arial"/>
          <w:lang w:val="es-ES"/>
        </w:rPr>
      </w:pPr>
      <w:r w:rsidRPr="00B52E6D">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51F8E98" w14:textId="77777777" w:rsidR="00FD7032" w:rsidRPr="00B52E6D" w:rsidRDefault="00FD7032" w:rsidP="00FD7032">
      <w:pPr>
        <w:widowControl w:val="0"/>
        <w:autoSpaceDE w:val="0"/>
        <w:autoSpaceDN w:val="0"/>
        <w:spacing w:after="0" w:line="276" w:lineRule="auto"/>
        <w:jc w:val="both"/>
        <w:rPr>
          <w:rFonts w:ascii="Verdana" w:hAnsi="Verdana" w:cs="Arial"/>
          <w:lang w:val="es-ES"/>
        </w:rPr>
      </w:pPr>
    </w:p>
    <w:p w14:paraId="0AFB9EF7" w14:textId="6DF2FB10" w:rsidR="00FD7032" w:rsidRPr="000F49F6" w:rsidRDefault="00FD7032" w:rsidP="000F49F6">
      <w:pPr>
        <w:spacing w:after="0" w:line="276" w:lineRule="auto"/>
        <w:rPr>
          <w:rFonts w:ascii="Verdana" w:hAnsi="Verdana" w:cs="Arial"/>
          <w:lang w:val="es-ES" w:eastAsia="es-CO"/>
        </w:rPr>
      </w:pPr>
      <w:r w:rsidRPr="006F76C5">
        <w:rPr>
          <w:rFonts w:ascii="Verdana" w:eastAsia="Times New Roman" w:hAnsi="Verdana" w:cs="Arial"/>
          <w:lang w:val="es-ES" w:eastAsia="es-CO"/>
        </w:rPr>
        <w:t>Atentamente,</w:t>
      </w:r>
      <w:r w:rsidRPr="006F76C5">
        <w:rPr>
          <w:rFonts w:ascii="Verdana" w:hAnsi="Verdana" w:cs="Arial"/>
          <w:lang w:val="es-ES" w:eastAsia="es-CO"/>
        </w:rPr>
        <w:t xml:space="preserve"> </w:t>
      </w:r>
    </w:p>
    <w:p w14:paraId="53255C8C" w14:textId="189AD2CB" w:rsidR="00FD7032" w:rsidRPr="000F49F6" w:rsidRDefault="000F49F6" w:rsidP="000F49F6">
      <w:pPr>
        <w:spacing w:after="0" w:line="276" w:lineRule="auto"/>
        <w:jc w:val="center"/>
        <w:rPr>
          <w:rFonts w:ascii="Verdana" w:hAnsi="Verdana" w:cs="Arial"/>
          <w:color w:val="EE0000"/>
          <w:highlight w:val="lightGray"/>
          <w:lang w:val="es-ES" w:eastAsia="es-CO"/>
        </w:rPr>
      </w:pPr>
      <w:r w:rsidRPr="000F49F6">
        <w:rPr>
          <w:rFonts w:ascii="Verdana" w:hAnsi="Verdana" w:cs="Arial"/>
          <w:noProof/>
          <w:color w:val="EE0000"/>
          <w:lang w:val="es-ES" w:eastAsia="es-CO"/>
        </w:rPr>
        <w:drawing>
          <wp:inline distT="0" distB="0" distL="0" distR="0" wp14:anchorId="4E748F80" wp14:editId="4F2FBF6E">
            <wp:extent cx="2562583" cy="1038370"/>
            <wp:effectExtent l="0" t="0" r="9525" b="9525"/>
            <wp:docPr id="10740807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80720" name=""/>
                    <pic:cNvPicPr/>
                  </pic:nvPicPr>
                  <pic:blipFill>
                    <a:blip r:embed="rId13"/>
                    <a:stretch>
                      <a:fillRect/>
                    </a:stretch>
                  </pic:blipFill>
                  <pic:spPr>
                    <a:xfrm>
                      <a:off x="0" y="0"/>
                      <a:ext cx="2562583" cy="1038370"/>
                    </a:xfrm>
                    <a:prstGeom prst="rect">
                      <a:avLst/>
                    </a:prstGeom>
                  </pic:spPr>
                </pic:pic>
              </a:graphicData>
            </a:graphic>
          </wp:inline>
        </w:drawing>
      </w:r>
    </w:p>
    <w:p w14:paraId="5B5C50A8" w14:textId="77777777" w:rsidR="00FD7032" w:rsidRPr="00797350" w:rsidRDefault="00FD7032" w:rsidP="00FD7032">
      <w:pPr>
        <w:spacing w:after="0" w:line="276" w:lineRule="auto"/>
        <w:rPr>
          <w:rFonts w:ascii="Verdana" w:hAnsi="Verdana" w:cs="Arial"/>
          <w:highlight w:val="lightGray"/>
          <w:lang w:val="es-ES" w:eastAsia="es-CO"/>
        </w:rPr>
      </w:pP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D7032" w:rsidRPr="00797350" w14:paraId="1066172D" w14:textId="77777777" w:rsidTr="00DD270A">
        <w:trPr>
          <w:trHeight w:val="315"/>
        </w:trPr>
        <w:tc>
          <w:tcPr>
            <w:tcW w:w="893" w:type="dxa"/>
            <w:vAlign w:val="center"/>
            <w:hideMark/>
          </w:tcPr>
          <w:p w14:paraId="7F8F2926" w14:textId="77777777" w:rsidR="00FD7032" w:rsidRPr="00797350" w:rsidRDefault="00FD7032" w:rsidP="00DD270A">
            <w:pPr>
              <w:contextualSpacing/>
              <w:rPr>
                <w:rFonts w:ascii="Verdana" w:hAnsi="Verdana" w:cs="Arial"/>
                <w:sz w:val="16"/>
                <w:szCs w:val="16"/>
                <w:lang w:val="es-ES" w:eastAsia="es-ES"/>
              </w:rPr>
            </w:pPr>
            <w:r w:rsidRPr="00797350">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22A9B21" w14:textId="77777777" w:rsidR="00FD7032" w:rsidRPr="00797350" w:rsidRDefault="00FD7032" w:rsidP="00DD270A">
            <w:pPr>
              <w:rPr>
                <w:rFonts w:ascii="Verdana" w:eastAsia="Times New Roman" w:hAnsi="Verdana" w:cs="Arial"/>
                <w:sz w:val="16"/>
                <w:szCs w:val="16"/>
                <w:lang w:eastAsia="es-ES"/>
              </w:rPr>
            </w:pPr>
            <w:r w:rsidRPr="00797350">
              <w:rPr>
                <w:rFonts w:ascii="Verdana" w:eastAsia="Times New Roman" w:hAnsi="Verdana" w:cs="Arial"/>
                <w:sz w:val="16"/>
                <w:szCs w:val="16"/>
                <w:lang w:eastAsia="es-ES"/>
              </w:rPr>
              <w:t>Camila Alejandra Naranjo Gómez</w:t>
            </w:r>
          </w:p>
          <w:p w14:paraId="278E1270" w14:textId="77777777" w:rsidR="00FD7032" w:rsidRPr="00797350" w:rsidRDefault="00FD7032" w:rsidP="00DD270A">
            <w:pPr>
              <w:contextualSpacing/>
              <w:rPr>
                <w:rFonts w:ascii="Verdana" w:eastAsia="Arial" w:hAnsi="Verdana" w:cs="Arial"/>
                <w:sz w:val="16"/>
                <w:szCs w:val="16"/>
                <w:lang w:val="es-ES"/>
              </w:rPr>
            </w:pPr>
            <w:r w:rsidRPr="00797350">
              <w:rPr>
                <w:rFonts w:ascii="Verdana" w:eastAsia="Times New Roman" w:hAnsi="Verdana" w:cs="Arial"/>
                <w:sz w:val="16"/>
                <w:szCs w:val="16"/>
                <w:lang w:eastAsia="es-ES"/>
              </w:rPr>
              <w:t>Analista T2-02 de la Subdirección de Gestión Contractual</w:t>
            </w:r>
          </w:p>
        </w:tc>
      </w:tr>
      <w:tr w:rsidR="00FD7032" w:rsidRPr="00797350" w14:paraId="3AF935C0" w14:textId="77777777" w:rsidTr="00DD270A">
        <w:trPr>
          <w:trHeight w:val="330"/>
        </w:trPr>
        <w:tc>
          <w:tcPr>
            <w:tcW w:w="893" w:type="dxa"/>
            <w:vAlign w:val="center"/>
            <w:hideMark/>
          </w:tcPr>
          <w:p w14:paraId="3793CD93" w14:textId="77777777" w:rsidR="00FD7032" w:rsidRPr="00797350" w:rsidRDefault="00FD7032" w:rsidP="00DD270A">
            <w:pPr>
              <w:contextualSpacing/>
              <w:rPr>
                <w:rFonts w:ascii="Verdana" w:hAnsi="Verdana" w:cs="Arial"/>
                <w:sz w:val="16"/>
                <w:szCs w:val="16"/>
                <w:lang w:val="es-ES" w:eastAsia="es-ES"/>
              </w:rPr>
            </w:pPr>
            <w:r w:rsidRPr="00797350">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C424B08" w14:textId="77777777" w:rsidR="00FD7032" w:rsidRPr="00797350" w:rsidRDefault="00FD7032" w:rsidP="00DD270A">
            <w:pPr>
              <w:rPr>
                <w:rFonts w:ascii="Verdana" w:eastAsia="Times New Roman" w:hAnsi="Verdana" w:cs="Arial"/>
                <w:sz w:val="16"/>
                <w:szCs w:val="16"/>
                <w:lang w:eastAsia="es-ES"/>
              </w:rPr>
            </w:pPr>
            <w:r w:rsidRPr="00797350">
              <w:rPr>
                <w:rFonts w:ascii="Verdana" w:eastAsia="Times New Roman" w:hAnsi="Verdana" w:cs="Arial"/>
                <w:sz w:val="16"/>
                <w:szCs w:val="16"/>
                <w:lang w:eastAsia="es-ES"/>
              </w:rPr>
              <w:t>Diana Lucia Saavedra Castañeda</w:t>
            </w:r>
          </w:p>
          <w:p w14:paraId="56454873" w14:textId="77777777" w:rsidR="00FD7032" w:rsidRPr="00797350" w:rsidRDefault="00FD7032" w:rsidP="00DD270A">
            <w:pPr>
              <w:pStyle w:val="paragraph"/>
              <w:spacing w:before="0" w:beforeAutospacing="0" w:after="0" w:afterAutospacing="0"/>
              <w:contextualSpacing/>
              <w:textAlignment w:val="baseline"/>
              <w:rPr>
                <w:rFonts w:ascii="Verdana" w:hAnsi="Verdana" w:cs="Segoe UI"/>
                <w:sz w:val="16"/>
                <w:szCs w:val="16"/>
                <w:lang w:val="es-ES"/>
              </w:rPr>
            </w:pPr>
            <w:r w:rsidRPr="00797350">
              <w:rPr>
                <w:rFonts w:ascii="Verdana" w:hAnsi="Verdana" w:cs="Arial"/>
                <w:sz w:val="16"/>
                <w:szCs w:val="16"/>
                <w:lang w:eastAsia="es-ES"/>
              </w:rPr>
              <w:t>Contratista de la Subdirección de Gestión Contractual</w:t>
            </w:r>
          </w:p>
        </w:tc>
      </w:tr>
      <w:tr w:rsidR="00FD7032" w:rsidRPr="009F79FE" w14:paraId="2861D906" w14:textId="77777777" w:rsidTr="00DD270A">
        <w:trPr>
          <w:trHeight w:val="300"/>
        </w:trPr>
        <w:tc>
          <w:tcPr>
            <w:tcW w:w="893" w:type="dxa"/>
            <w:vAlign w:val="center"/>
          </w:tcPr>
          <w:p w14:paraId="058FD5A7" w14:textId="77777777" w:rsidR="00FD7032" w:rsidRPr="00797350" w:rsidRDefault="00FD7032" w:rsidP="00DD270A">
            <w:pPr>
              <w:contextualSpacing/>
              <w:rPr>
                <w:rFonts w:ascii="Verdana" w:hAnsi="Verdana" w:cs="Arial"/>
                <w:sz w:val="16"/>
                <w:szCs w:val="16"/>
                <w:lang w:val="es-ES" w:eastAsia="es-ES"/>
              </w:rPr>
            </w:pPr>
            <w:r w:rsidRPr="00797350">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A042568" w14:textId="77777777" w:rsidR="00FD7032" w:rsidRPr="00797350" w:rsidRDefault="00FD7032" w:rsidP="00DD270A">
            <w:pPr>
              <w:contextualSpacing/>
              <w:rPr>
                <w:rFonts w:ascii="Verdana" w:eastAsia="Calibri" w:hAnsi="Verdana" w:cs="Arial"/>
                <w:sz w:val="16"/>
                <w:szCs w:val="16"/>
                <w:lang w:val="es-ES" w:eastAsia="es-ES"/>
              </w:rPr>
            </w:pPr>
            <w:r w:rsidRPr="00797350">
              <w:rPr>
                <w:rFonts w:ascii="Verdana" w:eastAsia="Calibri" w:hAnsi="Verdana" w:cs="Arial"/>
                <w:sz w:val="16"/>
                <w:szCs w:val="16"/>
                <w:lang w:val="es-ES" w:eastAsia="es-ES"/>
              </w:rPr>
              <w:t>Carolina Quintero Gacharná</w:t>
            </w:r>
          </w:p>
          <w:p w14:paraId="0C1BFA66" w14:textId="77777777" w:rsidR="00FD7032" w:rsidRPr="00797350" w:rsidRDefault="00FD7032" w:rsidP="00DD270A">
            <w:pPr>
              <w:contextualSpacing/>
              <w:rPr>
                <w:rFonts w:ascii="Verdana" w:eastAsia="Calibri" w:hAnsi="Verdana" w:cs="Arial"/>
                <w:sz w:val="16"/>
                <w:szCs w:val="16"/>
                <w:lang w:val="es-ES" w:eastAsia="es-ES"/>
              </w:rPr>
            </w:pPr>
            <w:r w:rsidRPr="00797350">
              <w:rPr>
                <w:rFonts w:ascii="Verdana" w:eastAsia="Calibri" w:hAnsi="Verdana" w:cs="Arial"/>
                <w:sz w:val="16"/>
                <w:szCs w:val="16"/>
                <w:lang w:val="es-ES" w:eastAsia="es-ES"/>
              </w:rPr>
              <w:t>Subdirectora de Gestión Contractual ANCP – CCE</w:t>
            </w:r>
          </w:p>
        </w:tc>
      </w:tr>
      <w:bookmarkEnd w:id="4"/>
    </w:tbl>
    <w:p w14:paraId="4CCF76F9" w14:textId="77777777" w:rsidR="00FD7032" w:rsidRDefault="00FD7032" w:rsidP="00FD7032"/>
    <w:p w14:paraId="4E140659" w14:textId="11003EB6" w:rsidR="00FD7032" w:rsidRPr="00FE55BD" w:rsidRDefault="00FD7032" w:rsidP="00FD7032"/>
    <w:p w14:paraId="714460A4" w14:textId="77777777" w:rsidR="00FD7032" w:rsidRPr="006E5B7C" w:rsidRDefault="00FD7032" w:rsidP="00FD7032"/>
    <w:p w14:paraId="0F293BF4" w14:textId="6D291DAD" w:rsidR="00127233" w:rsidRPr="00FD7032" w:rsidRDefault="00127233" w:rsidP="00FD7032"/>
    <w:sectPr w:rsidR="00127233" w:rsidRPr="00FD7032" w:rsidSect="007C0C0F">
      <w:headerReference w:type="even" r:id="rId14"/>
      <w:headerReference w:type="default" r:id="rId15"/>
      <w:footerReference w:type="even" r:id="rId16"/>
      <w:footerReference w:type="default" r:id="rId17"/>
      <w:headerReference w:type="first" r:id="rId18"/>
      <w:footerReference w:type="firs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98628" w14:textId="77777777" w:rsidR="003F195C" w:rsidRDefault="003F195C" w:rsidP="004A1847">
      <w:pPr>
        <w:spacing w:after="0" w:line="240" w:lineRule="auto"/>
      </w:pPr>
      <w:r>
        <w:separator/>
      </w:r>
    </w:p>
  </w:endnote>
  <w:endnote w:type="continuationSeparator" w:id="0">
    <w:p w14:paraId="3FF41114" w14:textId="77777777" w:rsidR="003F195C" w:rsidRDefault="003F195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CBA5" w14:textId="77777777" w:rsidR="00E3211B" w:rsidRDefault="00E32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ECFF" w14:textId="77777777" w:rsidR="00E3211B" w:rsidRDefault="00E32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2EE0" w14:textId="77777777" w:rsidR="003F195C" w:rsidRDefault="003F195C" w:rsidP="004A1847">
      <w:pPr>
        <w:spacing w:after="0" w:line="240" w:lineRule="auto"/>
      </w:pPr>
      <w:r>
        <w:separator/>
      </w:r>
    </w:p>
  </w:footnote>
  <w:footnote w:type="continuationSeparator" w:id="0">
    <w:p w14:paraId="2381D7B8" w14:textId="77777777" w:rsidR="003F195C" w:rsidRDefault="003F195C" w:rsidP="004A1847">
      <w:pPr>
        <w:spacing w:after="0" w:line="240" w:lineRule="auto"/>
      </w:pPr>
      <w:r>
        <w:continuationSeparator/>
      </w:r>
    </w:p>
  </w:footnote>
  <w:footnote w:id="1">
    <w:p w14:paraId="753263DA" w14:textId="77777777" w:rsidR="00FD7032" w:rsidRDefault="00FD7032" w:rsidP="00FD7032">
      <w:pPr>
        <w:pStyle w:val="FootnoteText"/>
        <w:ind w:firstLine="708"/>
        <w:contextualSpacing/>
        <w:rPr>
          <w:rFonts w:ascii="Verdana" w:hAnsi="Verdana"/>
          <w:sz w:val="16"/>
          <w:szCs w:val="16"/>
          <w:lang w:val="es-CO"/>
        </w:rPr>
      </w:pPr>
      <w:r w:rsidRPr="0061450D">
        <w:rPr>
          <w:rStyle w:val="FootnoteReference"/>
          <w:rFonts w:ascii="Verdana" w:hAnsi="Verdana"/>
          <w:sz w:val="16"/>
          <w:szCs w:val="16"/>
        </w:rPr>
        <w:footnoteRef/>
      </w:r>
      <w:r w:rsidRPr="0061450D">
        <w:rPr>
          <w:rFonts w:ascii="Verdana" w:hAnsi="Verdana"/>
          <w:sz w:val="16"/>
          <w:szCs w:val="16"/>
        </w:rPr>
        <w:t xml:space="preserve"> </w:t>
      </w:r>
      <w:r w:rsidRPr="0061450D">
        <w:rPr>
          <w:rFonts w:ascii="Verdana" w:hAnsi="Verdana"/>
          <w:sz w:val="16"/>
          <w:szCs w:val="16"/>
          <w:lang w:val="es-CO"/>
        </w:rPr>
        <w:t xml:space="preserve">Osorio Arturo, Edna Lorena. Asociaciones Público – Privadas en Colombia. El contrato de APP. Una mirada legal – Infraestructura Social – Hospitales. Página 183. </w:t>
      </w:r>
    </w:p>
    <w:p w14:paraId="292D9703" w14:textId="77777777" w:rsidR="00FD7032" w:rsidRPr="0061450D" w:rsidRDefault="00FD7032" w:rsidP="00FD7032">
      <w:pPr>
        <w:pStyle w:val="FootnoteText"/>
        <w:ind w:firstLine="708"/>
        <w:contextualSpacing/>
        <w:rPr>
          <w:rFonts w:ascii="Verdana" w:hAnsi="Verdana"/>
          <w:sz w:val="16"/>
          <w:szCs w:val="16"/>
          <w:lang w:val="es-CO"/>
        </w:rPr>
      </w:pPr>
    </w:p>
  </w:footnote>
  <w:footnote w:id="2">
    <w:p w14:paraId="55070875" w14:textId="77777777" w:rsidR="00FD7032" w:rsidRPr="00BE5A9D" w:rsidRDefault="00FD7032" w:rsidP="00FD7032">
      <w:pPr>
        <w:tabs>
          <w:tab w:val="left" w:pos="0"/>
        </w:tabs>
        <w:spacing w:after="0" w:line="240" w:lineRule="auto"/>
        <w:ind w:firstLine="709"/>
        <w:contextualSpacing/>
        <w:jc w:val="both"/>
        <w:rPr>
          <w:rFonts w:ascii="Verdana" w:eastAsia="Calibri" w:hAnsi="Verdana" w:cs="Arial"/>
          <w:bCs/>
          <w:color w:val="000000" w:themeColor="text1"/>
          <w:sz w:val="12"/>
          <w:szCs w:val="12"/>
          <w:lang w:val="es-ES_tradnl"/>
        </w:rPr>
      </w:pPr>
      <w:r w:rsidRPr="0061450D">
        <w:rPr>
          <w:rStyle w:val="FootnoteReference"/>
          <w:rFonts w:ascii="Verdana" w:hAnsi="Verdana" w:cs="Arial"/>
          <w:sz w:val="16"/>
          <w:szCs w:val="16"/>
          <w:lang w:val="es-ES_tradnl"/>
        </w:rPr>
        <w:footnoteRef/>
      </w:r>
      <w:r w:rsidRPr="0061450D">
        <w:rPr>
          <w:rFonts w:ascii="Verdana" w:hAnsi="Verdana" w:cs="Arial"/>
          <w:sz w:val="16"/>
          <w:szCs w:val="16"/>
          <w:lang w:val="es-ES_tradnl"/>
        </w:rPr>
        <w:t xml:space="preserve"> </w:t>
      </w:r>
      <w:r w:rsidRPr="0061450D">
        <w:rPr>
          <w:rFonts w:ascii="Verdana" w:eastAsia="Calibri" w:hAnsi="Verdana" w:cs="Arial"/>
          <w:bCs/>
          <w:color w:val="000000" w:themeColor="text1"/>
          <w:sz w:val="16"/>
          <w:szCs w:val="16"/>
          <w:lang w:val="es-ES_tradnl"/>
        </w:rPr>
        <w:t>El Consejo de Estado ha destacado sus características: “</w:t>
      </w:r>
      <w:r w:rsidRPr="0061450D">
        <w:rPr>
          <w:rFonts w:ascii="Verdana" w:hAnsi="Verdana" w:cs="Arial"/>
          <w:sz w:val="16"/>
          <w:szCs w:val="16"/>
          <w:lang w:val="es-ES_tradnl"/>
        </w:rPr>
        <w:t xml:space="preserve">[…] </w:t>
      </w:r>
      <w:r w:rsidRPr="0061450D">
        <w:rPr>
          <w:rFonts w:ascii="Verdana" w:eastAsia="Calibri" w:hAnsi="Verdana" w:cs="Arial"/>
          <w:bCs/>
          <w:color w:val="000000" w:themeColor="text1"/>
          <w:sz w:val="16"/>
          <w:szCs w:val="16"/>
          <w:lang w:val="es-ES_tradnl"/>
        </w:rPr>
        <w:t>la jurisprudencia de la Sección Tercera de esta Corporación ha señalado como características propias del contrato de concesión que: i) dentro de su celebración interviene una entidad estatal que actúa como concedente y una persona natural o jurídica denominada concesionario; ii) El concesionario es quien asume la gestión y riesgo de un servicio que corresponde al Estado sustituyendo a éste en el cumplimiento de dicha carga; iii) La entidad estatal mantiene durante la ejecución del contrato la inspección, vigilancia y control de la labor a ejecutar por parte del concesionario; iv) el concesionario recibe una remuneración o contraprestación, la cual se pacta, de diversas maneras (tasas, tarifas, derechos, participación en la explotación del bien, entre otros); y que v) los bienes construidos o adecuados durante la concesión deben revertirse al Estado, aunque ello no se pacte expresamente en el contrato”. Consejo de Estado. Sección Tercera. Sentencia del 23 de octubre de 2017. Consejero Ponente: Jaime Orlando Santofimio Gamboa. Exp. 53.477.</w:t>
      </w:r>
    </w:p>
  </w:footnote>
  <w:footnote w:id="3">
    <w:p w14:paraId="09DC5D74" w14:textId="77777777" w:rsidR="00FD7032" w:rsidRDefault="00FD7032" w:rsidP="00FD7032">
      <w:pPr>
        <w:pStyle w:val="FootnoteText"/>
        <w:ind w:firstLine="709"/>
        <w:contextualSpacing/>
        <w:jc w:val="both"/>
        <w:rPr>
          <w:rFonts w:ascii="Verdana" w:hAnsi="Verdana" w:cs="Arial"/>
          <w:sz w:val="16"/>
          <w:szCs w:val="16"/>
          <w:lang w:val="pt-BR"/>
        </w:rPr>
      </w:pPr>
      <w:r w:rsidRPr="00772771">
        <w:rPr>
          <w:rStyle w:val="FootnoteReference"/>
          <w:rFonts w:ascii="Verdana" w:hAnsi="Verdana" w:cs="Arial"/>
          <w:sz w:val="16"/>
          <w:szCs w:val="16"/>
        </w:rPr>
        <w:footnoteRef/>
      </w:r>
      <w:r w:rsidRPr="00772771">
        <w:rPr>
          <w:rFonts w:ascii="Verdana" w:hAnsi="Verdana" w:cs="Arial"/>
          <w:sz w:val="16"/>
          <w:szCs w:val="16"/>
        </w:rPr>
        <w:t xml:space="preserve"> Quiñones Guzmán, Juan Carlos. Contratos de Asociación Publico – Privada e Infraestructura de Transporte. </w:t>
      </w:r>
      <w:r w:rsidRPr="00772771">
        <w:rPr>
          <w:rFonts w:ascii="Verdana" w:hAnsi="Verdana" w:cs="Arial"/>
          <w:sz w:val="16"/>
          <w:szCs w:val="16"/>
          <w:lang w:val="es-ES_tradnl"/>
        </w:rPr>
        <w:t xml:space="preserve">Primera edición 20202. </w:t>
      </w:r>
      <w:r w:rsidRPr="00772771">
        <w:rPr>
          <w:rFonts w:ascii="Verdana" w:hAnsi="Verdana" w:cs="Arial"/>
          <w:sz w:val="16"/>
          <w:szCs w:val="16"/>
          <w:lang w:val="pt-BR"/>
        </w:rPr>
        <w:t>Página 6.</w:t>
      </w:r>
    </w:p>
    <w:p w14:paraId="65F9E2A9" w14:textId="77777777" w:rsidR="00FD7032" w:rsidRPr="00772771" w:rsidRDefault="00FD7032" w:rsidP="00FD7032">
      <w:pPr>
        <w:pStyle w:val="FootnoteText"/>
        <w:ind w:firstLine="709"/>
        <w:contextualSpacing/>
        <w:jc w:val="both"/>
        <w:rPr>
          <w:rFonts w:ascii="Verdana" w:hAnsi="Verdana" w:cs="Arial"/>
          <w:sz w:val="16"/>
          <w:szCs w:val="16"/>
          <w:lang w:val="pt-BR"/>
        </w:rPr>
      </w:pPr>
    </w:p>
  </w:footnote>
  <w:footnote w:id="4">
    <w:p w14:paraId="3E795E16" w14:textId="77777777" w:rsidR="00FD7032" w:rsidRPr="00BE5A9D" w:rsidRDefault="00FD7032" w:rsidP="00FD7032">
      <w:pPr>
        <w:spacing w:after="0" w:line="240" w:lineRule="auto"/>
        <w:ind w:firstLine="709"/>
        <w:contextualSpacing/>
        <w:jc w:val="both"/>
        <w:rPr>
          <w:rFonts w:ascii="Verdana" w:hAnsi="Verdana" w:cs="Arial"/>
          <w:sz w:val="12"/>
          <w:szCs w:val="12"/>
          <w:lang w:val="pt-BR"/>
        </w:rPr>
      </w:pPr>
      <w:r w:rsidRPr="00772771">
        <w:rPr>
          <w:rStyle w:val="FootnoteReference"/>
          <w:rFonts w:ascii="Verdana" w:hAnsi="Verdana" w:cs="Arial"/>
          <w:sz w:val="16"/>
          <w:szCs w:val="16"/>
        </w:rPr>
        <w:footnoteRef/>
      </w:r>
      <w:r w:rsidRPr="00772771">
        <w:rPr>
          <w:rFonts w:ascii="Verdana" w:hAnsi="Verdana" w:cs="Arial"/>
          <w:sz w:val="16"/>
          <w:szCs w:val="16"/>
          <w:lang w:val="pt-BR"/>
        </w:rPr>
        <w:t xml:space="preserve"> </w:t>
      </w:r>
      <w:bookmarkStart w:id="10" w:name="_Hlk182373531"/>
      <w:r w:rsidRPr="00772771">
        <w:rPr>
          <w:rFonts w:ascii="Verdana" w:hAnsi="Verdana" w:cs="Arial"/>
          <w:sz w:val="16"/>
          <w:szCs w:val="16"/>
          <w:lang w:val="pt-BR"/>
        </w:rPr>
        <w:t>Corte Constitucional. Sentencia C-300 de 2012. Magistrado Ponente: Jorge Ignacio Pretelt Chaljub.</w:t>
      </w:r>
      <w:bookmarkEnd w:id="10"/>
    </w:p>
  </w:footnote>
  <w:footnote w:id="5">
    <w:p w14:paraId="511B5306" w14:textId="77777777" w:rsidR="00FD7032" w:rsidRPr="000D558B" w:rsidRDefault="00FD7032" w:rsidP="00FD7032">
      <w:pPr>
        <w:pStyle w:val="FootnoteText"/>
        <w:ind w:firstLine="709"/>
        <w:contextualSpacing/>
        <w:jc w:val="both"/>
        <w:rPr>
          <w:rFonts w:ascii="Verdana" w:hAnsi="Verdana" w:cs="Arial"/>
          <w:sz w:val="16"/>
          <w:szCs w:val="16"/>
          <w:lang w:val="pt-BR"/>
        </w:rPr>
      </w:pPr>
      <w:r w:rsidRPr="000D558B">
        <w:rPr>
          <w:rStyle w:val="FootnoteReference"/>
          <w:rFonts w:ascii="Verdana" w:hAnsi="Verdana" w:cs="Arial"/>
          <w:sz w:val="16"/>
          <w:szCs w:val="16"/>
          <w:lang w:val="es-ES_tradnl"/>
        </w:rPr>
        <w:footnoteRef/>
      </w:r>
      <w:r w:rsidRPr="000D558B">
        <w:rPr>
          <w:rFonts w:ascii="Verdana" w:hAnsi="Verdana" w:cs="Arial"/>
          <w:sz w:val="16"/>
          <w:szCs w:val="16"/>
          <w:lang w:val="es-ES_tradnl"/>
        </w:rPr>
        <w:t xml:space="preserve"> La doctrina ha señalado que “[…] durante la década de los ochenta y de los noventa, las más variadas instituciones anglosajonas empiezan a proponer toda una serie de definiciones de la citada colaboración público privada (o en términos anglosajones </w:t>
      </w:r>
      <w:r w:rsidRPr="000D558B">
        <w:rPr>
          <w:rFonts w:ascii="Verdana" w:hAnsi="Verdana" w:cs="Arial"/>
          <w:i/>
          <w:iCs/>
          <w:sz w:val="16"/>
          <w:szCs w:val="16"/>
          <w:lang w:val="es-ES_tradnl"/>
        </w:rPr>
        <w:t>public private partnerships –</w:t>
      </w:r>
      <w:r w:rsidRPr="000D558B">
        <w:rPr>
          <w:rFonts w:ascii="Verdana" w:hAnsi="Verdana" w:cs="Arial"/>
          <w:sz w:val="16"/>
          <w:szCs w:val="16"/>
          <w:lang w:val="es-ES_tradnl"/>
        </w:rPr>
        <w:t xml:space="preserve">PPP–, en adelante), para hacer referencia a una amplia gama de operaciones, técnicas y metodologías aglutinadas bajo un enfoque o idea común: incentivar el interés particular en la ejecución de cometidos públicos asumiendo los riesgos inherentes a dicha ejecución, de modo que cada sector aporta sus recursos y conocimientos con el fin de acometer la construcción de una infraestructura o la gestión de un servicio público de la manera más eficiente posible. HERNANDO RYDINGS, María. La colaboración público-privada. Fórmulas contractuales. Madrid: Civitas. </w:t>
      </w:r>
      <w:r w:rsidRPr="000D558B">
        <w:rPr>
          <w:rFonts w:ascii="Verdana" w:hAnsi="Verdana" w:cs="Arial"/>
          <w:sz w:val="16"/>
          <w:szCs w:val="16"/>
          <w:lang w:val="pt-BR"/>
        </w:rPr>
        <w:t>Página 37-38.</w:t>
      </w:r>
    </w:p>
  </w:footnote>
  <w:footnote w:id="6">
    <w:p w14:paraId="204CEFA3" w14:textId="77777777" w:rsidR="00FD7032" w:rsidRDefault="00FD7032" w:rsidP="00FD7032">
      <w:pPr>
        <w:pStyle w:val="FootnoteText"/>
        <w:ind w:firstLine="708"/>
        <w:contextualSpacing/>
        <w:jc w:val="both"/>
        <w:rPr>
          <w:rFonts w:ascii="Verdana" w:hAnsi="Verdana" w:cs="Arial"/>
          <w:sz w:val="16"/>
          <w:szCs w:val="16"/>
          <w:lang w:val="pt-BR"/>
        </w:rPr>
      </w:pPr>
      <w:r w:rsidRPr="000D558B">
        <w:rPr>
          <w:rStyle w:val="FootnoteReference"/>
          <w:rFonts w:ascii="Verdana" w:hAnsi="Verdana" w:cs="Arial"/>
          <w:sz w:val="16"/>
          <w:szCs w:val="16"/>
        </w:rPr>
        <w:footnoteRef/>
      </w:r>
      <w:r w:rsidRPr="000D558B">
        <w:rPr>
          <w:rFonts w:ascii="Verdana" w:hAnsi="Verdana" w:cs="Arial"/>
          <w:sz w:val="16"/>
          <w:szCs w:val="16"/>
          <w:lang w:val="pt-BR"/>
        </w:rPr>
        <w:t xml:space="preserve"> </w:t>
      </w:r>
      <w:bookmarkStart w:id="13" w:name="_Hlk182374189"/>
      <w:r w:rsidRPr="000D558B">
        <w:rPr>
          <w:rFonts w:ascii="Verdana" w:hAnsi="Verdana" w:cs="Arial"/>
          <w:sz w:val="16"/>
          <w:szCs w:val="16"/>
          <w:lang w:val="pt-BR"/>
        </w:rPr>
        <w:t>Corte Constitucional. Sentencia C-595 de 2014. Magistrado Ponente: Jorge Ignacio Pretelt Chaljub.</w:t>
      </w:r>
      <w:bookmarkEnd w:id="13"/>
    </w:p>
    <w:p w14:paraId="42920D9E" w14:textId="77777777" w:rsidR="00FD7032" w:rsidRPr="00BE5A9D" w:rsidRDefault="00FD7032" w:rsidP="00FD7032">
      <w:pPr>
        <w:pStyle w:val="FootnoteText"/>
        <w:ind w:firstLine="708"/>
        <w:contextualSpacing/>
        <w:jc w:val="both"/>
        <w:rPr>
          <w:rFonts w:ascii="Verdana" w:hAnsi="Verdana" w:cs="Arial"/>
          <w:sz w:val="12"/>
          <w:szCs w:val="12"/>
          <w:lang w:val="pt-BR"/>
        </w:rPr>
      </w:pPr>
    </w:p>
  </w:footnote>
  <w:footnote w:id="7">
    <w:p w14:paraId="78213239" w14:textId="77777777" w:rsidR="00FD7032" w:rsidRDefault="00FD7032" w:rsidP="00FD7032">
      <w:pPr>
        <w:pStyle w:val="FootnoteText"/>
        <w:ind w:firstLine="708"/>
        <w:contextualSpacing/>
        <w:jc w:val="both"/>
        <w:rPr>
          <w:rFonts w:ascii="Verdana" w:hAnsi="Verdana" w:cs="Arial"/>
          <w:sz w:val="16"/>
          <w:szCs w:val="16"/>
        </w:rPr>
      </w:pPr>
      <w:r w:rsidRPr="00CC1F33">
        <w:rPr>
          <w:rFonts w:ascii="Verdana" w:hAnsi="Verdana"/>
          <w:sz w:val="16"/>
          <w:szCs w:val="16"/>
          <w:vertAlign w:val="superscript"/>
        </w:rPr>
        <w:footnoteRef/>
      </w:r>
      <w:r w:rsidRPr="00CC1F33">
        <w:rPr>
          <w:rFonts w:ascii="Verdana" w:hAnsi="Verdana" w:cs="Arial"/>
          <w:sz w:val="16"/>
          <w:szCs w:val="16"/>
          <w:vertAlign w:val="superscript"/>
        </w:rPr>
        <w:t xml:space="preserve"> </w:t>
      </w:r>
      <w:r w:rsidRPr="00CC1F33">
        <w:rPr>
          <w:rFonts w:ascii="Verdana" w:hAnsi="Verdana" w:cs="Arial"/>
          <w:sz w:val="16"/>
          <w:szCs w:val="16"/>
        </w:rPr>
        <w:t>Dávila Vinueza. Luis Guillermo. Régimen jurídico de la contratación estatal. 3ª ed. Bogotá: Temis, 2016. p. 494.</w:t>
      </w:r>
    </w:p>
    <w:p w14:paraId="2C90AE04" w14:textId="77777777" w:rsidR="00FD7032" w:rsidRPr="00CC1F33" w:rsidRDefault="00FD7032" w:rsidP="00FD7032">
      <w:pPr>
        <w:pStyle w:val="FootnoteText"/>
        <w:ind w:firstLine="708"/>
        <w:contextualSpacing/>
        <w:jc w:val="both"/>
        <w:rPr>
          <w:rFonts w:ascii="Verdana" w:hAnsi="Verdana" w:cs="Arial"/>
          <w:sz w:val="16"/>
          <w:szCs w:val="16"/>
        </w:rPr>
      </w:pPr>
    </w:p>
  </w:footnote>
  <w:footnote w:id="8">
    <w:p w14:paraId="4570AC4A" w14:textId="77777777" w:rsidR="00FD7032" w:rsidRPr="00CC1F33" w:rsidRDefault="00FD7032" w:rsidP="00FD7032">
      <w:pPr>
        <w:pStyle w:val="FootnoteText"/>
        <w:ind w:firstLine="708"/>
        <w:contextualSpacing/>
        <w:jc w:val="both"/>
        <w:rPr>
          <w:rFonts w:ascii="Verdana" w:hAnsi="Verdana" w:cs="Arial"/>
          <w:sz w:val="16"/>
          <w:szCs w:val="16"/>
        </w:rPr>
      </w:pPr>
      <w:r w:rsidRPr="00CC1F33">
        <w:rPr>
          <w:rFonts w:ascii="Verdana" w:hAnsi="Verdana"/>
          <w:sz w:val="16"/>
          <w:szCs w:val="16"/>
          <w:vertAlign w:val="superscript"/>
        </w:rPr>
        <w:footnoteRef/>
      </w:r>
      <w:r w:rsidRPr="00CC1F33">
        <w:rPr>
          <w:rFonts w:ascii="Verdana" w:hAnsi="Verdana" w:cs="Arial"/>
          <w:sz w:val="16"/>
          <w:szCs w:val="16"/>
          <w:vertAlign w:val="superscript"/>
        </w:rPr>
        <w:t xml:space="preserve"> </w:t>
      </w:r>
      <w:r w:rsidRPr="00CC1F33">
        <w:rPr>
          <w:rFonts w:ascii="Verdana" w:hAnsi="Verdana" w:cs="Arial"/>
          <w:sz w:val="16"/>
          <w:szCs w:val="16"/>
        </w:rPr>
        <w:t>Decreto 1082 de 2015: “Artículo 2.2.1.2.1.4.4. Convenios o contratos interadministrativos. La modalidad de selección para la contratación entre Entidades Estatales es la contratación directa; y en consecuencia, le es aplicable lo establecido en el artículo 2.2.1.2.1.4.1 del presente decreto.</w:t>
      </w:r>
    </w:p>
    <w:p w14:paraId="0E8E6EC0" w14:textId="77777777" w:rsidR="00FD7032" w:rsidRPr="00CC1F33" w:rsidRDefault="00FD7032" w:rsidP="00FD7032">
      <w:pPr>
        <w:pStyle w:val="FootnoteText"/>
        <w:ind w:firstLine="708"/>
        <w:contextualSpacing/>
        <w:jc w:val="both"/>
        <w:rPr>
          <w:rFonts w:ascii="Verdana" w:hAnsi="Verdana" w:cs="Arial"/>
          <w:sz w:val="16"/>
          <w:szCs w:val="16"/>
        </w:rPr>
      </w:pPr>
      <w:r w:rsidRPr="00CC1F33">
        <w:rPr>
          <w:rFonts w:ascii="Verdana" w:hAnsi="Verdana" w:cs="Arial"/>
          <w:sz w:val="16"/>
          <w:szCs w:val="16"/>
        </w:rPr>
        <w:t>Cuando la totalidad del presupuesto de una Entidad Estatal hace parte del presupuesto de otra con ocasión de un convenio o contrato interadministrativo, el monto del presupuesto de la primera deberá deducirse del presupuesto de la segunda para determinar la capacidad contractual de las Entidades Estatales”.</w:t>
      </w:r>
    </w:p>
  </w:footnote>
  <w:footnote w:id="9">
    <w:p w14:paraId="093B6364" w14:textId="77777777" w:rsidR="00FD7032" w:rsidRDefault="00FD7032" w:rsidP="00FD7032">
      <w:pPr>
        <w:spacing w:line="240" w:lineRule="auto"/>
        <w:ind w:firstLine="708"/>
        <w:contextualSpacing/>
        <w:jc w:val="both"/>
        <w:rPr>
          <w:rFonts w:ascii="Verdana" w:hAnsi="Verdana" w:cs="Arial"/>
          <w:sz w:val="16"/>
          <w:szCs w:val="16"/>
        </w:rPr>
      </w:pPr>
      <w:r w:rsidRPr="00CC1F33">
        <w:rPr>
          <w:rStyle w:val="FootnoteReference"/>
          <w:rFonts w:ascii="Verdana" w:hAnsi="Verdana" w:cs="Arial"/>
          <w:sz w:val="16"/>
          <w:szCs w:val="16"/>
        </w:rPr>
        <w:footnoteRef/>
      </w:r>
      <w:r w:rsidRPr="00CC1F33">
        <w:rPr>
          <w:rFonts w:ascii="Verdana" w:hAnsi="Verdana" w:cs="Arial"/>
          <w:sz w:val="16"/>
          <w:szCs w:val="16"/>
        </w:rPr>
        <w:t xml:space="preserve"> Consejo de Estado. Sala de Consulta y Servicio Civil. Concepto 26 de julio de 2016. Exp. 2.257. C.P. Álvaro Namén Vargas.</w:t>
      </w:r>
    </w:p>
    <w:p w14:paraId="4660AA2D" w14:textId="77777777" w:rsidR="00FD7032" w:rsidRPr="00CC1F33" w:rsidRDefault="00FD7032" w:rsidP="00FD7032">
      <w:pPr>
        <w:spacing w:line="240" w:lineRule="auto"/>
        <w:ind w:firstLine="708"/>
        <w:contextualSpacing/>
        <w:jc w:val="both"/>
        <w:rPr>
          <w:rFonts w:ascii="Verdana" w:hAnsi="Verdana" w:cs="Arial"/>
          <w:sz w:val="16"/>
          <w:szCs w:val="16"/>
        </w:rPr>
      </w:pPr>
    </w:p>
  </w:footnote>
  <w:footnote w:id="10">
    <w:p w14:paraId="056D58B1" w14:textId="77777777" w:rsidR="00FD7032" w:rsidRDefault="00FD7032" w:rsidP="00FD7032">
      <w:pPr>
        <w:spacing w:line="240" w:lineRule="auto"/>
        <w:ind w:firstLine="708"/>
        <w:contextualSpacing/>
        <w:jc w:val="both"/>
        <w:rPr>
          <w:rFonts w:ascii="Verdana" w:hAnsi="Verdana" w:cs="Arial"/>
          <w:sz w:val="16"/>
          <w:szCs w:val="16"/>
        </w:rPr>
      </w:pPr>
      <w:r w:rsidRPr="00CC1F33">
        <w:rPr>
          <w:rStyle w:val="FootnoteReference"/>
          <w:rFonts w:ascii="Verdana" w:hAnsi="Verdana" w:cs="Arial"/>
          <w:sz w:val="16"/>
          <w:szCs w:val="16"/>
        </w:rPr>
        <w:footnoteRef/>
      </w:r>
      <w:r w:rsidRPr="00CC1F33">
        <w:rPr>
          <w:rFonts w:ascii="Verdana" w:hAnsi="Verdana" w:cs="Arial"/>
          <w:sz w:val="16"/>
          <w:szCs w:val="16"/>
        </w:rPr>
        <w:t xml:space="preserve"> [Referencia propia de la cita] CE. SCSC. Concepto de 1 de noviembre de 2016 [Rad. 11001-03-06-000-2016-00125-00(2305)]. MP. Germán Alberto Bula Escobar.</w:t>
      </w:r>
    </w:p>
    <w:p w14:paraId="4EF037B2" w14:textId="77777777" w:rsidR="00FD7032" w:rsidRPr="00CC1F33" w:rsidRDefault="00FD7032" w:rsidP="00FD7032">
      <w:pPr>
        <w:spacing w:line="240" w:lineRule="auto"/>
        <w:ind w:firstLine="708"/>
        <w:contextualSpacing/>
        <w:jc w:val="both"/>
        <w:rPr>
          <w:rFonts w:ascii="Verdana" w:hAnsi="Verdana" w:cs="Arial"/>
          <w:sz w:val="16"/>
          <w:szCs w:val="16"/>
        </w:rPr>
      </w:pPr>
    </w:p>
  </w:footnote>
  <w:footnote w:id="11">
    <w:p w14:paraId="709586BF" w14:textId="77777777" w:rsidR="00FD7032" w:rsidRDefault="00FD7032" w:rsidP="00FD7032">
      <w:pPr>
        <w:spacing w:line="240" w:lineRule="auto"/>
        <w:ind w:firstLine="708"/>
        <w:contextualSpacing/>
        <w:jc w:val="both"/>
        <w:rPr>
          <w:rFonts w:ascii="Verdana" w:hAnsi="Verdana" w:cs="Arial"/>
          <w:sz w:val="16"/>
          <w:szCs w:val="16"/>
        </w:rPr>
      </w:pPr>
      <w:r w:rsidRPr="00CC1F33">
        <w:rPr>
          <w:rStyle w:val="FootnoteReference"/>
          <w:rFonts w:ascii="Verdana" w:hAnsi="Verdana" w:cs="Arial"/>
          <w:sz w:val="16"/>
          <w:szCs w:val="16"/>
        </w:rPr>
        <w:footnoteRef/>
      </w:r>
      <w:r w:rsidRPr="00CC1F33">
        <w:rPr>
          <w:rFonts w:ascii="Verdana" w:hAnsi="Verdana" w:cs="Arial"/>
          <w:sz w:val="16"/>
          <w:szCs w:val="16"/>
        </w:rPr>
        <w:t xml:space="preserve"> [Referencia propia de la cita] CE. SCSC. Concepto de 30 de abril de 2008 [Rad. 11001-03-06-000-2008-00013-00(1881)]. MP. Enrique José Arboleda Perdomo. En esta oportunidad, la Sala indicó que el contenido </w:t>
      </w:r>
      <w:r w:rsidRPr="00CC1F33">
        <w:rPr>
          <w:rFonts w:ascii="Verdana" w:hAnsi="Verdana" w:cs="Arial"/>
          <w:i/>
          <w:sz w:val="16"/>
          <w:szCs w:val="16"/>
        </w:rPr>
        <w:t>“obligacional”</w:t>
      </w:r>
      <w:r w:rsidRPr="00CC1F33">
        <w:rPr>
          <w:rFonts w:ascii="Verdana" w:hAnsi="Verdana" w:cs="Arial"/>
          <w:sz w:val="16"/>
          <w:szCs w:val="16"/>
        </w:rPr>
        <w:t xml:space="preserve"> de los convenios se estructura definiendo el resultado querido por las partes y los medios que cada entidad despliega para la obtención del respectivo objeto”.</w:t>
      </w:r>
    </w:p>
    <w:p w14:paraId="335F3A7C" w14:textId="77777777" w:rsidR="00FD7032" w:rsidRPr="00CC1F33" w:rsidRDefault="00FD7032" w:rsidP="00FD7032">
      <w:pPr>
        <w:spacing w:line="240" w:lineRule="auto"/>
        <w:ind w:firstLine="708"/>
        <w:contextualSpacing/>
        <w:jc w:val="both"/>
        <w:rPr>
          <w:rFonts w:ascii="Verdana" w:hAnsi="Verdana" w:cs="Arial"/>
          <w:sz w:val="16"/>
          <w:szCs w:val="16"/>
        </w:rPr>
      </w:pPr>
    </w:p>
  </w:footnote>
  <w:footnote w:id="12">
    <w:p w14:paraId="67536C81" w14:textId="77777777" w:rsidR="00FD7032" w:rsidRDefault="00FD7032" w:rsidP="00FD7032">
      <w:pPr>
        <w:spacing w:after="0" w:line="240" w:lineRule="auto"/>
        <w:ind w:firstLine="709"/>
        <w:contextualSpacing/>
        <w:jc w:val="both"/>
        <w:rPr>
          <w:rFonts w:ascii="Verdana" w:hAnsi="Verdana" w:cs="Arial"/>
          <w:sz w:val="16"/>
          <w:szCs w:val="16"/>
        </w:rPr>
      </w:pPr>
      <w:r w:rsidRPr="00CC1F33">
        <w:rPr>
          <w:rStyle w:val="FootnoteReference"/>
          <w:rFonts w:ascii="Verdana" w:hAnsi="Verdana" w:cs="Arial"/>
          <w:sz w:val="16"/>
          <w:szCs w:val="16"/>
        </w:rPr>
        <w:footnoteRef/>
      </w:r>
      <w:r w:rsidRPr="00CC1F33">
        <w:rPr>
          <w:rFonts w:ascii="Verdana" w:hAnsi="Verdana" w:cs="Arial"/>
          <w:sz w:val="16"/>
          <w:szCs w:val="16"/>
        </w:rPr>
        <w:t xml:space="preserve"> [Referencia propia de la cita] “La normativa vigente del EGCAP </w:t>
      </w:r>
      <w:r w:rsidRPr="00CC1F33">
        <w:rPr>
          <w:rFonts w:ascii="Verdana" w:hAnsi="Verdana" w:cs="Arial"/>
          <w:i/>
          <w:sz w:val="16"/>
          <w:szCs w:val="16"/>
        </w:rPr>
        <w:t>[literal c) del numeral 4. del artículo 2 de la Ley 1150/07]</w:t>
      </w:r>
      <w:r w:rsidRPr="00CC1F33">
        <w:rPr>
          <w:rFonts w:ascii="Verdana" w:hAnsi="Verdana" w:cs="Arial"/>
          <w:sz w:val="16"/>
          <w:szCs w:val="16"/>
        </w:rPr>
        <w:t xml:space="preserve"> se refiere a </w:t>
      </w:r>
      <w:r w:rsidRPr="00CC1F33">
        <w:rPr>
          <w:rFonts w:ascii="Verdana" w:hAnsi="Verdana" w:cs="Arial"/>
          <w:i/>
          <w:sz w:val="16"/>
          <w:szCs w:val="16"/>
        </w:rPr>
        <w:t>“contratos interadministrativos”</w:t>
      </w:r>
      <w:r w:rsidRPr="00CC1F33">
        <w:rPr>
          <w:rFonts w:ascii="Verdana" w:hAnsi="Verdana" w:cs="Arial"/>
          <w:sz w:val="16"/>
          <w:szCs w:val="16"/>
        </w:rPr>
        <w:t xml:space="preserve"> en los que sí existe dicha contraposición de intereses, lo cual obedece a que las relaciones obligatorias que estos plantean, a diferencia de los regulados por el artículo 95 de la Ley 489/98, carecen de la finalidad asociativa, en la medida en que persiguen preponderantemente la satisfacción de necesidades contractuales de las entidades estatales, sin perjuicio de los fines que motivan la contratación en los términos del artículo 3 de la Ley 80/93”.</w:t>
      </w:r>
    </w:p>
    <w:p w14:paraId="06767951" w14:textId="77777777" w:rsidR="00FD7032" w:rsidRPr="00CC1F33" w:rsidRDefault="00FD7032" w:rsidP="00FD7032">
      <w:pPr>
        <w:spacing w:after="0" w:line="240" w:lineRule="auto"/>
        <w:ind w:firstLine="709"/>
        <w:contextualSpacing/>
        <w:jc w:val="both"/>
        <w:rPr>
          <w:rFonts w:ascii="Verdana" w:hAnsi="Verdana" w:cs="Arial"/>
          <w:sz w:val="16"/>
          <w:szCs w:val="16"/>
        </w:rPr>
      </w:pPr>
    </w:p>
  </w:footnote>
  <w:footnote w:id="13">
    <w:p w14:paraId="0A18D3D9" w14:textId="77777777" w:rsidR="00FD7032" w:rsidRDefault="00FD7032" w:rsidP="00FD7032">
      <w:pPr>
        <w:pStyle w:val="FootnoteText"/>
        <w:ind w:firstLine="709"/>
        <w:jc w:val="both"/>
        <w:rPr>
          <w:rFonts w:ascii="Verdana" w:hAnsi="Verdana" w:cs="Arial"/>
          <w:sz w:val="16"/>
          <w:szCs w:val="16"/>
          <w:lang w:val="es-ES"/>
        </w:rPr>
      </w:pPr>
      <w:r w:rsidRPr="00CC1F33">
        <w:rPr>
          <w:rStyle w:val="FootnoteReference"/>
          <w:rFonts w:ascii="Verdana" w:hAnsi="Verdana" w:cs="Arial"/>
          <w:sz w:val="16"/>
          <w:szCs w:val="16"/>
        </w:rPr>
        <w:footnoteRef/>
      </w:r>
      <w:r w:rsidRPr="00CC1F33">
        <w:rPr>
          <w:rFonts w:ascii="Verdana" w:hAnsi="Verdana" w:cs="Arial"/>
          <w:sz w:val="16"/>
          <w:szCs w:val="16"/>
        </w:rPr>
        <w:t xml:space="preserve"> En sentido similar </w:t>
      </w:r>
      <w:r w:rsidRPr="00CC1F33">
        <w:rPr>
          <w:rFonts w:ascii="Verdana" w:hAnsi="Verdana" w:cs="Arial"/>
          <w:sz w:val="16"/>
          <w:szCs w:val="16"/>
          <w:lang w:val="es-ES"/>
        </w:rPr>
        <w:t xml:space="preserve">ver, entre otras, al Consejo de Estado, Sala de lo Contencioso Administrativo, Sección Tercera, sentencia del 22 de octubre de 2021, Rad. 65978, M.P. Martha Nubia Velásquez; Consejo de Estado, Sala de lo Contencioso Administrativo, Sección Tercera, Subsección A, Sentencia del 23 de abril de 2021, Rad. 49148, M.P. María Adriana Marín; Consejo de Estado, Sala de lo Contencioso Administrativo, Sección Tercera, Subsección A, Sentencia del 21 de mayo de 2021, Rad. 66756, M.P. José Roberto Sáchica Méndez; Consejo de Estado, Sala de lo Contencioso Administrativo, Sección Tercera, Subsección C, Auto del 30 de septiembre de 2020, Rad. 65358, M.P. Guillermo Sánchez Luque. </w:t>
      </w:r>
    </w:p>
    <w:p w14:paraId="7583E0E1" w14:textId="77777777" w:rsidR="00FD7032" w:rsidRPr="00CC1F33" w:rsidRDefault="00FD7032" w:rsidP="00FD7032">
      <w:pPr>
        <w:pStyle w:val="FootnoteText"/>
        <w:ind w:firstLine="709"/>
        <w:jc w:val="both"/>
        <w:rPr>
          <w:rFonts w:ascii="Verdana" w:hAnsi="Verdana" w:cs="Arial"/>
          <w:sz w:val="16"/>
          <w:szCs w:val="16"/>
          <w:lang w:val="es-ES"/>
        </w:rPr>
      </w:pPr>
    </w:p>
  </w:footnote>
  <w:footnote w:id="14">
    <w:p w14:paraId="5F5708A7" w14:textId="77777777" w:rsidR="00FD7032" w:rsidRPr="00CC1F33" w:rsidRDefault="00FD7032" w:rsidP="00FD7032">
      <w:pPr>
        <w:pStyle w:val="FootnoteText"/>
        <w:ind w:firstLine="709"/>
        <w:contextualSpacing/>
        <w:jc w:val="both"/>
        <w:rPr>
          <w:rFonts w:ascii="Verdana" w:hAnsi="Verdana" w:cs="Arial"/>
          <w:sz w:val="16"/>
          <w:szCs w:val="16"/>
        </w:rPr>
      </w:pPr>
      <w:r w:rsidRPr="00CC1F33">
        <w:rPr>
          <w:rStyle w:val="FootnoteReference"/>
          <w:rFonts w:ascii="Verdana" w:hAnsi="Verdana" w:cs="Arial"/>
          <w:sz w:val="16"/>
          <w:szCs w:val="16"/>
        </w:rPr>
        <w:footnoteRef/>
      </w:r>
      <w:r w:rsidRPr="00CC1F33">
        <w:rPr>
          <w:rFonts w:ascii="Verdana" w:hAnsi="Verdana" w:cs="Arial"/>
          <w:sz w:val="16"/>
          <w:szCs w:val="16"/>
        </w:rPr>
        <w:t xml:space="preserve"> Sobre el particular, en ocasiones el Consejo de Estado ha establecido que en aquellos casos en que se pacte remuneración en el marco de un convenio interadministrativo, independientemente de la denominación que se adopte, el negocio jurídico podría no corresponder a su naturaleza y en consecuencia a sus efectos jurídicos. A juicio de esta corporación “en realidad, los convenios en los cuales las partes se obligan patrimonialmente constituyen contratos en toda la extensión del concepto y con todos los efectos de esa particular institución jurídica”, de manera que indudablemente les será aplicable el EGCAP. (Consejo de Estado. Sala de lo Contencioso Administrativo, Sección Tercera. Sentencia de 23 de junio de 2010, Exp. 1998-00261. C.P. Mauricio Fajardo Gómez). Cfr. Consejo de Estado. Sala de Consulta y Servicio Civil. Concepto de 30 de abril de 2008. Rad. 1881.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A186" w14:textId="2BBA7DA3" w:rsidR="00E3211B" w:rsidRDefault="00E3211B">
    <w:pPr>
      <w:pStyle w:val="Header"/>
    </w:pPr>
    <w:r>
      <w:rPr>
        <w:noProof/>
      </w:rPr>
      <w:pict w14:anchorId="2413EE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339188" o:spid="_x0000_s1026" type="#_x0000_t136" style="position:absolute;margin-left:0;margin-top:0;width:564.6pt;height:58.4pt;rotation:315;z-index:-251654143;mso-position-horizontal:center;mso-position-horizontal-relative:margin;mso-position-vertical:center;mso-position-vertical-relative:margin" o:allowincell="f" fillcolor="silver" stroked="f">
          <v:fill opacity=".5"/>
          <v:textpath style="font-family:&quot;Calibri&quot;;font-size:1pt" string="WWW.CONTRATACIONENLINEA.CO"/>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4CCD826" w:rsidR="00756841" w:rsidRDefault="00E3211B" w:rsidP="00844AE9">
    <w:pPr>
      <w:pStyle w:val="Header"/>
      <w:spacing w:line="120" w:lineRule="auto"/>
    </w:pPr>
    <w:r>
      <w:rPr>
        <w:noProof/>
      </w:rPr>
      <w:pict w14:anchorId="048887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339189" o:spid="_x0000_s1027" type="#_x0000_t136" style="position:absolute;margin-left:0;margin-top:0;width:564.6pt;height:58.4pt;rotation:315;z-index:-251652095;mso-position-horizontal:center;mso-position-horizontal-relative:margin;mso-position-vertical:center;mso-position-vertical-relative:margin" o:allowincell="f" fillcolor="silver" stroked="f">
          <v:fill opacity=".5"/>
          <v:textpath style="font-family:&quot;Calibri&quot;;font-size:1pt" string="WWW.CONTRATACIONENLINEA.CO"/>
        </v:shape>
      </w:pict>
    </w:r>
    <w:r w:rsidR="009D3058">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9DB3" w14:textId="6768A5DF" w:rsidR="00E3211B" w:rsidRDefault="00E3211B">
    <w:pPr>
      <w:pStyle w:val="Header"/>
    </w:pPr>
    <w:r>
      <w:rPr>
        <w:noProof/>
      </w:rPr>
      <w:pict w14:anchorId="6C4D2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339187" o:spid="_x0000_s1025" type="#_x0000_t136" style="position:absolute;margin-left:0;margin-top:0;width:564.6pt;height:58.4pt;rotation:315;z-index:-251656191;mso-position-horizontal:center;mso-position-horizontal-relative:margin;mso-position-vertical:center;mso-position-vertical-relative:margin" o:allowincell="f" fillcolor="silver" stroked="f">
          <v:fill opacity=".5"/>
          <v:textpath style="font-family:&quot;Calibri&quot;;font-size:1pt" string="WWW.CONTRATACIONENLINEA.C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318926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49F6"/>
    <w:rsid w:val="000F6486"/>
    <w:rsid w:val="00116940"/>
    <w:rsid w:val="00121701"/>
    <w:rsid w:val="00125105"/>
    <w:rsid w:val="00127233"/>
    <w:rsid w:val="001301B9"/>
    <w:rsid w:val="0013536F"/>
    <w:rsid w:val="0015699B"/>
    <w:rsid w:val="00182A76"/>
    <w:rsid w:val="001A33BF"/>
    <w:rsid w:val="001E4177"/>
    <w:rsid w:val="001F0B24"/>
    <w:rsid w:val="001F7DC6"/>
    <w:rsid w:val="0022400B"/>
    <w:rsid w:val="002421BB"/>
    <w:rsid w:val="002460E7"/>
    <w:rsid w:val="0025796E"/>
    <w:rsid w:val="002707A2"/>
    <w:rsid w:val="002951A0"/>
    <w:rsid w:val="002962BC"/>
    <w:rsid w:val="002A093D"/>
    <w:rsid w:val="002A0DD0"/>
    <w:rsid w:val="002A49AC"/>
    <w:rsid w:val="002A64FD"/>
    <w:rsid w:val="002C7A84"/>
    <w:rsid w:val="002E2BF8"/>
    <w:rsid w:val="002E4FD9"/>
    <w:rsid w:val="00302168"/>
    <w:rsid w:val="0030657A"/>
    <w:rsid w:val="00322A85"/>
    <w:rsid w:val="00324168"/>
    <w:rsid w:val="00330834"/>
    <w:rsid w:val="003448F4"/>
    <w:rsid w:val="00374F5E"/>
    <w:rsid w:val="00377E3E"/>
    <w:rsid w:val="003A779E"/>
    <w:rsid w:val="003D0F4D"/>
    <w:rsid w:val="003D5B0D"/>
    <w:rsid w:val="003E0499"/>
    <w:rsid w:val="003E4F80"/>
    <w:rsid w:val="003E6439"/>
    <w:rsid w:val="003F195C"/>
    <w:rsid w:val="003F3941"/>
    <w:rsid w:val="004037A4"/>
    <w:rsid w:val="00406575"/>
    <w:rsid w:val="00414C74"/>
    <w:rsid w:val="0042722E"/>
    <w:rsid w:val="0044528D"/>
    <w:rsid w:val="00466E39"/>
    <w:rsid w:val="004A1847"/>
    <w:rsid w:val="004A305D"/>
    <w:rsid w:val="004F21C4"/>
    <w:rsid w:val="004F685F"/>
    <w:rsid w:val="005566E8"/>
    <w:rsid w:val="005723A9"/>
    <w:rsid w:val="00574867"/>
    <w:rsid w:val="00577841"/>
    <w:rsid w:val="00591460"/>
    <w:rsid w:val="005A65E0"/>
    <w:rsid w:val="005C3777"/>
    <w:rsid w:val="005C5CDC"/>
    <w:rsid w:val="005D476C"/>
    <w:rsid w:val="006200BF"/>
    <w:rsid w:val="006219F8"/>
    <w:rsid w:val="00626A0A"/>
    <w:rsid w:val="006302F7"/>
    <w:rsid w:val="00646B9F"/>
    <w:rsid w:val="00665D70"/>
    <w:rsid w:val="006900D9"/>
    <w:rsid w:val="006A031D"/>
    <w:rsid w:val="00706C16"/>
    <w:rsid w:val="007340C3"/>
    <w:rsid w:val="0075235A"/>
    <w:rsid w:val="00756841"/>
    <w:rsid w:val="007649AB"/>
    <w:rsid w:val="00771D0C"/>
    <w:rsid w:val="007776E0"/>
    <w:rsid w:val="007833AC"/>
    <w:rsid w:val="007B268C"/>
    <w:rsid w:val="007B7171"/>
    <w:rsid w:val="007C0C0F"/>
    <w:rsid w:val="007C3DC2"/>
    <w:rsid w:val="007E5497"/>
    <w:rsid w:val="00806F5F"/>
    <w:rsid w:val="00820278"/>
    <w:rsid w:val="008258C9"/>
    <w:rsid w:val="00844AE9"/>
    <w:rsid w:val="00861E5F"/>
    <w:rsid w:val="00867F95"/>
    <w:rsid w:val="008843B6"/>
    <w:rsid w:val="00891928"/>
    <w:rsid w:val="008A446D"/>
    <w:rsid w:val="008B25F1"/>
    <w:rsid w:val="008D180B"/>
    <w:rsid w:val="008E15E8"/>
    <w:rsid w:val="008E3B1E"/>
    <w:rsid w:val="008F0EA7"/>
    <w:rsid w:val="0090285E"/>
    <w:rsid w:val="00923EEF"/>
    <w:rsid w:val="009419F9"/>
    <w:rsid w:val="0095685E"/>
    <w:rsid w:val="00961B09"/>
    <w:rsid w:val="00965334"/>
    <w:rsid w:val="0097093E"/>
    <w:rsid w:val="00984957"/>
    <w:rsid w:val="009A0DFA"/>
    <w:rsid w:val="009A1C6F"/>
    <w:rsid w:val="009B2D26"/>
    <w:rsid w:val="009C0EAF"/>
    <w:rsid w:val="009C71FA"/>
    <w:rsid w:val="009C72E7"/>
    <w:rsid w:val="009C7F7E"/>
    <w:rsid w:val="009D3058"/>
    <w:rsid w:val="009F3A13"/>
    <w:rsid w:val="00A122D3"/>
    <w:rsid w:val="00A14468"/>
    <w:rsid w:val="00A17F13"/>
    <w:rsid w:val="00A20739"/>
    <w:rsid w:val="00A23AF9"/>
    <w:rsid w:val="00A33C78"/>
    <w:rsid w:val="00AA17A6"/>
    <w:rsid w:val="00AB0ADB"/>
    <w:rsid w:val="00AE3F8F"/>
    <w:rsid w:val="00B00C0E"/>
    <w:rsid w:val="00B01B1A"/>
    <w:rsid w:val="00B0381D"/>
    <w:rsid w:val="00B3112D"/>
    <w:rsid w:val="00B44A47"/>
    <w:rsid w:val="00B72CD3"/>
    <w:rsid w:val="00B72FFF"/>
    <w:rsid w:val="00BC3D36"/>
    <w:rsid w:val="00BD54A6"/>
    <w:rsid w:val="00BD7F72"/>
    <w:rsid w:val="00BE6C1E"/>
    <w:rsid w:val="00BF7425"/>
    <w:rsid w:val="00C01F7A"/>
    <w:rsid w:val="00C04FB3"/>
    <w:rsid w:val="00C11D8B"/>
    <w:rsid w:val="00C15139"/>
    <w:rsid w:val="00C330EB"/>
    <w:rsid w:val="00C50D69"/>
    <w:rsid w:val="00C5365C"/>
    <w:rsid w:val="00C754BE"/>
    <w:rsid w:val="00C76B1C"/>
    <w:rsid w:val="00C925AC"/>
    <w:rsid w:val="00CB6357"/>
    <w:rsid w:val="00CC1B26"/>
    <w:rsid w:val="00CE0D4C"/>
    <w:rsid w:val="00D24FB0"/>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3211B"/>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2F3"/>
    <w:rsid w:val="00F76AFC"/>
    <w:rsid w:val="00FA23B9"/>
    <w:rsid w:val="00FA47C0"/>
    <w:rsid w:val="00FB5DD1"/>
    <w:rsid w:val="00FC2B5D"/>
    <w:rsid w:val="00FD7032"/>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
    <w:basedOn w:val="Normal"/>
    <w:link w:val="ListParagraphChar"/>
    <w:uiPriority w:val="34"/>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link w:val="NormalWebCh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FD7032"/>
    <w:pPr>
      <w:spacing w:line="240" w:lineRule="exact"/>
    </w:pPr>
    <w:rPr>
      <w:vertAlign w:val="superscript"/>
    </w:rPr>
  </w:style>
  <w:style w:type="character" w:customStyle="1" w:styleId="NormalWebChar">
    <w:name w:val="Normal (Web) Char"/>
    <w:link w:val="NormalWeb"/>
    <w:uiPriority w:val="99"/>
    <w:locked/>
    <w:rsid w:val="00FD7032"/>
    <w:rPr>
      <w:rFonts w:ascii="Times New Roman" w:eastAsia="Times New Roman" w:hAnsi="Times New Roman" w:cs="Times New Roman"/>
      <w:sz w:val="24"/>
      <w:szCs w:val="24"/>
      <w:lang w:eastAsia="es-CO"/>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34"/>
    <w:qFormat/>
    <w:locked/>
    <w:rsid w:val="00FD7032"/>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ecretariasenado.gov.co/senado/basedoc/ley_1150_2007.htm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44F96213-A5E5-438F-ABC9-762087308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15</Pages>
  <Words>4385</Words>
  <Characters>24996</Characters>
  <Application>Microsoft Office Word</Application>
  <DocSecurity>0</DocSecurity>
  <Lines>208</Lines>
  <Paragraphs>58</Paragraphs>
  <ScaleCrop>false</ScaleCrop>
  <Company/>
  <LinksUpToDate>false</LinksUpToDate>
  <CharactersWithSpaces>29323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Contratación en Línea</cp:lastModifiedBy>
  <cp:revision>11</cp:revision>
  <cp:lastPrinted>2023-01-10T21:18:00Z</cp:lastPrinted>
  <dcterms:created xsi:type="dcterms:W3CDTF">2026-06-04T21:06:00Z</dcterms:created>
  <dcterms:modified xsi:type="dcterms:W3CDTF">2026-09-02T16:31:00Z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