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9D5B6" w14:textId="101587AF" w:rsidR="009D1B9D" w:rsidRPr="009D1B9D" w:rsidRDefault="009D1B9D" w:rsidP="009D1B9D">
      <w:pPr>
        <w:spacing w:after="0" w:line="240" w:lineRule="auto"/>
        <w:jc w:val="both"/>
        <w:rPr>
          <w:rFonts w:ascii="Verdana" w:hAnsi="Verdana" w:cs="Arial"/>
          <w:b/>
          <w:lang w:val="es-MX" w:eastAsia="en-US"/>
        </w:rPr>
      </w:pPr>
      <w:r w:rsidRPr="009D1B9D">
        <w:rPr>
          <w:rFonts w:ascii="Verdana" w:hAnsi="Verdana" w:cs="Arial"/>
          <w:b/>
          <w:lang w:val="es-MX" w:eastAsia="en-US"/>
        </w:rPr>
        <w:t xml:space="preserve">INHABILIDADES E INCOMPATIBILIDADES </w:t>
      </w:r>
      <w:r w:rsidR="00C15824" w:rsidRPr="00C15824">
        <w:rPr>
          <w:rFonts w:ascii="Verdana" w:hAnsi="Verdana" w:cs="Arial"/>
          <w:b/>
          <w:bCs/>
          <w:lang w:val="es-ES" w:eastAsia="en-US"/>
        </w:rPr>
        <w:t>–</w:t>
      </w:r>
      <w:r w:rsidRPr="009D1B9D">
        <w:rPr>
          <w:rFonts w:ascii="Verdana" w:hAnsi="Verdana" w:cs="Arial"/>
          <w:b/>
          <w:lang w:val="es-MX" w:eastAsia="en-US"/>
        </w:rPr>
        <w:t xml:space="preserve"> Definición </w:t>
      </w:r>
      <w:r w:rsidR="00C15824" w:rsidRPr="00C15824">
        <w:rPr>
          <w:rFonts w:ascii="Verdana" w:hAnsi="Verdana" w:cs="Arial"/>
          <w:b/>
          <w:bCs/>
          <w:lang w:val="es-ES" w:eastAsia="en-US"/>
        </w:rPr>
        <w:t>–</w:t>
      </w:r>
      <w:r w:rsidRPr="009D1B9D">
        <w:rPr>
          <w:rFonts w:ascii="Verdana" w:hAnsi="Verdana" w:cs="Arial"/>
          <w:b/>
          <w:lang w:val="es-MX" w:eastAsia="en-US"/>
        </w:rPr>
        <w:t xml:space="preserve"> fundamento – clases </w:t>
      </w:r>
    </w:p>
    <w:p w14:paraId="73E8757D" w14:textId="77777777" w:rsidR="009D1B9D" w:rsidRPr="009D1B9D" w:rsidRDefault="009D1B9D" w:rsidP="009D1B9D">
      <w:pPr>
        <w:spacing w:after="0" w:line="240" w:lineRule="auto"/>
        <w:jc w:val="both"/>
        <w:rPr>
          <w:rFonts w:ascii="Verdana" w:hAnsi="Verdana" w:cs="Arial"/>
          <w:b/>
          <w:lang w:val="es-MX" w:eastAsia="en-US"/>
        </w:rPr>
      </w:pPr>
    </w:p>
    <w:p w14:paraId="37F03C77" w14:textId="77777777" w:rsidR="009D1B9D" w:rsidRPr="009D1B9D" w:rsidRDefault="009D1B9D" w:rsidP="009D1B9D">
      <w:pPr>
        <w:spacing w:after="0" w:line="240" w:lineRule="auto"/>
        <w:jc w:val="both"/>
        <w:rPr>
          <w:rFonts w:ascii="Verdana" w:hAnsi="Verdana" w:cs="Arial"/>
          <w:sz w:val="20"/>
          <w:lang w:val="es-MX" w:eastAsia="en-US"/>
        </w:rPr>
      </w:pPr>
      <w:r w:rsidRPr="009D1B9D">
        <w:rPr>
          <w:rFonts w:ascii="Verdana" w:hAnsi="Verdana" w:cs="Arial"/>
          <w:sz w:val="20"/>
          <w:lang w:val="es-MX" w:eastAsia="en-US"/>
        </w:rPr>
        <w:t>Las inhabilidades e incompatibilidades pueden enfocarse en varios asuntos: en primer lugar, se encuentran las inhabilidades e incompatibilidades que impiden que u</w:t>
      </w:r>
      <w:proofErr w:type="spellStart"/>
      <w:r w:rsidRPr="009D1B9D">
        <w:rPr>
          <w:rFonts w:ascii="Verdana" w:hAnsi="Verdana" w:cs="Arial"/>
          <w:sz w:val="20"/>
          <w:lang w:eastAsia="en-US"/>
        </w:rPr>
        <w:t>na</w:t>
      </w:r>
      <w:proofErr w:type="spellEnd"/>
      <w:r w:rsidRPr="009D1B9D">
        <w:rPr>
          <w:rFonts w:ascii="Verdana" w:hAnsi="Verdana" w:cs="Arial"/>
          <w:sz w:val="20"/>
          <w:lang w:eastAsia="en-US"/>
        </w:rPr>
        <w:t xml:space="preserve">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w:t>
      </w:r>
      <w:r w:rsidRPr="009D1B9D">
        <w:rPr>
          <w:rFonts w:ascii="Verdana" w:hAnsi="Verdana" w:cs="Arial"/>
          <w:sz w:val="20"/>
          <w:lang w:val="es-MX" w:eastAsia="en-US"/>
        </w:rPr>
        <w:t xml:space="preserve">en restricciones que impiden el ejercicio de una profesión que 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a lo expuesto, se señala que la Agencia Nacional de Contratación Pública es competente para resolver consultas sobre normas del sistema de compras y contratación públicas que establezca inhabilidades e incompatibilidades para contratar con el Estado. </w:t>
      </w:r>
    </w:p>
    <w:p w14:paraId="164C650B" w14:textId="77777777" w:rsidR="009D1B9D" w:rsidRPr="009D1B9D" w:rsidRDefault="009D1B9D" w:rsidP="009D1B9D">
      <w:pPr>
        <w:spacing w:after="0" w:line="240" w:lineRule="auto"/>
        <w:jc w:val="both"/>
        <w:rPr>
          <w:rFonts w:ascii="Verdana" w:hAnsi="Verdana" w:cs="Arial"/>
          <w:b/>
          <w:lang w:val="es-MX" w:eastAsia="en-US"/>
        </w:rPr>
      </w:pPr>
    </w:p>
    <w:p w14:paraId="0BCD193C" w14:textId="7729248B" w:rsidR="009D1B9D" w:rsidRPr="009D1B9D" w:rsidRDefault="009D1B9D" w:rsidP="009D1B9D">
      <w:pPr>
        <w:spacing w:after="0" w:line="240" w:lineRule="auto"/>
        <w:jc w:val="both"/>
        <w:rPr>
          <w:rFonts w:ascii="Verdana" w:hAnsi="Verdana" w:cs="Arial"/>
          <w:b/>
          <w:lang w:val="es-MX" w:eastAsia="en-US"/>
        </w:rPr>
      </w:pPr>
      <w:r w:rsidRPr="009D1B9D">
        <w:rPr>
          <w:rFonts w:ascii="Verdana" w:hAnsi="Verdana" w:cs="Arial"/>
          <w:b/>
          <w:lang w:val="es-MX" w:eastAsia="en-US"/>
        </w:rPr>
        <w:t xml:space="preserve">INHABILIDADES E INCOMPATIBILIDADES </w:t>
      </w:r>
      <w:r w:rsidR="00C15824" w:rsidRPr="00C15824">
        <w:rPr>
          <w:rFonts w:ascii="Verdana" w:hAnsi="Verdana" w:cs="Arial"/>
          <w:b/>
          <w:bCs/>
          <w:lang w:val="es-ES" w:eastAsia="en-US"/>
        </w:rPr>
        <w:t>–</w:t>
      </w:r>
      <w:r w:rsidRPr="009D1B9D">
        <w:rPr>
          <w:rFonts w:ascii="Verdana" w:hAnsi="Verdana" w:cs="Arial"/>
          <w:b/>
          <w:lang w:val="es-MX" w:eastAsia="en-US"/>
        </w:rPr>
        <w:t xml:space="preserve"> Finalidad </w:t>
      </w:r>
      <w:r w:rsidR="00C15824" w:rsidRPr="00C15824">
        <w:rPr>
          <w:rFonts w:ascii="Verdana" w:hAnsi="Verdana" w:cs="Arial"/>
          <w:b/>
          <w:bCs/>
          <w:lang w:val="es-ES" w:eastAsia="en-US"/>
        </w:rPr>
        <w:t>–</w:t>
      </w:r>
      <w:r w:rsidRPr="009D1B9D">
        <w:rPr>
          <w:rFonts w:ascii="Verdana" w:hAnsi="Verdana" w:cs="Arial"/>
          <w:b/>
          <w:lang w:val="es-MX" w:eastAsia="en-US"/>
        </w:rPr>
        <w:t xml:space="preserve"> Limitación capacidad contractual </w:t>
      </w:r>
    </w:p>
    <w:p w14:paraId="564DDC27" w14:textId="77777777" w:rsidR="009D1B9D" w:rsidRPr="009D1B9D" w:rsidRDefault="009D1B9D" w:rsidP="009D1B9D">
      <w:pPr>
        <w:spacing w:after="0" w:line="240" w:lineRule="auto"/>
        <w:jc w:val="both"/>
        <w:rPr>
          <w:rFonts w:ascii="Verdana" w:hAnsi="Verdana" w:cs="Arial"/>
          <w:b/>
          <w:lang w:val="es-MX" w:eastAsia="en-US"/>
        </w:rPr>
      </w:pPr>
    </w:p>
    <w:p w14:paraId="04039758" w14:textId="77777777" w:rsidR="009D1B9D" w:rsidRPr="009D1B9D" w:rsidRDefault="009D1B9D" w:rsidP="009D1B9D">
      <w:pPr>
        <w:spacing w:after="0" w:line="240" w:lineRule="auto"/>
        <w:jc w:val="both"/>
        <w:rPr>
          <w:rFonts w:ascii="Verdana" w:hAnsi="Verdana" w:cs="Arial"/>
          <w:sz w:val="20"/>
          <w:lang w:val="es-MX" w:eastAsia="en-US"/>
        </w:rPr>
      </w:pPr>
      <w:r w:rsidRPr="009D1B9D">
        <w:rPr>
          <w:rFonts w:ascii="Verdana" w:hAnsi="Verdana" w:cs="Arial"/>
          <w:sz w:val="20"/>
          <w:lang w:val="es-MX" w:eastAsia="en-US"/>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p>
    <w:p w14:paraId="18D1AFE9" w14:textId="77777777" w:rsidR="009D1B9D" w:rsidRPr="009D1B9D" w:rsidRDefault="009D1B9D" w:rsidP="009D1B9D">
      <w:pPr>
        <w:spacing w:after="0" w:line="240" w:lineRule="auto"/>
        <w:jc w:val="both"/>
        <w:rPr>
          <w:rFonts w:ascii="Verdana" w:hAnsi="Verdana" w:cs="Arial"/>
          <w:b/>
          <w:lang w:val="es-MX" w:eastAsia="en-US"/>
        </w:rPr>
      </w:pPr>
    </w:p>
    <w:p w14:paraId="3F56462D" w14:textId="77777777" w:rsidR="009D1B9D" w:rsidRPr="009D1B9D" w:rsidRDefault="009D1B9D" w:rsidP="009D1B9D">
      <w:pPr>
        <w:spacing w:after="0" w:line="240" w:lineRule="auto"/>
        <w:jc w:val="both"/>
        <w:rPr>
          <w:rFonts w:ascii="Verdana" w:hAnsi="Verdana" w:cs="Arial"/>
          <w:b/>
          <w:lang w:val="es-ES_tradnl" w:eastAsia="en-US"/>
        </w:rPr>
      </w:pPr>
      <w:r w:rsidRPr="009D1B9D">
        <w:rPr>
          <w:rFonts w:ascii="Verdana" w:hAnsi="Verdana" w:cs="Arial"/>
          <w:b/>
          <w:lang w:val="es-ES_tradnl" w:eastAsia="en-US"/>
        </w:rPr>
        <w:t>INHABILIDADES – Taxatividad – Principio de legalidad – Interpretación restrictiva</w:t>
      </w:r>
      <w:r w:rsidRPr="009D1B9D" w:rsidDel="00A75E55">
        <w:rPr>
          <w:rFonts w:ascii="Verdana" w:hAnsi="Verdana" w:cs="Arial"/>
          <w:b/>
          <w:lang w:val="es-ES_tradnl" w:eastAsia="en-US"/>
        </w:rPr>
        <w:t xml:space="preserve"> </w:t>
      </w:r>
    </w:p>
    <w:p w14:paraId="6BCEFF97" w14:textId="77777777" w:rsidR="009D1B9D" w:rsidRPr="009D1B9D" w:rsidRDefault="009D1B9D" w:rsidP="009D1B9D">
      <w:pPr>
        <w:spacing w:after="0" w:line="240" w:lineRule="auto"/>
        <w:jc w:val="both"/>
        <w:rPr>
          <w:rFonts w:ascii="Verdana" w:hAnsi="Verdana" w:cs="Arial"/>
          <w:b/>
          <w:lang w:val="es-ES_tradnl" w:eastAsia="en-US"/>
        </w:rPr>
      </w:pPr>
    </w:p>
    <w:p w14:paraId="7F303C7D" w14:textId="77777777" w:rsidR="009D1B9D" w:rsidRPr="009D1B9D" w:rsidRDefault="009D1B9D" w:rsidP="009D1B9D">
      <w:pPr>
        <w:spacing w:after="0" w:line="240" w:lineRule="auto"/>
        <w:jc w:val="both"/>
        <w:rPr>
          <w:rFonts w:ascii="Verdana" w:hAnsi="Verdana" w:cs="Arial"/>
          <w:sz w:val="20"/>
          <w:lang w:val="es-ES_tradnl" w:eastAsia="en-US"/>
        </w:rPr>
      </w:pPr>
      <w:r w:rsidRPr="009D1B9D">
        <w:rPr>
          <w:rFonts w:ascii="Verdana" w:hAnsi="Verdana" w:cs="Arial"/>
          <w:sz w:val="20"/>
          <w:lang w:val="es-ES_tradnl" w:eastAsia="en-US"/>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9D1B9D">
        <w:rPr>
          <w:rFonts w:ascii="Verdana" w:hAnsi="Verdana" w:cs="Arial"/>
          <w:i/>
          <w:iCs/>
          <w:sz w:val="20"/>
          <w:lang w:val="es-ES_tradnl" w:eastAsia="en-US"/>
        </w:rPr>
        <w:t xml:space="preserve">restrictiva, </w:t>
      </w:r>
      <w:r w:rsidRPr="009D1B9D">
        <w:rPr>
          <w:rFonts w:ascii="Verdana" w:hAnsi="Verdana" w:cs="Arial"/>
          <w:sz w:val="20"/>
          <w:lang w:val="es-ES_tradnl" w:eastAsia="en-US"/>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788D7254" w14:textId="77777777" w:rsidR="009D1B9D" w:rsidRPr="009D1B9D" w:rsidRDefault="009D1B9D" w:rsidP="009D1B9D">
      <w:pPr>
        <w:spacing w:after="0" w:line="240" w:lineRule="auto"/>
        <w:jc w:val="both"/>
        <w:rPr>
          <w:rFonts w:ascii="Verdana" w:hAnsi="Verdana" w:cs="Arial"/>
          <w:sz w:val="20"/>
          <w:lang w:val="es-ES_tradnl" w:eastAsia="en-US"/>
        </w:rPr>
      </w:pPr>
    </w:p>
    <w:p w14:paraId="65680882" w14:textId="77777777" w:rsidR="009D1B9D" w:rsidRPr="009D1B9D" w:rsidRDefault="009D1B9D" w:rsidP="009D1B9D">
      <w:pPr>
        <w:spacing w:after="0" w:line="240" w:lineRule="auto"/>
        <w:jc w:val="both"/>
        <w:rPr>
          <w:rFonts w:ascii="Verdana" w:hAnsi="Verdana" w:cs="Arial"/>
          <w:sz w:val="20"/>
          <w:lang w:val="es-ES_tradnl" w:eastAsia="en-US"/>
        </w:rPr>
      </w:pPr>
      <w:r w:rsidRPr="009D1B9D">
        <w:rPr>
          <w:rFonts w:ascii="Verdana" w:hAnsi="Verdana" w:cs="Arial"/>
          <w:sz w:val="20"/>
          <w:lang w:val="es-ES_tradnl" w:eastAsia="en-US"/>
        </w:rPr>
        <w:lastRenderedPageBreak/>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p>
    <w:p w14:paraId="5325D19F" w14:textId="77777777" w:rsidR="009D1B9D" w:rsidRPr="009D1B9D" w:rsidRDefault="009D1B9D" w:rsidP="009D1B9D">
      <w:pPr>
        <w:spacing w:after="0" w:line="240" w:lineRule="auto"/>
        <w:jc w:val="both"/>
        <w:rPr>
          <w:rFonts w:ascii="Verdana" w:eastAsia="Verdana" w:hAnsi="Verdana" w:cs="Verdana"/>
          <w:b/>
          <w:bCs/>
        </w:rPr>
      </w:pPr>
    </w:p>
    <w:p w14:paraId="11B99961" w14:textId="77777777" w:rsidR="009D1B9D" w:rsidRPr="009D1B9D" w:rsidRDefault="009D1B9D" w:rsidP="009D1B9D">
      <w:pPr>
        <w:spacing w:after="0" w:line="240" w:lineRule="auto"/>
        <w:jc w:val="both"/>
        <w:rPr>
          <w:rFonts w:ascii="Verdana" w:eastAsia="Verdana" w:hAnsi="Verdana" w:cs="Verdana"/>
          <w:b/>
          <w:bCs/>
        </w:rPr>
      </w:pPr>
      <w:r w:rsidRPr="009D1B9D">
        <w:rPr>
          <w:rFonts w:ascii="Verdana" w:eastAsia="Verdana" w:hAnsi="Verdana" w:cs="Verdana"/>
          <w:b/>
          <w:bCs/>
        </w:rPr>
        <w:t xml:space="preserve">INHABILIDAD SOBREVINIENTE – Artículo 9 de la Ley 80 de 1993 – Alcance – Régimen general – Régimen especial Ley 2014 de 2019 </w:t>
      </w:r>
    </w:p>
    <w:p w14:paraId="1A188353" w14:textId="77777777" w:rsidR="009D1B9D" w:rsidRDefault="009D1B9D" w:rsidP="009D1B9D">
      <w:pPr>
        <w:spacing w:after="0" w:line="240" w:lineRule="auto"/>
        <w:jc w:val="both"/>
        <w:rPr>
          <w:rFonts w:ascii="Verdana" w:eastAsia="Verdana" w:hAnsi="Verdana" w:cs="Verdana"/>
        </w:rPr>
      </w:pPr>
    </w:p>
    <w:p w14:paraId="787D171E"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Por otra parte, frente a las inhabilidades o incompatibilidades que tienen carácter sobreviniente, es necesario tener en cuenta que el ordenamiento jurídico trata de manera distinta al oferente, al adjudicatario y al contratista. </w:t>
      </w:r>
      <w:r w:rsidRPr="009D1B9D">
        <w:rPr>
          <w:rFonts w:ascii="Verdana" w:eastAsia="Verdana" w:hAnsi="Verdana" w:cs="Verdana"/>
          <w:i/>
          <w:sz w:val="20"/>
          <w:szCs w:val="20"/>
        </w:rPr>
        <w:t>Respecto al oferente</w:t>
      </w:r>
      <w:r w:rsidRPr="009D1B9D">
        <w:rPr>
          <w:rFonts w:ascii="Verdana" w:eastAsia="Verdana" w:hAnsi="Verdana" w:cs="Verdana"/>
          <w:sz w:val="20"/>
          <w:szCs w:val="20"/>
        </w:rPr>
        <w:t xml:space="preserve">, el inciso segundo del artículo 9 de la Ley 80 de 1993 dispone que “Cuando la inhabilidad o incompatibilidad sobrevenga en un proponente dentro de un proceso de selección, se entenderá que renuncia a la participación en el proceso de selección y a los derechos surgidos del mismo”. </w:t>
      </w:r>
    </w:p>
    <w:p w14:paraId="59A731F9" w14:textId="77777777" w:rsidR="009D1B9D" w:rsidRPr="009D1B9D" w:rsidRDefault="009D1B9D" w:rsidP="009D1B9D">
      <w:pPr>
        <w:spacing w:after="0" w:line="240" w:lineRule="auto"/>
        <w:jc w:val="both"/>
        <w:rPr>
          <w:rFonts w:ascii="Verdana" w:eastAsia="Verdana" w:hAnsi="Verdana" w:cs="Verdana"/>
          <w:sz w:val="20"/>
          <w:szCs w:val="20"/>
        </w:rPr>
      </w:pPr>
    </w:p>
    <w:p w14:paraId="71ECE3B0"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p>
    <w:p w14:paraId="5524A08F" w14:textId="77777777" w:rsidR="009D1B9D" w:rsidRPr="009D1B9D" w:rsidRDefault="009D1B9D" w:rsidP="009D1B9D">
      <w:pPr>
        <w:spacing w:after="0" w:line="240" w:lineRule="auto"/>
        <w:jc w:val="both"/>
        <w:rPr>
          <w:rFonts w:ascii="Verdana" w:eastAsia="Verdana" w:hAnsi="Verdana" w:cs="Verdana"/>
          <w:sz w:val="20"/>
          <w:szCs w:val="20"/>
        </w:rPr>
      </w:pPr>
    </w:p>
    <w:p w14:paraId="27E7D8A4"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530FEAC6" w14:textId="77777777" w:rsidR="009D1B9D" w:rsidRPr="009D1B9D" w:rsidRDefault="009D1B9D" w:rsidP="009D1B9D">
      <w:pPr>
        <w:spacing w:after="0" w:line="240" w:lineRule="auto"/>
        <w:jc w:val="both"/>
        <w:rPr>
          <w:rFonts w:ascii="Verdana" w:eastAsia="Verdana" w:hAnsi="Verdana" w:cs="Verdana"/>
          <w:sz w:val="20"/>
          <w:szCs w:val="20"/>
        </w:rPr>
      </w:pPr>
    </w:p>
    <w:p w14:paraId="75904408" w14:textId="046ECF3E"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En relación </w:t>
      </w:r>
      <w:r w:rsidRPr="009D1B9D">
        <w:rPr>
          <w:rFonts w:ascii="Verdana" w:eastAsia="Verdana" w:hAnsi="Verdana" w:cs="Verdana"/>
          <w:i/>
          <w:iCs/>
          <w:sz w:val="20"/>
          <w:szCs w:val="20"/>
        </w:rPr>
        <w:t>al contratista</w:t>
      </w:r>
      <w:r w:rsidRPr="009D1B9D">
        <w:rPr>
          <w:rFonts w:ascii="Verdana" w:eastAsia="Verdana" w:hAnsi="Verdana" w:cs="Verdana"/>
          <w:sz w:val="20"/>
          <w:szCs w:val="2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9D1B9D">
        <w:rPr>
          <w:rFonts w:ascii="Verdana" w:eastAsia="Verdana" w:hAnsi="Verdana" w:cs="Verdana"/>
          <w:i/>
          <w:iCs/>
          <w:sz w:val="20"/>
          <w:szCs w:val="20"/>
        </w:rPr>
        <w:t>ibidem</w:t>
      </w:r>
      <w:r w:rsidRPr="009D1B9D">
        <w:rPr>
          <w:rFonts w:ascii="Verdana" w:eastAsia="Verdana" w:hAnsi="Verdana" w:cs="Verdana"/>
          <w:sz w:val="20"/>
          <w:szCs w:val="2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w:t>
      </w:r>
    </w:p>
    <w:p w14:paraId="136DDB27" w14:textId="77777777" w:rsidR="009D1B9D" w:rsidRPr="009D1B9D" w:rsidRDefault="009D1B9D" w:rsidP="009D1B9D">
      <w:pPr>
        <w:spacing w:after="0" w:line="240" w:lineRule="auto"/>
        <w:jc w:val="both"/>
        <w:rPr>
          <w:rFonts w:ascii="Verdana" w:eastAsia="Verdana" w:hAnsi="Verdana" w:cs="Verdana"/>
          <w:sz w:val="20"/>
          <w:szCs w:val="20"/>
        </w:rPr>
      </w:pPr>
    </w:p>
    <w:p w14:paraId="778A996A"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lastRenderedPageBreak/>
        <w:t xml:space="preserve">Ahora bien, el régimen descrito corresponde a la regla general aplicable a las inhabilidades e incompatibilidades sobrevinientes. El legislador estableció, sin embargo, un tratamiento especial para la inhabilidad prevista en el literal j) del numeral 1 del artículo 8 de la Ley 80 de 1993, mediante el parágrafo 1º del artículo 9 </w:t>
      </w:r>
      <w:proofErr w:type="spellStart"/>
      <w:r w:rsidRPr="009D1B9D">
        <w:rPr>
          <w:rFonts w:ascii="Verdana" w:eastAsia="Verdana" w:hAnsi="Verdana" w:cs="Verdana"/>
          <w:i/>
          <w:iCs/>
          <w:sz w:val="20"/>
          <w:szCs w:val="20"/>
        </w:rPr>
        <w:t>Ibídem</w:t>
      </w:r>
      <w:proofErr w:type="spellEnd"/>
      <w:r w:rsidRPr="009D1B9D">
        <w:rPr>
          <w:rFonts w:ascii="Verdana" w:eastAsia="Verdana" w:hAnsi="Verdana" w:cs="Verdana"/>
          <w:sz w:val="20"/>
          <w:szCs w:val="20"/>
        </w:rPr>
        <w:t>,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Como la consulta delimitó expresamente su objeto a las inhabilidades sobrevinientes distintas de la contemplada en el 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pues impide trasladar a la regla general las consecuencias agravadas que el legislador reservó para un supuesto específico.</w:t>
      </w:r>
    </w:p>
    <w:p w14:paraId="6BD578DD" w14:textId="77777777" w:rsidR="009D1B9D" w:rsidRDefault="009D1B9D" w:rsidP="009D1B9D">
      <w:pPr>
        <w:spacing w:after="0" w:line="240" w:lineRule="auto"/>
        <w:jc w:val="both"/>
        <w:rPr>
          <w:rFonts w:ascii="Verdana" w:eastAsia="Verdana" w:hAnsi="Verdana" w:cs="Verdana"/>
        </w:rPr>
      </w:pPr>
    </w:p>
    <w:p w14:paraId="5103FE9B" w14:textId="77777777" w:rsidR="009D1B9D" w:rsidRPr="009D1B9D" w:rsidRDefault="009D1B9D" w:rsidP="009D1B9D">
      <w:pPr>
        <w:spacing w:after="0" w:line="240" w:lineRule="auto"/>
        <w:jc w:val="both"/>
        <w:rPr>
          <w:rFonts w:ascii="Verdana" w:eastAsia="Verdana" w:hAnsi="Verdana" w:cs="Verdana"/>
          <w:b/>
          <w:bCs/>
        </w:rPr>
      </w:pPr>
      <w:r w:rsidRPr="009D1B9D">
        <w:rPr>
          <w:rFonts w:ascii="Verdana" w:eastAsia="Verdana" w:hAnsi="Verdana" w:cs="Verdana"/>
          <w:b/>
          <w:bCs/>
        </w:rPr>
        <w:t>INHABILIDAD SOBREVINIENTE – Consorcio – Unión temporal – Integrante – Deber de información – Debido proceso</w:t>
      </w:r>
    </w:p>
    <w:p w14:paraId="65D092D1" w14:textId="77777777" w:rsidR="009D1B9D" w:rsidRPr="009D1B9D" w:rsidRDefault="009D1B9D" w:rsidP="009D1B9D">
      <w:pPr>
        <w:spacing w:after="0" w:line="240" w:lineRule="auto"/>
        <w:jc w:val="both"/>
        <w:rPr>
          <w:rFonts w:ascii="Verdana" w:eastAsia="Verdana" w:hAnsi="Verdana" w:cs="Verdana"/>
          <w:sz w:val="20"/>
          <w:szCs w:val="20"/>
        </w:rPr>
      </w:pPr>
    </w:p>
    <w:p w14:paraId="505A1201" w14:textId="4DDF48E9"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0F1C5B17" w14:textId="77777777" w:rsidR="009D1B9D" w:rsidRPr="009D1B9D" w:rsidRDefault="009D1B9D" w:rsidP="009D1B9D">
      <w:pPr>
        <w:spacing w:after="0" w:line="240" w:lineRule="auto"/>
        <w:jc w:val="both"/>
        <w:rPr>
          <w:rFonts w:ascii="Verdana" w:eastAsia="Verdana" w:hAnsi="Verdana" w:cs="Verdana"/>
          <w:sz w:val="20"/>
          <w:szCs w:val="20"/>
        </w:rPr>
      </w:pPr>
    </w:p>
    <w:p w14:paraId="2A71A0FB"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6449A4AF" w14:textId="77777777" w:rsidR="009D1B9D" w:rsidRPr="00477480" w:rsidRDefault="009D1B9D" w:rsidP="009D1B9D">
      <w:pPr>
        <w:spacing w:after="0" w:line="240" w:lineRule="auto"/>
        <w:jc w:val="both"/>
        <w:rPr>
          <w:rFonts w:ascii="Verdana" w:eastAsia="Verdana" w:hAnsi="Verdana" w:cs="Verdana"/>
          <w:b/>
          <w:bCs/>
        </w:rPr>
      </w:pPr>
    </w:p>
    <w:p w14:paraId="4181EBEC"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CESIÓN – Participación – Tercero – Autorización previa – Requisitos del cesionario – Imposibilidad material</w:t>
      </w:r>
    </w:p>
    <w:p w14:paraId="52B032CE" w14:textId="77777777" w:rsidR="009D1B9D" w:rsidRDefault="009D1B9D" w:rsidP="009D1B9D">
      <w:pPr>
        <w:spacing w:after="0" w:line="240" w:lineRule="auto"/>
        <w:jc w:val="both"/>
        <w:rPr>
          <w:rFonts w:ascii="Verdana" w:eastAsia="Verdana" w:hAnsi="Verdana" w:cs="Verdana"/>
        </w:rPr>
      </w:pPr>
    </w:p>
    <w:p w14:paraId="0486CCDA" w14:textId="19ED2568" w:rsid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p>
    <w:p w14:paraId="66F31A6B" w14:textId="17C53B76" w:rsidR="00477480" w:rsidRP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    </w:t>
      </w:r>
    </w:p>
    <w:p w14:paraId="49265B2A" w14:textId="426D7666" w:rsidR="009D1B9D"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En efecto, la jurisprudencia constitucional ha precisado el alcance del artículo 9 de la Ley 80 de 1993 y el régimen aplicable a las inhabilidades e 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w:t>
      </w:r>
      <w:r>
        <w:rPr>
          <w:rFonts w:ascii="Verdana" w:eastAsia="Verdana" w:hAnsi="Verdana" w:cs="Verdana"/>
          <w:sz w:val="20"/>
          <w:szCs w:val="20"/>
        </w:rPr>
        <w:t>.</w:t>
      </w:r>
    </w:p>
    <w:p w14:paraId="26014628" w14:textId="77777777" w:rsidR="00477480" w:rsidRPr="00477480" w:rsidRDefault="00477480" w:rsidP="00477480">
      <w:pPr>
        <w:spacing w:after="0" w:line="240" w:lineRule="auto"/>
        <w:jc w:val="both"/>
        <w:rPr>
          <w:rFonts w:ascii="Verdana" w:eastAsia="Verdana" w:hAnsi="Verdana" w:cs="Verdana"/>
          <w:sz w:val="20"/>
          <w:szCs w:val="20"/>
        </w:rPr>
      </w:pPr>
    </w:p>
    <w:p w14:paraId="7253DDF1"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 xml:space="preserve">TERMINACIÓN UNILATERAL – Artículo 17 de la Ley 80 de 1993 – Causal 1 – Exigencias del servicio público – Procedencia – Cláusulas excepcionales – Artículo 14 de la Ley 80 de 1993 </w:t>
      </w:r>
    </w:p>
    <w:p w14:paraId="54376F8E" w14:textId="77777777" w:rsidR="009D1B9D" w:rsidRDefault="009D1B9D" w:rsidP="009D1B9D">
      <w:pPr>
        <w:spacing w:after="0" w:line="240" w:lineRule="auto"/>
        <w:jc w:val="both"/>
        <w:rPr>
          <w:rFonts w:ascii="Verdana" w:eastAsia="Verdana" w:hAnsi="Verdana" w:cs="Verdana"/>
        </w:rPr>
      </w:pPr>
    </w:p>
    <w:p w14:paraId="219C03E2" w14:textId="77777777"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 xml:space="preserve">La primera modalidad corresponde a la terminación unilateral propiamente dicha, regulada por el artículo 17 de la Ley 80 de 1993. Se trata de una potestad excepcional conferida a la Administración para poner fin anticipadamente al contrato cuando las exigencias del servicio público lo requieran o la situación de orden público lo 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w:t>
      </w:r>
      <w:r w:rsidRPr="009D1B9D">
        <w:rPr>
          <w:rFonts w:ascii="Verdana" w:eastAsia="Verdana" w:hAnsi="Verdana" w:cs="Verdana"/>
          <w:sz w:val="20"/>
          <w:szCs w:val="20"/>
        </w:rPr>
        <w:lastRenderedPageBreak/>
        <w:t>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7080B5A4" w14:textId="77777777" w:rsidR="00925909" w:rsidRPr="009D1B9D" w:rsidRDefault="00925909" w:rsidP="009D1B9D">
      <w:pPr>
        <w:spacing w:after="0" w:line="240" w:lineRule="auto"/>
        <w:jc w:val="both"/>
        <w:rPr>
          <w:rFonts w:ascii="Verdana" w:eastAsia="Verdana" w:hAnsi="Verdana" w:cs="Verdana"/>
          <w:sz w:val="20"/>
          <w:szCs w:val="20"/>
        </w:rPr>
      </w:pPr>
    </w:p>
    <w:p w14:paraId="794DA73A" w14:textId="77777777" w:rsidR="009D1B9D" w:rsidRP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son de pacto facultativo en los contratos de suministro y de prestación de servicios; y se encuentran excluidas en las demás tipologías contractuales señaladas por la norma. De ello se sigue que la terminación unilateral no constituye una herramienta universalmente disponible: su ejercicio presupone que, en el contrato respectivo, la cláusula excepcional se haya pactado o se entienda pactada por ministerio de la ley. En los contratos en los que dicha potestad no resulte procedente, la entidad deberá acudir a los demás mecanismos señalados en este concepto, en particular la terminación de mutuo acuerdo o la intervención del juez del contrato.</w:t>
      </w:r>
    </w:p>
    <w:p w14:paraId="63D6F74C" w14:textId="77777777" w:rsidR="009D1B9D" w:rsidRDefault="009D1B9D" w:rsidP="009D1B9D">
      <w:pPr>
        <w:spacing w:after="0" w:line="240" w:lineRule="auto"/>
        <w:jc w:val="both"/>
        <w:rPr>
          <w:rFonts w:ascii="Verdana" w:eastAsia="Verdana" w:hAnsi="Verdana" w:cs="Verdana"/>
        </w:rPr>
      </w:pPr>
    </w:p>
    <w:p w14:paraId="1656CBE5"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t>TERMINACIÓN UNILATERAL – Deber de motivación – Falsa motivación – Riesgo de nulidad</w:t>
      </w:r>
    </w:p>
    <w:p w14:paraId="0D0D384D" w14:textId="77777777" w:rsidR="009D1B9D" w:rsidRPr="009D1B9D" w:rsidRDefault="009D1B9D" w:rsidP="009D1B9D">
      <w:pPr>
        <w:spacing w:after="0" w:line="240" w:lineRule="auto"/>
        <w:jc w:val="both"/>
        <w:rPr>
          <w:rFonts w:ascii="Verdana" w:eastAsia="Verdana" w:hAnsi="Verdana" w:cs="Verdana"/>
          <w:sz w:val="20"/>
          <w:szCs w:val="20"/>
        </w:rPr>
      </w:pPr>
    </w:p>
    <w:p w14:paraId="6B65F5F9" w14:textId="4CCB50FA"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Una motivación rigurosa constituye un presupuesto indispensable para el ejercicio válido de esta potestad excepcional, en tanto permite demostrar que la decisión se adopta para preservar la adecuada prestación del servicio público y no como resultado de apreciaciones arbitrarias o ajenas a la realidad fáctica. Solo a partir de una exposición clara, completa y verificable de las razones que justifican la intervención administrativa es posible asegurar que la autoridad actuó dentro de los límites de la legalidad y con sujeción al principio de proporcionalidad. Al respecto, el Consejo de Estado ha expresado que, "</w:t>
      </w:r>
      <w:r w:rsidRPr="009D1B9D">
        <w:rPr>
          <w:rFonts w:ascii="Verdana" w:eastAsia="Verdana" w:hAnsi="Verdana" w:cs="Verdana"/>
          <w:i/>
          <w:iCs/>
          <w:sz w:val="20"/>
          <w:szCs w:val="20"/>
        </w:rPr>
        <w:t>si los fundamentos de hecho y de derecho que aduce la entidad para su declaratoria no se acompasan con aquellos que dan lugar a la aplicación de esta figura, el acto demandado estará viciado y habrá lugar a declarar su nulidad</w:t>
      </w:r>
      <w:r w:rsidRPr="009D1B9D">
        <w:rPr>
          <w:rFonts w:ascii="Verdana" w:eastAsia="Verdana" w:hAnsi="Verdana" w:cs="Verdana"/>
          <w:sz w:val="20"/>
          <w:szCs w:val="20"/>
        </w:rPr>
        <w:t xml:space="preserve">". </w:t>
      </w:r>
    </w:p>
    <w:p w14:paraId="43B9DFCB" w14:textId="77777777" w:rsidR="009D1B9D" w:rsidRPr="009D1B9D" w:rsidRDefault="009D1B9D" w:rsidP="009D1B9D">
      <w:pPr>
        <w:spacing w:after="0" w:line="240" w:lineRule="auto"/>
        <w:jc w:val="both"/>
        <w:rPr>
          <w:rFonts w:ascii="Verdana" w:eastAsia="Verdana" w:hAnsi="Verdana" w:cs="Verdana"/>
          <w:sz w:val="20"/>
          <w:szCs w:val="20"/>
        </w:rPr>
      </w:pPr>
    </w:p>
    <w:p w14:paraId="540121FA" w14:textId="2EEE65AE" w:rsidR="009D1B9D" w:rsidRDefault="009D1B9D" w:rsidP="009D1B9D">
      <w:pPr>
        <w:spacing w:after="0" w:line="240" w:lineRule="auto"/>
        <w:jc w:val="both"/>
        <w:rPr>
          <w:rFonts w:ascii="Verdana" w:eastAsia="Verdana" w:hAnsi="Verdana" w:cs="Verdana"/>
          <w:sz w:val="20"/>
          <w:szCs w:val="20"/>
        </w:rPr>
      </w:pPr>
      <w:r w:rsidRPr="009D1B9D">
        <w:rPr>
          <w:rFonts w:ascii="Verdana" w:eastAsia="Verdana" w:hAnsi="Verdana" w:cs="Verdana"/>
          <w:sz w:val="20"/>
          <w:szCs w:val="20"/>
        </w:rPr>
        <w:t>Lo anterior se explica porque la motivación no es un requisito meramente formal del acto de terminación unilateral o de caducidad, sino la garantía que permite controlar que la potestad excepcional se ejerció dentro de la causal legal invocada. Sobre el particular, la jurisprudencia contencioso administrativa ha reiterado que el vicio de falsa motivación se configura cuando se demuestra una de dos circunstancias: que los hechos que la Administración tuvo en cuenta como motivos determinantes de la decisión no estuvieron debidamente probados dentro de la actuación administrativa, o que la Administración omitió tener en cuenta hechos que sí estaban demostrados y que, de haberse considerado, habrían conducido a una decisión sustancialmente distinta</w:t>
      </w:r>
      <w:r>
        <w:rPr>
          <w:rFonts w:ascii="Verdana" w:eastAsia="Verdana" w:hAnsi="Verdana" w:cs="Verdana"/>
          <w:sz w:val="20"/>
          <w:szCs w:val="20"/>
        </w:rPr>
        <w:t>.</w:t>
      </w:r>
    </w:p>
    <w:p w14:paraId="73DFED3D" w14:textId="77777777" w:rsidR="009D1B9D" w:rsidRPr="009D1B9D" w:rsidRDefault="009D1B9D" w:rsidP="009D1B9D">
      <w:pPr>
        <w:spacing w:after="0" w:line="240" w:lineRule="auto"/>
        <w:jc w:val="both"/>
        <w:rPr>
          <w:rFonts w:ascii="Verdana" w:eastAsia="Verdana" w:hAnsi="Verdana" w:cs="Verdana"/>
          <w:sz w:val="20"/>
          <w:szCs w:val="20"/>
        </w:rPr>
      </w:pPr>
    </w:p>
    <w:p w14:paraId="5EC0B03A" w14:textId="77777777" w:rsidR="009D1B9D" w:rsidRPr="00477480" w:rsidRDefault="009D1B9D" w:rsidP="009D1B9D">
      <w:pPr>
        <w:spacing w:after="0" w:line="240" w:lineRule="auto"/>
        <w:jc w:val="both"/>
        <w:rPr>
          <w:rFonts w:ascii="Verdana" w:eastAsia="Verdana" w:hAnsi="Verdana" w:cs="Verdana"/>
          <w:b/>
          <w:bCs/>
        </w:rPr>
      </w:pPr>
      <w:r w:rsidRPr="00477480">
        <w:rPr>
          <w:rFonts w:ascii="Verdana" w:eastAsia="Verdana" w:hAnsi="Verdana" w:cs="Verdana"/>
          <w:b/>
          <w:bCs/>
        </w:rPr>
        <w:lastRenderedPageBreak/>
        <w:t xml:space="preserve"> CADUCIDAD – Artículo 18 de la Ley 80 de 1993 – Improcedencia automática – Incumplimiento grave</w:t>
      </w:r>
    </w:p>
    <w:p w14:paraId="1E904D99" w14:textId="77777777" w:rsidR="009D1B9D" w:rsidRDefault="009D1B9D" w:rsidP="009D1B9D">
      <w:pPr>
        <w:spacing w:after="0" w:line="240" w:lineRule="auto"/>
        <w:rPr>
          <w:rFonts w:ascii="Verdana" w:eastAsia="Verdana" w:hAnsi="Verdana" w:cs="Verdana"/>
        </w:rPr>
      </w:pPr>
    </w:p>
    <w:p w14:paraId="01B3F44B" w14:textId="6CB3B474" w:rsid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Idéntica exigencia opera, con mayor rigor, respecto de la caducidad, dado su carácter sancionatorio. El Consejo de Estado ha precisado que esta potestad solo procede ante un incumplimiento de las obligaciones a cargo del contratista que afecte de manera grave y directa la ejecución del contrato y evidencie que puede conducir a su paralización, presupuestos que deben encontrarse plenamente acreditados al momento de la declaratoria y dentro del plazo de ejecución del contrato. Por ello, el acto que declare la caducidad invocando como único fundamento la configuración de la inhabilidad sobreviniente —que, como se explicó, no constituye por sí misma un incumplimiento contractual— incurriría en falsa motivación, pues los hechos invocados no corresponderían a la causal aplicada. Distinto es el evento en que la entidad acredite que la renuencia persistente del integrante a cumplir el deber legal de cesión, valorada en las circunstancias concretas del contrato, configura un incumplimiento grave con aptitud de paralizar la ejecución: en tal caso, la motivación deberá construirse sobre ese incumplimiento y su incidencia en el contrato, y no sobre la inhabilidad como tal. Esta exigencia de correspondencia entre causal y motivación es, en últimas, expresión del principio de legalidad que gobierna las potestades excepcionales: como lo ha sostenido la Sección Tercera, la Administración no puede ejercer prerrogativas de poder público sin consagración legal expresa, ni por fuera de los supuestos estrictamente delimitados por el legislador, de modo que la motivación rigurosa del acto es simultáneamente la condición de su validez y la principal salvaguarda de la entidad frente al riesgo de anulación y de condena patrimonial en sede judicial.</w:t>
      </w:r>
    </w:p>
    <w:p w14:paraId="6AB61A83" w14:textId="77777777" w:rsidR="00477480" w:rsidRPr="00477480" w:rsidRDefault="00477480" w:rsidP="00477480">
      <w:pPr>
        <w:spacing w:after="0" w:line="240" w:lineRule="auto"/>
        <w:jc w:val="both"/>
        <w:rPr>
          <w:rFonts w:ascii="Verdana" w:eastAsia="Verdana" w:hAnsi="Verdana" w:cs="Verdana"/>
          <w:sz w:val="20"/>
          <w:szCs w:val="20"/>
        </w:rPr>
      </w:pPr>
    </w:p>
    <w:p w14:paraId="6FAF91DF" w14:textId="77777777" w:rsidR="00477480" w:rsidRPr="00477480" w:rsidRDefault="00477480" w:rsidP="00477480">
      <w:pPr>
        <w:spacing w:after="0" w:line="240" w:lineRule="auto"/>
        <w:jc w:val="both"/>
        <w:rPr>
          <w:rFonts w:ascii="Verdana" w:eastAsia="Verdana" w:hAnsi="Verdana" w:cs="Verdana"/>
          <w:sz w:val="20"/>
          <w:szCs w:val="20"/>
        </w:rPr>
      </w:pPr>
      <w:r w:rsidRPr="00477480">
        <w:rPr>
          <w:rFonts w:ascii="Verdana" w:eastAsia="Verdana" w:hAnsi="Verdana" w:cs="Verdana"/>
          <w:sz w:val="20"/>
          <w:szCs w:val="20"/>
        </w:rPr>
        <w:t xml:space="preserve">En esa medida, la sola configuración del supuesto o previsto en el numeral 1 del artículo 17 no habilita automáticamente a la Administración para declarar la terminación unilateral del contrato, pues el ejercicio de esta potestad exige que la entidad exponga de manera suficiente y verificable por qué, en las circunstancias concretas del caso, se satisfacen los presupuestos previstos en el numeral 1 del artículo 17 de la Ley 80 de 1993. Ello implica demostrar que la inhabilidad sobreviniente afecta de manera real y significativa la prestación del servicio público, y que la decisión adoptada es necesaria y proporcional frente a dicha afectación. </w:t>
      </w:r>
    </w:p>
    <w:p w14:paraId="40B4ED73" w14:textId="77777777" w:rsidR="009D1B9D" w:rsidRDefault="009D1B9D" w:rsidP="000565B4">
      <w:pPr>
        <w:spacing w:after="0"/>
        <w:rPr>
          <w:rFonts w:ascii="Verdana" w:eastAsia="Verdana" w:hAnsi="Verdana" w:cs="Verdana"/>
        </w:rPr>
      </w:pPr>
    </w:p>
    <w:p w14:paraId="30EFF093" w14:textId="77777777" w:rsidR="00477480" w:rsidRDefault="00477480" w:rsidP="000565B4">
      <w:pPr>
        <w:spacing w:after="0"/>
        <w:rPr>
          <w:rFonts w:ascii="Verdana" w:eastAsia="Verdana" w:hAnsi="Verdana" w:cs="Verdana"/>
        </w:rPr>
      </w:pPr>
    </w:p>
    <w:p w14:paraId="4148D0E6" w14:textId="77777777" w:rsidR="00477480" w:rsidRDefault="00477480" w:rsidP="000565B4">
      <w:pPr>
        <w:spacing w:after="0"/>
        <w:rPr>
          <w:rFonts w:ascii="Verdana" w:eastAsia="Verdana" w:hAnsi="Verdana" w:cs="Verdana"/>
        </w:rPr>
      </w:pPr>
    </w:p>
    <w:p w14:paraId="34DFB36F" w14:textId="77777777" w:rsidR="00477480" w:rsidRDefault="00477480" w:rsidP="000565B4">
      <w:pPr>
        <w:spacing w:after="0"/>
        <w:rPr>
          <w:rFonts w:ascii="Verdana" w:eastAsia="Verdana" w:hAnsi="Verdana" w:cs="Verdana"/>
        </w:rPr>
      </w:pPr>
    </w:p>
    <w:p w14:paraId="0B4C8755" w14:textId="77777777" w:rsidR="00477480" w:rsidRDefault="00477480" w:rsidP="000565B4">
      <w:pPr>
        <w:spacing w:after="0"/>
        <w:rPr>
          <w:rFonts w:ascii="Verdana" w:eastAsia="Verdana" w:hAnsi="Verdana" w:cs="Verdana"/>
        </w:rPr>
      </w:pPr>
    </w:p>
    <w:p w14:paraId="524E9D01" w14:textId="77777777" w:rsidR="00477480" w:rsidRDefault="00477480" w:rsidP="000565B4">
      <w:pPr>
        <w:spacing w:after="0"/>
        <w:rPr>
          <w:rFonts w:ascii="Verdana" w:eastAsia="Verdana" w:hAnsi="Verdana" w:cs="Verdana"/>
        </w:rPr>
      </w:pPr>
    </w:p>
    <w:p w14:paraId="2BC006EC" w14:textId="77777777" w:rsidR="00477480" w:rsidRDefault="00477480" w:rsidP="000565B4">
      <w:pPr>
        <w:spacing w:after="0"/>
        <w:rPr>
          <w:rFonts w:ascii="Verdana" w:eastAsia="Verdana" w:hAnsi="Verdana" w:cs="Verdana"/>
        </w:rPr>
      </w:pPr>
    </w:p>
    <w:p w14:paraId="3B349363" w14:textId="77777777" w:rsidR="00477480" w:rsidRDefault="00477480" w:rsidP="000565B4">
      <w:pPr>
        <w:spacing w:after="0"/>
        <w:rPr>
          <w:rFonts w:ascii="Verdana" w:eastAsia="Verdana" w:hAnsi="Verdana" w:cs="Verdana"/>
        </w:rPr>
      </w:pPr>
    </w:p>
    <w:p w14:paraId="086A8C57" w14:textId="77777777" w:rsidR="00477480" w:rsidRDefault="00477480" w:rsidP="000565B4">
      <w:pPr>
        <w:spacing w:after="0"/>
        <w:rPr>
          <w:rFonts w:ascii="Verdana" w:eastAsia="Verdana" w:hAnsi="Verdana" w:cs="Verdana"/>
        </w:rPr>
      </w:pPr>
    </w:p>
    <w:p w14:paraId="7EAF49F8" w14:textId="77777777" w:rsidR="00477480" w:rsidRDefault="00477480" w:rsidP="000565B4">
      <w:pPr>
        <w:spacing w:after="0"/>
        <w:rPr>
          <w:rFonts w:ascii="Verdana" w:eastAsia="Verdana" w:hAnsi="Verdana" w:cs="Verdana"/>
        </w:rPr>
      </w:pPr>
    </w:p>
    <w:p w14:paraId="41A280B2" w14:textId="07C26D0B" w:rsidR="000565B4" w:rsidRPr="000565B4" w:rsidRDefault="00477480" w:rsidP="000565B4">
      <w:pPr>
        <w:spacing w:after="0"/>
        <w:rPr>
          <w:rFonts w:ascii="Verdana" w:eastAsia="Verdana" w:hAnsi="Verdana" w:cs="Verdana"/>
        </w:rPr>
      </w:pPr>
      <w:r w:rsidRPr="00477480">
        <w:rPr>
          <w:noProof/>
        </w:rPr>
        <w:lastRenderedPageBreak/>
        <w:drawing>
          <wp:anchor distT="0" distB="0" distL="114300" distR="114300" simplePos="0" relativeHeight="251658240" behindDoc="0" locked="0" layoutInCell="1" allowOverlap="1" wp14:anchorId="16C3371E" wp14:editId="02C511D0">
            <wp:simplePos x="0" y="0"/>
            <wp:positionH relativeFrom="margin">
              <wp:posOffset>2731135</wp:posOffset>
            </wp:positionH>
            <wp:positionV relativeFrom="paragraph">
              <wp:posOffset>201295</wp:posOffset>
            </wp:positionV>
            <wp:extent cx="2905760" cy="832485"/>
            <wp:effectExtent l="0" t="0" r="8890" b="5715"/>
            <wp:wrapSquare wrapText="bothSides"/>
            <wp:docPr id="27943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76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5B4" w:rsidRPr="000565B4">
        <w:rPr>
          <w:rFonts w:ascii="Verdana" w:eastAsia="Verdana" w:hAnsi="Verdana" w:cs="Verdana"/>
        </w:rPr>
        <w:t>Bogotá D.C.,</w:t>
      </w:r>
      <w:r w:rsidR="003B0957">
        <w:rPr>
          <w:rFonts w:ascii="Verdana" w:eastAsia="Verdana" w:hAnsi="Verdana" w:cs="Verdana"/>
        </w:rPr>
        <w:t xml:space="preserve"> 2</w:t>
      </w:r>
      <w:r>
        <w:rPr>
          <w:rFonts w:ascii="Verdana" w:eastAsia="Verdana" w:hAnsi="Verdana" w:cs="Verdana"/>
        </w:rPr>
        <w:t>3</w:t>
      </w:r>
      <w:r w:rsidR="003B0957">
        <w:rPr>
          <w:rFonts w:ascii="Verdana" w:eastAsia="Verdana" w:hAnsi="Verdana" w:cs="Verdana"/>
        </w:rPr>
        <w:t xml:space="preserve"> de julio de 2026</w:t>
      </w:r>
      <w:r w:rsidR="000565B4" w:rsidRPr="000565B4">
        <w:tab/>
      </w:r>
      <w:r w:rsidR="000565B4" w:rsidRPr="000565B4">
        <w:br/>
      </w:r>
    </w:p>
    <w:p w14:paraId="1230163E" w14:textId="09FE9C64" w:rsidR="000565B4" w:rsidRDefault="000565B4" w:rsidP="000565B4">
      <w:pPr>
        <w:spacing w:after="0" w:line="240" w:lineRule="auto"/>
        <w:rPr>
          <w:rFonts w:ascii="Verdana" w:eastAsia="Verdana" w:hAnsi="Verdana" w:cs="Verdana"/>
        </w:rPr>
      </w:pPr>
    </w:p>
    <w:p w14:paraId="032ADA79" w14:textId="77777777" w:rsidR="00477480" w:rsidRPr="000565B4" w:rsidRDefault="00477480" w:rsidP="000565B4">
      <w:pPr>
        <w:spacing w:after="0" w:line="240" w:lineRule="auto"/>
        <w:rPr>
          <w:rFonts w:ascii="Verdana" w:eastAsia="Verdana" w:hAnsi="Verdana" w:cs="Verdana"/>
        </w:rPr>
      </w:pPr>
    </w:p>
    <w:p w14:paraId="59D1F960" w14:textId="77777777"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Doctor</w:t>
      </w:r>
    </w:p>
    <w:p w14:paraId="263E5ED7" w14:textId="6CC740BD" w:rsidR="000565B4" w:rsidRPr="000565B4" w:rsidRDefault="00015BA5" w:rsidP="000565B4">
      <w:pPr>
        <w:spacing w:after="0" w:line="240" w:lineRule="auto"/>
        <w:rPr>
          <w:rFonts w:ascii="Verdana" w:eastAsia="Verdana" w:hAnsi="Verdana" w:cs="Verdana"/>
        </w:rPr>
      </w:pPr>
      <w:r>
        <w:rPr>
          <w:rFonts w:ascii="Verdana" w:eastAsia="Verdana" w:hAnsi="Verdana" w:cs="Verdana"/>
          <w:b/>
        </w:rPr>
        <w:t>XXX</w:t>
      </w:r>
    </w:p>
    <w:p w14:paraId="41C93519" w14:textId="77777777" w:rsidR="000565B4" w:rsidRPr="000565B4" w:rsidRDefault="000565B4" w:rsidP="000565B4">
      <w:pPr>
        <w:spacing w:after="0" w:line="240" w:lineRule="auto"/>
        <w:rPr>
          <w:rFonts w:ascii="Verdana" w:eastAsia="Verdana" w:hAnsi="Verdana" w:cs="Verdana"/>
        </w:rPr>
      </w:pPr>
    </w:p>
    <w:p w14:paraId="5F06D580" w14:textId="334FD620" w:rsidR="000565B4" w:rsidRPr="000565B4" w:rsidRDefault="000565B4" w:rsidP="000565B4">
      <w:pPr>
        <w:spacing w:after="0" w:line="240" w:lineRule="auto"/>
        <w:rPr>
          <w:rFonts w:ascii="Verdana" w:eastAsia="Verdana" w:hAnsi="Verdana" w:cs="Verdana"/>
          <w:b/>
        </w:rPr>
      </w:pPr>
      <w:r w:rsidRPr="000565B4">
        <w:rPr>
          <w:rFonts w:ascii="Verdana" w:eastAsia="Verdana" w:hAnsi="Verdana" w:cs="Verdana"/>
          <w:b/>
        </w:rPr>
        <w:t xml:space="preserve">                                    Concepto C</w:t>
      </w:r>
      <w:r w:rsidR="00C15824">
        <w:rPr>
          <w:rFonts w:ascii="Verdana" w:eastAsia="Verdana" w:hAnsi="Verdana" w:cs="Verdana"/>
          <w:b/>
        </w:rPr>
        <w:t>-</w:t>
      </w:r>
      <w:r w:rsidRPr="000565B4">
        <w:rPr>
          <w:rFonts w:ascii="Verdana" w:eastAsia="Verdana" w:hAnsi="Verdana" w:cs="Verdana"/>
          <w:b/>
        </w:rPr>
        <w:t>1073 de 2026</w:t>
      </w:r>
    </w:p>
    <w:p w14:paraId="24396C0A" w14:textId="77777777" w:rsidR="000565B4" w:rsidRPr="000565B4" w:rsidRDefault="000565B4" w:rsidP="000565B4">
      <w:pPr>
        <w:spacing w:after="0" w:line="240" w:lineRule="auto"/>
        <w:rPr>
          <w:rFonts w:ascii="Verdana" w:eastAsia="Verdana" w:hAnsi="Verdana" w:cs="Verdana"/>
        </w:rPr>
      </w:pPr>
    </w:p>
    <w:tbl>
      <w:tblPr>
        <w:tblW w:w="15163" w:type="dxa"/>
        <w:tblBorders>
          <w:top w:val="nil"/>
          <w:left w:val="nil"/>
          <w:bottom w:val="nil"/>
          <w:right w:val="nil"/>
          <w:insideH w:val="nil"/>
          <w:insideV w:val="nil"/>
        </w:tblBorders>
        <w:tblLayout w:type="fixed"/>
        <w:tblLook w:val="0400" w:firstRow="0" w:lastRow="0" w:firstColumn="0" w:lastColumn="0" w:noHBand="0" w:noVBand="1"/>
      </w:tblPr>
      <w:tblGrid>
        <w:gridCol w:w="2685"/>
        <w:gridCol w:w="6241"/>
        <w:gridCol w:w="6237"/>
      </w:tblGrid>
      <w:tr w:rsidR="000565B4" w:rsidRPr="000565B4" w14:paraId="39939902" w14:textId="77777777" w:rsidTr="00486E91">
        <w:trPr>
          <w:trHeight w:val="324"/>
        </w:trPr>
        <w:tc>
          <w:tcPr>
            <w:tcW w:w="2685" w:type="dxa"/>
          </w:tcPr>
          <w:p w14:paraId="49F27B9F"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t xml:space="preserve">Temas:                   </w:t>
            </w:r>
          </w:p>
        </w:tc>
        <w:tc>
          <w:tcPr>
            <w:tcW w:w="6237" w:type="dxa"/>
          </w:tcPr>
          <w:p w14:paraId="767D613E" w14:textId="77777777" w:rsidR="000565B4" w:rsidRPr="000565B4" w:rsidRDefault="000565B4" w:rsidP="000565B4">
            <w:pPr>
              <w:spacing w:after="0" w:line="276" w:lineRule="auto"/>
              <w:jc w:val="both"/>
              <w:rPr>
                <w:rFonts w:ascii="Verdana" w:hAnsi="Verdana"/>
              </w:rPr>
            </w:pPr>
            <w:r w:rsidRPr="000565B4">
              <w:rPr>
                <w:rFonts w:cs="Times New Roman"/>
                <w:lang w:eastAsia="en-US"/>
              </w:rPr>
              <w:t xml:space="preserve"> </w:t>
            </w:r>
            <w:r w:rsidRPr="000565B4">
              <w:rPr>
                <w:rFonts w:ascii="Verdana" w:hAnsi="Verdana"/>
              </w:rPr>
              <w:t>INHABILIDADES E INCOMPATIBILIDADES – Definición – Fundamento – Clases / INHABILIDADES E INCOMPATIBILIDADES – Finalidad – Limitación capacidad contractual / INHABILIDADES E INCOMPATIBILIDADES – Taxatividad – Principio de legalidad – Interpretación restrictiva / INHABILIDAD SOBREVINIENTE – Artículo 9 de la Ley 80 de 1993 – Alcance – Régimen general – Régimen especial Ley 2014 de 2019 / INHABILIDAD SOBREVINIENTE – Consorcio – Unión temporal – Integrante – Deber de información – Debido proceso / CESIÓN – Participación – Tercero – Autorización previa – Requisitos del cesionario – Imposibilidad material / TERMINACIÓN UNILATERAL – Artículo 17 de la Ley 80 de 1993 – Causal 1 – Exigencias del servicio público – Procedencia – Cláusulas excepcionales – Artículo 14 de la Ley 80 de 1993 / TERMINACIÓN UNILATERAL – Deber de motivación – Falsa motivación – Riesgo de nulidad / CADUCIDAD – Artículo 18 de la Ley 80 de 1993 – Improcedencia automática – Incumplimiento grave</w:t>
            </w:r>
          </w:p>
        </w:tc>
        <w:tc>
          <w:tcPr>
            <w:tcW w:w="6237" w:type="dxa"/>
          </w:tcPr>
          <w:p w14:paraId="43088999" w14:textId="77777777" w:rsidR="000565B4" w:rsidRPr="000565B4" w:rsidRDefault="000565B4" w:rsidP="000565B4">
            <w:pPr>
              <w:spacing w:after="0" w:line="240" w:lineRule="auto"/>
            </w:pPr>
          </w:p>
        </w:tc>
      </w:tr>
      <w:tr w:rsidR="000565B4" w:rsidRPr="000565B4" w14:paraId="664A58B7" w14:textId="77777777" w:rsidTr="00486E91">
        <w:tc>
          <w:tcPr>
            <w:tcW w:w="2685" w:type="dxa"/>
          </w:tcPr>
          <w:p w14:paraId="6E61C72D" w14:textId="77777777" w:rsidR="000565B4" w:rsidRDefault="000565B4" w:rsidP="000565B4">
            <w:pPr>
              <w:spacing w:after="0" w:line="240" w:lineRule="auto"/>
              <w:rPr>
                <w:rFonts w:ascii="Verdana" w:eastAsia="Verdana" w:hAnsi="Verdana" w:cs="Verdana"/>
              </w:rPr>
            </w:pPr>
          </w:p>
          <w:p w14:paraId="2562C9C2" w14:textId="77777777" w:rsidR="008B6D1F" w:rsidRDefault="008B6D1F" w:rsidP="000565B4">
            <w:pPr>
              <w:spacing w:after="0" w:line="240" w:lineRule="auto"/>
              <w:rPr>
                <w:rFonts w:ascii="Verdana" w:eastAsia="Verdana" w:hAnsi="Verdana" w:cs="Verdana"/>
              </w:rPr>
            </w:pPr>
          </w:p>
          <w:p w14:paraId="6E934D29" w14:textId="77777777" w:rsidR="008B6D1F" w:rsidRPr="000565B4" w:rsidRDefault="008B6D1F" w:rsidP="000565B4">
            <w:pPr>
              <w:spacing w:after="0" w:line="240" w:lineRule="auto"/>
              <w:rPr>
                <w:rFonts w:ascii="Verdana" w:eastAsia="Verdana" w:hAnsi="Verdana" w:cs="Verdana"/>
              </w:rPr>
            </w:pPr>
          </w:p>
          <w:p w14:paraId="3823074E"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t xml:space="preserve">Radicación:               </w:t>
            </w:r>
          </w:p>
        </w:tc>
        <w:tc>
          <w:tcPr>
            <w:tcW w:w="6241" w:type="dxa"/>
          </w:tcPr>
          <w:p w14:paraId="32DBFBDA" w14:textId="77777777" w:rsidR="000565B4" w:rsidRPr="000565B4" w:rsidRDefault="000565B4" w:rsidP="000565B4">
            <w:pPr>
              <w:spacing w:after="0" w:line="240" w:lineRule="auto"/>
              <w:jc w:val="both"/>
              <w:rPr>
                <w:rFonts w:ascii="Verdana" w:eastAsia="Verdana" w:hAnsi="Verdana" w:cs="Verdana"/>
              </w:rPr>
            </w:pPr>
          </w:p>
          <w:p w14:paraId="3C599CBB"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Respuesta a consulta con radicados 1_2026_07_03_008916 y 1_2026_07_06_008932 (acumulados) </w:t>
            </w:r>
          </w:p>
          <w:p w14:paraId="54DE9729" w14:textId="77777777" w:rsidR="000565B4" w:rsidRPr="000565B4" w:rsidRDefault="000565B4" w:rsidP="000565B4">
            <w:pPr>
              <w:spacing w:after="0" w:line="240" w:lineRule="auto"/>
              <w:jc w:val="both"/>
              <w:rPr>
                <w:rFonts w:ascii="Verdana" w:eastAsia="Verdana" w:hAnsi="Verdana" w:cs="Verdana"/>
              </w:rPr>
            </w:pPr>
          </w:p>
        </w:tc>
        <w:tc>
          <w:tcPr>
            <w:tcW w:w="6237" w:type="dxa"/>
          </w:tcPr>
          <w:p w14:paraId="7A59E8F1" w14:textId="77777777" w:rsidR="000565B4" w:rsidRPr="000565B4" w:rsidRDefault="000565B4" w:rsidP="000565B4">
            <w:pPr>
              <w:spacing w:after="0" w:line="240" w:lineRule="auto"/>
              <w:rPr>
                <w:rFonts w:ascii="Verdana" w:eastAsia="Verdana" w:hAnsi="Verdana" w:cs="Verdana"/>
              </w:rPr>
            </w:pPr>
          </w:p>
        </w:tc>
      </w:tr>
      <w:tr w:rsidR="000565B4" w:rsidRPr="000565B4" w14:paraId="449BF643" w14:textId="77777777" w:rsidTr="00486E91">
        <w:tc>
          <w:tcPr>
            <w:tcW w:w="2685" w:type="dxa"/>
          </w:tcPr>
          <w:p w14:paraId="4D3A455D" w14:textId="77777777" w:rsidR="000565B4" w:rsidRPr="000565B4" w:rsidRDefault="000565B4" w:rsidP="000565B4">
            <w:pPr>
              <w:spacing w:after="0" w:line="240" w:lineRule="auto"/>
              <w:rPr>
                <w:rFonts w:ascii="Verdana" w:eastAsia="Verdana" w:hAnsi="Verdana" w:cs="Verdana"/>
              </w:rPr>
            </w:pPr>
          </w:p>
        </w:tc>
        <w:tc>
          <w:tcPr>
            <w:tcW w:w="6241" w:type="dxa"/>
          </w:tcPr>
          <w:p w14:paraId="4F83D54E" w14:textId="77777777" w:rsidR="000565B4" w:rsidRPr="000565B4" w:rsidRDefault="000565B4" w:rsidP="000565B4">
            <w:pPr>
              <w:spacing w:after="0" w:line="240" w:lineRule="auto"/>
              <w:jc w:val="both"/>
              <w:rPr>
                <w:rFonts w:ascii="Verdana" w:eastAsia="Verdana" w:hAnsi="Verdana" w:cs="Verdana"/>
              </w:rPr>
            </w:pPr>
          </w:p>
        </w:tc>
        <w:tc>
          <w:tcPr>
            <w:tcW w:w="6237" w:type="dxa"/>
          </w:tcPr>
          <w:p w14:paraId="0F9AE6FB" w14:textId="77777777" w:rsidR="000565B4" w:rsidRPr="000565B4" w:rsidRDefault="000565B4" w:rsidP="000565B4">
            <w:pPr>
              <w:spacing w:after="0" w:line="240" w:lineRule="auto"/>
              <w:rPr>
                <w:rFonts w:ascii="Verdana" w:eastAsia="Verdana" w:hAnsi="Verdana" w:cs="Verdana"/>
              </w:rPr>
            </w:pPr>
          </w:p>
        </w:tc>
      </w:tr>
    </w:tbl>
    <w:p w14:paraId="2E434255" w14:textId="77777777" w:rsidR="000565B4" w:rsidRPr="000565B4" w:rsidRDefault="000565B4" w:rsidP="000565B4">
      <w:pPr>
        <w:spacing w:after="0" w:line="256" w:lineRule="auto"/>
        <w:rPr>
          <w:rFonts w:ascii="Verdana" w:eastAsia="Verdana" w:hAnsi="Verdana" w:cs="Verdana"/>
        </w:rPr>
      </w:pPr>
      <w:r w:rsidRPr="000565B4">
        <w:rPr>
          <w:rFonts w:ascii="Verdana" w:eastAsia="Verdana" w:hAnsi="Verdana" w:cs="Verdana"/>
        </w:rPr>
        <w:t>Estimado Doctor Mendoza:</w:t>
      </w:r>
    </w:p>
    <w:p w14:paraId="6554701F" w14:textId="77777777" w:rsidR="000565B4" w:rsidRPr="000565B4" w:rsidRDefault="000565B4" w:rsidP="000565B4">
      <w:pPr>
        <w:spacing w:after="0" w:line="276" w:lineRule="auto"/>
        <w:rPr>
          <w:rFonts w:ascii="Verdana" w:eastAsia="Verdana" w:hAnsi="Verdana" w:cs="Verdana"/>
        </w:rPr>
      </w:pPr>
    </w:p>
    <w:p w14:paraId="735E4CC5"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lastRenderedPageBreak/>
        <w:t xml:space="preserve">En ejercicio de la competencia otorgada por los artículos 3, numeral 5º, y 11, numeral 8º, del Decreto Ley 4170 de 2011, así como lo establecido por la Resolución 469 de 2025 expedida por esta Entidad, la Agencia Nacional de Contratación Pública – Colombia Compra Eficiente– responde la solicitud de consulta presentada el 3 y 6 de julio de 2026, en la cual manifiesta: </w:t>
      </w:r>
    </w:p>
    <w:p w14:paraId="03B416E8" w14:textId="77777777" w:rsidR="000565B4" w:rsidRPr="000565B4" w:rsidRDefault="000565B4" w:rsidP="000565B4">
      <w:pPr>
        <w:spacing w:after="0" w:line="276" w:lineRule="auto"/>
        <w:jc w:val="both"/>
        <w:rPr>
          <w:rFonts w:ascii="Verdana" w:eastAsia="Verdana" w:hAnsi="Verdana" w:cs="Verdana"/>
        </w:rPr>
      </w:pPr>
    </w:p>
    <w:p w14:paraId="2EDF8724"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w:t>
      </w:r>
      <w:sdt>
        <w:sdtPr>
          <w:tag w:val="goog_rdk_1"/>
          <w:id w:val="-1196941"/>
        </w:sdtPr>
        <w:sdtContent/>
      </w:sdt>
      <w:r w:rsidRPr="000565B4">
        <w:rPr>
          <w:rFonts w:ascii="Verdana" w:eastAsia="Verdana" w:hAnsi="Verdana" w:cs="Verdana"/>
          <w:sz w:val="20"/>
          <w:szCs w:val="20"/>
        </w:rPr>
        <w:t>1. De conformidad con el artículo 9 de la Ley 80 de 1993, cuando a un miembro de un consorcio o unión temporal le sobreviene una inhabilidad durante la ejecución de un contrato estatal — distinta a la prevista en el literal j) del numeral 1 del artículo 8 de la misma ley —, ¿cuál es el procedimiento que debe adelantar la entidad contratante para gestionar dicha situación? ¿Existen lineamientos, protocolos o directrices de carácter general establecidos por Colombia Compra Eficiente al respecto?</w:t>
      </w:r>
    </w:p>
    <w:p w14:paraId="50504725" w14:textId="77777777" w:rsidR="000565B4" w:rsidRPr="000565B4" w:rsidRDefault="00000000" w:rsidP="000565B4">
      <w:pPr>
        <w:spacing w:after="0" w:line="240" w:lineRule="auto"/>
        <w:ind w:left="720" w:right="709"/>
        <w:jc w:val="both"/>
        <w:rPr>
          <w:rFonts w:ascii="Verdana" w:eastAsia="Verdana" w:hAnsi="Verdana" w:cs="Verdana"/>
          <w:sz w:val="20"/>
          <w:szCs w:val="20"/>
        </w:rPr>
      </w:pPr>
      <w:sdt>
        <w:sdtPr>
          <w:tag w:val="goog_rdk_2"/>
          <w:id w:val="1620261622"/>
          <w:showingPlcHdr/>
        </w:sdtPr>
        <w:sdtContent>
          <w:r w:rsidR="000565B4" w:rsidRPr="000565B4">
            <w:t xml:space="preserve">     </w:t>
          </w:r>
        </w:sdtContent>
      </w:sdt>
      <w:r w:rsidR="000565B4" w:rsidRPr="000565B4">
        <w:rPr>
          <w:rFonts w:ascii="Verdana" w:eastAsia="Verdana" w:hAnsi="Verdana" w:cs="Verdana"/>
          <w:sz w:val="20"/>
          <w:szCs w:val="20"/>
        </w:rPr>
        <w:t xml:space="preserve">2. Cuando la cesión de la participación del miembro inhabilitado de un consorcio o unión temporal a un tercero resulta materialmente imposible — bien por ausencia de cesionario idóneo o por no presentación de cesionario por parte del contratista—, ¿cuál es la consecuencia jurídica que se deriva de la imposibilidad de cumplir la obligación legal de establecida en el artículo 9 de la Ley 80 de 1993? En particular, ¿configura dicha situación una causal de caducidad del contrato en los términos del artículo 18 de la Ley 80 de 1993, o procede un mecanismo jurídico diferente, como la terminación unilateral prevista en el artículo 17 </w:t>
      </w:r>
      <w:proofErr w:type="spellStart"/>
      <w:r w:rsidR="000565B4" w:rsidRPr="000565B4">
        <w:rPr>
          <w:rFonts w:ascii="Verdana" w:eastAsia="Verdana" w:hAnsi="Verdana" w:cs="Verdana"/>
          <w:sz w:val="20"/>
          <w:szCs w:val="20"/>
        </w:rPr>
        <w:t>ibídem</w:t>
      </w:r>
      <w:proofErr w:type="spellEnd"/>
      <w:r w:rsidR="000565B4" w:rsidRPr="000565B4">
        <w:rPr>
          <w:rFonts w:ascii="Verdana" w:eastAsia="Verdana" w:hAnsi="Verdana" w:cs="Verdana"/>
          <w:sz w:val="20"/>
          <w:szCs w:val="20"/>
        </w:rPr>
        <w:t>?</w:t>
      </w:r>
    </w:p>
    <w:p w14:paraId="32C632D4"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3. En el supuesto en que proceda la terminación unilateral del contrato por imposibilidad de materializar la cesión, ¿debe el miembro inhabilitado — o el consorcio en su conjunto —presentar de manera previa la renuncia a la ejecución del contrato como requisito para que la entidad pueda declarar la terminación? ¿La figura de la renuncia prevista en el inciso primero del artículo 9 de la Ley 80 de 1993, referida al contratista individual, resulta aplicable por extensión al supuesto del miembro inhabilitado de un consorcio o unión temporal?</w:t>
      </w:r>
    </w:p>
    <w:p w14:paraId="7898C76E" w14:textId="77777777" w:rsidR="000565B4" w:rsidRPr="000565B4" w:rsidRDefault="000565B4" w:rsidP="000565B4">
      <w:pPr>
        <w:spacing w:after="0" w:line="240" w:lineRule="auto"/>
        <w:ind w:left="720" w:right="709"/>
        <w:jc w:val="both"/>
        <w:rPr>
          <w:rFonts w:ascii="Verdana" w:eastAsia="Verdana" w:hAnsi="Verdana" w:cs="Verdana"/>
          <w:sz w:val="20"/>
          <w:szCs w:val="20"/>
        </w:rPr>
      </w:pPr>
      <w:r w:rsidRPr="000565B4">
        <w:rPr>
          <w:rFonts w:ascii="Verdana" w:eastAsia="Verdana" w:hAnsi="Verdana" w:cs="Verdana"/>
          <w:sz w:val="20"/>
          <w:szCs w:val="20"/>
        </w:rPr>
        <w:t xml:space="preserve">4. Cuando el miembro inhabilitado de un consorcio o unión temporal, o el consorcio en su conjunto, se abstiene de presentar la renuncia a la ejecución del contrato, ¿qué mecanismos jurídicos tiene la entidad contratante a su disposición para poner término a la relación contractual y proceder a la liquidación del contrato? ¿Puede la entidad, con fundamento en las potestades exorbitantes previstas en la Ley 80 de 1993, ordenar de oficio la terminación unilateral del contrato sin que medie renuncia previa por parte del contratista?” </w:t>
      </w:r>
    </w:p>
    <w:p w14:paraId="1827ADB1" w14:textId="77777777" w:rsidR="000565B4" w:rsidRPr="000565B4" w:rsidRDefault="000565B4" w:rsidP="000565B4">
      <w:pPr>
        <w:spacing w:after="0" w:line="240" w:lineRule="auto"/>
        <w:ind w:right="709"/>
        <w:jc w:val="both"/>
        <w:rPr>
          <w:rFonts w:ascii="Verdana" w:eastAsia="Verdana" w:hAnsi="Verdana" w:cs="Verdana"/>
          <w:i/>
          <w:sz w:val="20"/>
          <w:szCs w:val="20"/>
        </w:rPr>
      </w:pPr>
    </w:p>
    <w:p w14:paraId="453F13F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0565B4">
        <w:rPr>
          <w:rFonts w:ascii="Verdana" w:eastAsia="Verdana" w:hAnsi="Verdana" w:cs="Verdana"/>
        </w:rPr>
        <w:lastRenderedPageBreak/>
        <w:t>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FEE2BE6" w14:textId="77777777" w:rsidR="000565B4" w:rsidRPr="000565B4" w:rsidRDefault="000565B4" w:rsidP="000565B4">
      <w:pPr>
        <w:spacing w:after="0" w:line="276" w:lineRule="auto"/>
        <w:ind w:firstLine="708"/>
        <w:jc w:val="both"/>
        <w:rPr>
          <w:rFonts w:ascii="Verdana" w:eastAsia="Verdana" w:hAnsi="Verdana" w:cs="Verdana"/>
        </w:rPr>
      </w:pPr>
      <w:r w:rsidRPr="000565B4">
        <w:rPr>
          <w:rFonts w:ascii="Verdana" w:eastAsia="Verdana" w:hAnsi="Verdana" w:cs="Verdana"/>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F16D460" w14:textId="77777777" w:rsidR="000565B4" w:rsidRPr="000565B4" w:rsidRDefault="000565B4" w:rsidP="000565B4">
      <w:pPr>
        <w:spacing w:after="0" w:line="276" w:lineRule="auto"/>
        <w:ind w:firstLine="708"/>
        <w:jc w:val="both"/>
        <w:rPr>
          <w:rFonts w:ascii="Verdana" w:eastAsia="Verdana" w:hAnsi="Verdana" w:cs="Verdana"/>
        </w:rPr>
      </w:pPr>
    </w:p>
    <w:p w14:paraId="79DE14BA"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 xml:space="preserve">I. </w:t>
      </w:r>
      <w:r w:rsidRPr="000565B4">
        <w:rPr>
          <w:rFonts w:ascii="Verdana" w:eastAsia="Verdana" w:hAnsi="Verdana" w:cs="Verdana"/>
          <w:b/>
          <w:bCs/>
        </w:rPr>
        <w:tab/>
      </w:r>
      <w:r w:rsidRPr="000565B4">
        <w:rPr>
          <w:rFonts w:ascii="Verdana" w:eastAsia="Verdana" w:hAnsi="Verdana" w:cs="Verdana"/>
          <w:b/>
        </w:rPr>
        <w:t>Problema planteado:</w:t>
      </w:r>
    </w:p>
    <w:p w14:paraId="57CE2A11" w14:textId="77777777" w:rsidR="000565B4" w:rsidRPr="000565B4" w:rsidRDefault="000565B4" w:rsidP="000565B4">
      <w:pPr>
        <w:spacing w:after="0" w:line="276" w:lineRule="auto"/>
        <w:rPr>
          <w:rFonts w:ascii="Verdana" w:eastAsia="Verdana" w:hAnsi="Verdana" w:cs="Verdana"/>
        </w:rPr>
      </w:pPr>
    </w:p>
    <w:p w14:paraId="1B30A9D1"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De acuerdo con el contenido de su solicitud, esta Agencia procede a resolver los siguientes problemas jurídicos:  i) </w:t>
      </w:r>
      <w:bookmarkStart w:id="0" w:name="_Hlk236681809"/>
      <w:r w:rsidRPr="000565B4">
        <w:rPr>
          <w:rFonts w:ascii="Verdana" w:eastAsia="Verdana" w:hAnsi="Verdana" w:cs="Verdana"/>
        </w:rPr>
        <w:t xml:space="preserve">¿Cuál es el procedimiento que debe adelantar la entidad contratante cuando a uno de los integrantes de un consorcio o unión temporal le sobreviene una inhabilidad o incompatibilidad durante la ejecución del contrato?; </w:t>
      </w:r>
      <w:proofErr w:type="spellStart"/>
      <w:r w:rsidRPr="000565B4">
        <w:rPr>
          <w:rFonts w:ascii="Verdana" w:eastAsia="Verdana" w:hAnsi="Verdana" w:cs="Verdana"/>
        </w:rPr>
        <w:t>ii</w:t>
      </w:r>
      <w:proofErr w:type="spellEnd"/>
      <w:r w:rsidRPr="000565B4">
        <w:rPr>
          <w:rFonts w:ascii="Verdana" w:eastAsia="Verdana" w:hAnsi="Verdana" w:cs="Verdana"/>
        </w:rPr>
        <w:t xml:space="preserve">) Cuando el integrante respecto del cual sobreviene una inhabilidad o incompatibilidad no presenta un cesionario o la cesión de su participación a un tercero resulta materialmente imposible, ¿cuál es la consecuencia jurídica aplicable?; </w:t>
      </w:r>
      <w:proofErr w:type="spellStart"/>
      <w:r w:rsidRPr="000565B4">
        <w:rPr>
          <w:rFonts w:ascii="Verdana" w:eastAsia="Verdana" w:hAnsi="Verdana" w:cs="Verdana"/>
        </w:rPr>
        <w:t>iii</w:t>
      </w:r>
      <w:proofErr w:type="spellEnd"/>
      <w:r w:rsidRPr="000565B4">
        <w:rPr>
          <w:rFonts w:ascii="Verdana" w:eastAsia="Verdana" w:hAnsi="Verdana" w:cs="Verdana"/>
        </w:rPr>
        <w:t>) ¿La renuncia a la ejecución del contrato prevista en el artículo 9 de la Ley 80 de 1993 resulta aplicable al integrante de un consorcio o unión temporal y constituye un requisito previo para que la entidad pueda adoptar la decisión correspondiente frente a la continuidad del contrato?</w:t>
      </w:r>
    </w:p>
    <w:bookmarkEnd w:id="0"/>
    <w:p w14:paraId="34EF7006" w14:textId="77777777" w:rsidR="000565B4" w:rsidRPr="000565B4" w:rsidRDefault="000565B4" w:rsidP="000565B4">
      <w:pPr>
        <w:spacing w:after="0" w:line="276" w:lineRule="auto"/>
        <w:rPr>
          <w:rFonts w:ascii="Verdana" w:eastAsia="Verdana" w:hAnsi="Verdana" w:cs="Verdana"/>
        </w:rPr>
      </w:pPr>
    </w:p>
    <w:p w14:paraId="60A95964"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II. Respuesta:</w:t>
      </w:r>
    </w:p>
    <w:p w14:paraId="5BD7288B" w14:textId="77777777" w:rsidR="000565B4" w:rsidRPr="000565B4" w:rsidRDefault="000565B4" w:rsidP="000565B4">
      <w:pPr>
        <w:spacing w:after="0" w:line="276" w:lineRule="auto"/>
        <w:jc w:val="both"/>
        <w:rPr>
          <w:rFonts w:ascii="Verdana" w:eastAsia="Verdana" w:hAnsi="Verdana" w:cs="Verdana"/>
          <w:lang w:bidi="es-ES"/>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0565B4" w:rsidRPr="000565B4" w14:paraId="4740E898" w14:textId="77777777" w:rsidTr="00486E91">
        <w:trPr>
          <w:trHeight w:val="65"/>
          <w:jc w:val="center"/>
        </w:trPr>
        <w:tc>
          <w:tcPr>
            <w:tcW w:w="8647" w:type="dxa"/>
          </w:tcPr>
          <w:p w14:paraId="683B46D1" w14:textId="77777777" w:rsidR="000565B4" w:rsidRPr="000565B4" w:rsidRDefault="000565B4" w:rsidP="000565B4">
            <w:pPr>
              <w:spacing w:line="276" w:lineRule="auto"/>
              <w:jc w:val="both"/>
              <w:rPr>
                <w:rFonts w:ascii="Verdana" w:eastAsia="Verdana" w:hAnsi="Verdana" w:cs="Verdana"/>
              </w:rPr>
            </w:pPr>
            <w:bookmarkStart w:id="1" w:name="_Hlk236681861"/>
            <w:r w:rsidRPr="000565B4">
              <w:rPr>
                <w:rFonts w:ascii="Verdana" w:eastAsia="Verdana" w:hAnsi="Verdana" w:cs="Verdana"/>
              </w:rPr>
              <w:t>Conforme a los problemas jurídicos, objeto de consulta, se señala lo siguiente:</w:t>
            </w:r>
          </w:p>
          <w:p w14:paraId="4518B676"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lastRenderedPageBreak/>
              <w:t>i. En torno al primer problema jurídico, se señala que las inhabilidades e incompatibilidades constituyen restricciones a la capacidad para contratar con el Estado, establecidas por el constituyente o el legislador con el propósito de garantizar la moralidad, la transparencia, la imparcialidad y la prevalencia del interés general en la contratación estatal. Por tratarse de limitaciones a la capacidad jurídica de los particulares, sus causales son de reserva legal y su interpretación debe ser taxativa y restrictiva, sin que sea posible extenderlas por analogía o por criterios amplios de interpretación.</w:t>
            </w:r>
          </w:p>
          <w:p w14:paraId="601CB457"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En la Ley 80 de 1993, el tratamiento de las inhabilidades o incompatibilidades sobrevinientes varía según se trate de un proponente, un adjudicatario o un contratista. En relación con este último, el artículo 9 del Estatuto General de Contratación de la Administración Pública estableció un régimen especial para las circunstancias que sobrevienen durante la ejecución del contrato, cuyo propósito no es sancionar al contratista, sino impedir que continúe vinculado contractualmente con el Estado cuando ha perdido la capacidad para hacerlo, procurando al mismo tiempo la conservación del vínculo contractual cuando ello resulte jurídicamente posible. </w:t>
            </w:r>
          </w:p>
          <w:p w14:paraId="483F67E3"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 manera preliminar, conviene precisar que, tal como lo delimita la propia consulta, las consideraciones que siguen se circunscriben al régimen general de las inhabilidades e incompatibilidades sobrevinientes, esto es, a aquellas distintas de la prevista en el literal j) del numeral 1 del artículo 8 de la Ley 80 de 1993, la cual cuenta con un tratamiento especial en el parágrafo 1º del artículo 9 </w:t>
            </w:r>
            <w:proofErr w:type="spellStart"/>
            <w:r w:rsidRPr="000565B4">
              <w:rPr>
                <w:rFonts w:ascii="Verdana" w:eastAsia="Verdana" w:hAnsi="Verdana" w:cs="Verdana"/>
                <w:i/>
                <w:iCs/>
              </w:rPr>
              <w:t>Ibídem</w:t>
            </w:r>
            <w:proofErr w:type="spellEnd"/>
            <w:r w:rsidRPr="000565B4">
              <w:rPr>
                <w:rFonts w:ascii="Verdana" w:eastAsia="Verdana" w:hAnsi="Verdana" w:cs="Verdana"/>
              </w:rPr>
              <w:t>, adicionado por el artículo 6 de la Ley 2014 de 2019. En consecuencia, las reglas que se exponen a continuación no resultan aplicables a los eventos comprendidos en dicho régimen especial.</w:t>
            </w:r>
          </w:p>
          <w:p w14:paraId="43815A17"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consecuencia, cuando la inhabilidad o incompatibilidad sobreviene respecto de uno de los integrantes de un consorcio o unión temporal,</w:t>
            </w:r>
            <w:r w:rsidRPr="000565B4">
              <w:rPr>
                <w:rFonts w:cs="Times New Roman"/>
                <w:lang w:eastAsia="en-US"/>
              </w:rPr>
              <w:t xml:space="preserve"> </w:t>
            </w:r>
            <w:r w:rsidRPr="000565B4">
              <w:rPr>
                <w:rFonts w:ascii="Verdana" w:eastAsia="Verdana" w:hAnsi="Verdana" w:cs="Verdana"/>
              </w:rPr>
              <w:t xml:space="preserve">el primer deber que se activa es el del propio contratista, quien, en desarrollo del principio de buena fe y de los deberes de conducta previstos en los artículos 23 y 26 de la Ley 80 de 1993, debe informar oportunamente a la entidad contratante la configuración de la circunstancia sobreviniente. Conocida esta —por información del contratista o por cualquier otro medio—, la entidad contratante deberá adelantar la actuación administrativa correspondiente para verificar la configuración de la causal, garantizando </w:t>
            </w:r>
            <w:r w:rsidRPr="000565B4">
              <w:rPr>
                <w:rFonts w:ascii="Verdana" w:eastAsia="Verdana" w:hAnsi="Verdana" w:cs="Verdana"/>
              </w:rPr>
              <w:lastRenderedPageBreak/>
              <w:t>plenamente el debido proceso y, en particular, los derechos de defensa y contradicción del eventual afectado. Solo una vez establecida la existencia de la inhabilidad podrá exigir el cumplimiento de las consecuencias previstas por el legislador para esta clase de eventos.</w:t>
            </w:r>
          </w:p>
          <w:p w14:paraId="5469EA0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este aspecto, el efecto jurídico previsto en el inciso tercero del artículo 9 de la Ley 80 de 1993 consiste en que el integrante afectado deberá ceder su participación a un tercero, previa autorización escrita de la entidad contratante. La cesión constituye el mecanismo diseñado por el legislador para armonizar el principio de conservación del contrato con la necesidad de impedir que una persona incursa en una inhabilidad o incompatibilidad permanezca vinculada a la ejecución contractual. Por ello, dicha cesión únicamente puede efectuarse respecto de un tercero ajeno al consorcio o unión temporal, que reúna las condiciones jurídicas, técnicas, financieras y económicas necesarias para asumir la posición contractual, sin que resulte procedente redistribuir internamente la participación entre los demás integrantes del esquema asociativo.</w:t>
            </w:r>
          </w:p>
          <w:p w14:paraId="7E44589F"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este aspecto la sustitución del contratista solo resulta procedente cuando el nuevo sujeto demuestre, de manera autónoma y verificable, que cumple con todas las condiciones habilitantes que sirvieron de fundamento para la selección inicial: capacidad jurídica suficiente, experiencia y solvencia técnica equivalente o superior, fortaleza financiera comprobable y una estructura económica que garantice la ejecución integral del objeto contractual. Esta idoneidad no puede presumirse ni derivarse de su vinculación con los miembros originales del consorcio o unión temporal; debe acreditarse de forma independiente, como si se tratara de un nuevo proceso de selección respecto del cesionario.</w:t>
            </w:r>
          </w:p>
          <w:p w14:paraId="1F08C78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Finalmente, en cuanto al segundo interrogante comprendido en este problema jurídico, se informa que esta Agencia no ha expedido lineamientos, protocolos o directrices de carácter general y vinculante sobre la gestión de las inhabilidades e incompatibilidades sobrevinientes de los integrantes de consorcios o uniones temporales, distintos de la doctrina consultiva desarrollada por esta Subdirección en los conceptos relacionados en el acápite V del presente documento.</w:t>
            </w:r>
          </w:p>
          <w:p w14:paraId="2EDBFC09" w14:textId="77777777" w:rsidR="000565B4" w:rsidRPr="000565B4" w:rsidRDefault="000565B4" w:rsidP="000565B4">
            <w:pPr>
              <w:spacing w:after="120" w:line="276" w:lineRule="auto"/>
              <w:jc w:val="both"/>
              <w:rPr>
                <w:rFonts w:ascii="Verdana" w:hAnsi="Verdana"/>
                <w:color w:val="0D0D0D"/>
              </w:rPr>
            </w:pPr>
            <w:proofErr w:type="spellStart"/>
            <w:r w:rsidRPr="000565B4">
              <w:rPr>
                <w:rFonts w:ascii="Verdana" w:hAnsi="Verdana"/>
                <w:color w:val="0D0D0D"/>
              </w:rPr>
              <w:t>ii</w:t>
            </w:r>
            <w:proofErr w:type="spellEnd"/>
            <w:r w:rsidRPr="000565B4">
              <w:rPr>
                <w:rFonts w:ascii="Verdana" w:hAnsi="Verdana"/>
                <w:color w:val="0D0D0D"/>
              </w:rPr>
              <w:t xml:space="preserve">. </w:t>
            </w:r>
            <w:r w:rsidRPr="000565B4">
              <w:rPr>
                <w:rFonts w:ascii="Verdana" w:eastAsia="Verdana" w:hAnsi="Verdana" w:cs="Verdana"/>
              </w:rPr>
              <w:t xml:space="preserve">En relación con el segundo problema jurídico, se considera que el artículo 9 de la Ley 80 de 1993 reguló la consecuencia jurídica derivada de la </w:t>
            </w:r>
            <w:r w:rsidRPr="000565B4">
              <w:rPr>
                <w:rFonts w:ascii="Verdana" w:eastAsia="Verdana" w:hAnsi="Verdana" w:cs="Verdana"/>
              </w:rPr>
              <w:lastRenderedPageBreak/>
              <w:t>configuración de una inhabilidad o incompatibilidad sobreviniente respecto de uno de los integrantes de un consorcio o unión temporal, consistente en el deber de ceder su participación a un tercero, previa autorización escrita de la entidad contratante. Sin embargo, la disposición no previó expresamente cuál es la consecuencia jurídica cuando el integrante afectado incumple dicho deber o cuando la cesión resulta materialmente imposible por la inexistencia de un cesionario idóneo, por la imposibilidad de obtener la autorización correspondiente o por cualquier otra circunstancia. En efecto, corresponde interpretar las reglas del sistema de compras públicas de manera sistemática, atendiendo a la finalidad del régimen de inhabilidades e incompatibilidades y a las potestades excepcionales conferidas a las entidades estatales por el Estatuto General de Contratación de la Administración Pública.</w:t>
            </w:r>
          </w:p>
          <w:p w14:paraId="4860A54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primer lugar, no resulta procedente acudir a la terminación unilateral prevista en el inciso segundo del artículo 45 de la Ley 80 de 1993, por cuanto dicha modalidad de terminación constituye una consecuencia de la configuración de una causal de nulidad absoluta del contrato. Esta figura presupone que la inhabilidad o incompatibilidad existía desde el momento mismo de la celebración del contrato y, por tanto, afectó su validez desde el origen. En contraste, la consulta versa sobre una inhabilidad sobreviniente, esto es, una circunstancia que surge durante la ejecución del contrato, respecto de la cual el legislador estableció un tratamiento específico en el artículo 9 de la Ley 80 de 1993. Por ello, extender las consecuencias previstas para la nulidad absoluta a un supuesto diferente desconocería el carácter taxativo y de interpretación restrictiva tanto del régimen de inhabilidades e incompatibilidades como de las causales de nulidad absoluta del contrato estatal.</w:t>
            </w:r>
          </w:p>
          <w:p w14:paraId="3EB0B376"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 igual manera, la sola negativa del integrante afectado a ceder su participación o la imposibilidad objetiva de materializar la cesión no conducen, por sí mismas, a la declaratoria de caducidad del contrato. Esta constituye una potestad excepcional de naturaleza sancionatoria, cuya procedencia exige la acreditación de los presupuestos establecidos en el artículo 18 de la Ley 80 de 1993, particularmente, la existencia de un incumplimiento grave y directo de las obligaciones contractuales que afecte la ejecución del contrato y evidencie que puede conducir a su paralización. </w:t>
            </w:r>
            <w:r w:rsidRPr="000565B4">
              <w:rPr>
                <w:rFonts w:ascii="Verdana" w:eastAsia="Verdana" w:hAnsi="Verdana" w:cs="Verdana"/>
              </w:rPr>
              <w:lastRenderedPageBreak/>
              <w:t>En consecuencia, la mera configuración de una inhabilidad sobreviniente no permite identificar automáticamente la caducidad como la consecuencia jurídica prevista por el ordenamiento, sin perjuicio de que la entidad, en el caso concreto, valore si la renuencia persistente del integrante a cumplir el deber legal de cesión configura los presupuestos de dicha potestad.</w:t>
            </w:r>
          </w:p>
          <w:p w14:paraId="1BE19195"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No obstante, una vez declarada la existencia de la inhabilidad con observancia del debido proceso, requerido el integrante para que cumpla el deber legal de ceder su participación y constatado que dicho mecanismo no pudo hacerse efectivo, la entidad estatal ya no dispone del instrumento expresamente diseñado por el legislador para preservar la continuidad del contrato. En tales condiciones, mantener la ejecución contractual con la participación de quien ha perdido la capacidad para contratar con el Estado implicaría desconocer la finalidad del artículo 9 de la Ley 80 de 1993 y permitir la permanencia de una situación incompatible con el régimen de inhabilidades e incompatibilidades.</w:t>
            </w:r>
          </w:p>
          <w:p w14:paraId="379AC13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criterio de esta Agencia, en ese escenario la entidad podrá valorar la procedencia de la terminación unilateral prevista en el numeral 1 del artículo 17 de la Ley 80 de 1993, cuando la continuidad del contrato resulte incompatible con las exigencias del servicio público. Lo anterior encuentra sustento en la necesidad de preservar la legalidad, la moralidad, la transparencia y el interés general que inspiran la contratación estatal, así como en la imposibilidad de admitir que el incumplimiento del deber legal de cesión produzca un efecto favorable para el integrante inhabilitado, permitiéndole permanecer vinculado a la ejecución del contrato. En todo caso, esta potestad deberá ejercerse mediante acto administrativo debidamente motivado, en el que la entidad justifique, con fundamento en las circunstancias concretas del caso, las razones de hecho y de derecho que hacen incompatible la continuidad del contrato con las finalidades del servicio público. En este aspecto, no basta la mera constatación formal de la inhabilidad: la entidad debe acreditar que su permanencia compromete de manera efectiva la ejecución del contrato y el cumplimiento de los fines estatales.</w:t>
            </w:r>
          </w:p>
          <w:p w14:paraId="46F25A41"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Con todo, la procedencia de esta vía está condicionada por el régimen de las cláusulas excepcionales previsto en el artículo 14 de la Ley 80 de 1993. De una parte, la terminación unilateral solo podrá ejercerse en aquellos </w:t>
            </w:r>
            <w:r w:rsidRPr="000565B4">
              <w:rPr>
                <w:rFonts w:ascii="Verdana" w:eastAsia="Verdana" w:hAnsi="Verdana" w:cs="Verdana"/>
              </w:rPr>
              <w:lastRenderedPageBreak/>
              <w:t>contratos en los que, conforme al numeral 2 del artículo 14, las cláusulas excepcionales se pactaron o se entienden pactadas, de modo que no constituye una herramienta disponible en todas las tipologías contractuales. De otra parte, el numeral 1 del mismo artículo dispone que, al ejercerse esta potestad, deberá procederse al reconocimiento y orden de pago de las compensaciones e indemnizaciones a que tengan derecho las personas objeto de tales medidas. En consecuencia, al motivar el acto, la entidad deberá examinar cuidadosamente este aspecto, teniendo en cuenta que la jurisprudencia constitucional ha precisado que las consecuencias derivadas de la inhabilidad sobreviniente constituyen medidas objetivas que no comprometen la responsabilidad de la administración, de manera que la situación originada en la esfera del integrante inhabilitado no puede convertirse en fuente de reconocimientos patrimoniales injustificados a favor del contratista.</w:t>
            </w:r>
          </w:p>
          <w:p w14:paraId="5A7D4734"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Sobre el particular, esta Subdirección precisa el alcance de la postura expuesta en el Concepto C-059 del 13 de junio de 2023, conforme a la cual, ante la inhabilidad sobreviniente de un integrante del consorcio o unión temporal, el ordenamiento solo prevé el mecanismo de la cesión de la participación como vía para la continuidad del contrato. Dicha conclusión se mantiene en cuanto a que la cesión es el único instrumento previsto por el legislador para conservar el vínculo contractual; no obstante, el presente concepto la complementa en el sentido de que, agotado dicho mecanismo sin resultado, la entidad no está obligada a mantener indefinidamente la ejecución del contrato en condiciones contrarias al régimen de inhabilidades, sino que podrá valorar la terminación unilateral en los términos aquí expuestos.</w:t>
            </w:r>
          </w:p>
          <w:p w14:paraId="13217CB2"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Ahora bien, cualquiera que sea la vía que la entidad adopte —terminación unilateral del numeral 1 del artículo 17 o, en el evento excepcional en que se acrediten sus presupuestos, la caducidad del artículo 18—, la validez del acto administrativo dependerá de la correspondencia estricta entre la causal legal invocada y los fundamentos fácticos y jurídicos expuestos en su motivación. La jurisprudencia del Consejo de Estado ha sido constante en señalar que estas potestades son de interpretación restrictiva y que su ejercicio por fuera de los supuestos legales, o con una sustentación fáctica que no corresponda a la causal invocada, vicia el acto de nulidad por </w:t>
            </w:r>
            <w:r w:rsidRPr="000565B4">
              <w:rPr>
                <w:rFonts w:ascii="Verdana" w:eastAsia="Verdana" w:hAnsi="Verdana" w:cs="Verdana"/>
              </w:rPr>
              <w:lastRenderedPageBreak/>
              <w:t>falsa motivación o por infracción de las normas en que debía fundarse. En consecuencia, la entidad no puede motivar la terminación unilateral en la inhabilidad misma —pues esta no es causal autónoma de terminación—, sino en la incompatibilidad sobreviniente entre la continuidad del contrato y las exigencias del servicio público, debidamente acreditada; ni puede declarar la caducidad invocando la sola inhabilidad, sino únicamente un incumplimiento grave que afecte de manera directa la ejecución del contrato y amenace su paralización, plenamente demostrado en la actuación. La confusión entre estas causales, o la motivación del acto en una figura cuyos presupuestos no se configuran, expone la decisión a su anulación por el juez del contrato, con las consecuencias indemnizatorias correspondientes.</w:t>
            </w:r>
          </w:p>
          <w:p w14:paraId="06B9743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todo caso, la Administración tiene el deber de analizar alternativas que permitan gestionar o superar la situación derivada de la inhabilidad sobreviniente, de modo que la terminación unilateral opere únicamente como último recurso para salvaguardar el interés público y asegurar la continuidad del servicio. Cuando ello sea procedente y compatible con los fines de la contratación estatal, la entidad puede valorar la celebración de un acuerdo con el contratista para la terminación del contrato, privilegiando soluciones concertadas que mitiguen los impactos negativos sobre la gestión pública y faciliten una transición ordenada en la ejecución contractual. Igualmente, cuando la entidad no disponga de la potestad de terminación unilateral o considere que sus presupuestos no se satisfacen, podrá acudir al juez del contrato mediante el medio de control de controversias contractuales previsto en el artículo 141 de la Ley 1437 de 2011, con el fin de que se defina la terminación del vínculo y las consecuencias correspondientes.</w:t>
            </w:r>
          </w:p>
          <w:p w14:paraId="13ACE4C9" w14:textId="77777777" w:rsidR="000565B4" w:rsidRPr="000565B4" w:rsidRDefault="000565B4" w:rsidP="000565B4">
            <w:pPr>
              <w:spacing w:after="120" w:line="276" w:lineRule="auto"/>
              <w:jc w:val="both"/>
              <w:rPr>
                <w:rFonts w:ascii="Verdana" w:eastAsia="Verdana" w:hAnsi="Verdana" w:cs="Verdana"/>
              </w:rPr>
            </w:pPr>
            <w:proofErr w:type="spellStart"/>
            <w:r w:rsidRPr="000565B4">
              <w:rPr>
                <w:rFonts w:ascii="Verdana" w:eastAsia="Verdana" w:hAnsi="Verdana" w:cs="Verdana"/>
              </w:rPr>
              <w:t>iii</w:t>
            </w:r>
            <w:proofErr w:type="spellEnd"/>
            <w:r w:rsidRPr="000565B4">
              <w:rPr>
                <w:rFonts w:ascii="Verdana" w:eastAsia="Verdana" w:hAnsi="Verdana" w:cs="Verdana"/>
              </w:rPr>
              <w:t xml:space="preserve">. En referencia al tercer problema jurídico, esta Agencia considera que la renuncia a la ejecución del contrato prevista en el artículo 9 de la Ley 80 de 1993 no resulta aplicable cuando la inhabilidad o incompatibilidad sobreviene respecto de uno de los integrantes de un consorcio o una unión temporal. El legislador estableció un tratamiento distinto para esta modalidad asociativa, disponiendo expresamente que, en tales eventos, el integrante afectado deberá ceder su participación a un tercero, previa autorización escrita de la entidad contratante. En este aspecto, la cesión constituye el mecanismo específico diseñado por el ordenamiento para remover la participación del </w:t>
            </w:r>
            <w:r w:rsidRPr="000565B4">
              <w:rPr>
                <w:rFonts w:ascii="Verdana" w:eastAsia="Verdana" w:hAnsi="Verdana" w:cs="Verdana"/>
              </w:rPr>
              <w:lastRenderedPageBreak/>
              <w:t>integrante inhabilitado y preservar, en la medida de lo posible, la continuidad del contrato.</w:t>
            </w:r>
          </w:p>
          <w:p w14:paraId="6AD1B554"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Esta interpretación encuentra respaldo tanto en el tenor literal del artículo 9 de la Ley 80 de 1993 como en la jurisprudencia constitucional y contencioso administrativa, que ha destacado que las consecuencias derivadas de las inhabilidades e incompatibilidades corresponden a medidas objetivas encaminadas a garantizar que quien se encuentra inmerso en una de estas no continúe vinculado a la ejecución del contrato. De igual forma, el Consejo de Estado ha precisado que, tratándose de consorcios y uniones temporales, el efecto jurídico previsto por el legislador es la cesión de la participación del integrante afectado y no la renuncia a la ejecución del contrato.  </w:t>
            </w:r>
          </w:p>
          <w:p w14:paraId="0A264E35"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En ese sentido, la renuncia no constituye un mecanismo alternativo a la cesión ni puede entenderse como un presupuesto para que la entidad ejerza las competencias que el ordenamiento le atribuye frente a la continuidad del contrato. Admitir lo contrario implicaría extender al consorcio o unión temporal una consecuencia prevista para el contratista individual, desconociendo que el propio legislador reguló de manera especial los efectos de las inhabilidades sobrevinientes en esta clase de esquemas asociativos.</w:t>
            </w:r>
          </w:p>
          <w:p w14:paraId="7A92EFF0"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Por consiguiente, la decisión que finalmente adopte la entidad no depende de la manifestación de voluntad del integrante inhabilitado de renunciar o no a la ejecución del contrato, sino del cumplimiento de las actuaciones previstas por el ordenamiento jurídico y de la verificación de los presupuestos legales correspondientes. En virtud de lo anterior, una vez establecida la inhabilidad con observancia del debido proceso y constatado que el mecanismo de cesión no pudo hacerse efectivo, la entidad podrá adoptar la decisión que en derecho corresponda, sin que la ausencia de una renuncia constituya un obstáculo para ello. Ello evita, además, que el integrante afectado pueda impedir la aplicación de los efectos jurídicos previstos por el legislador mediante su propia negativa a cumplir el deber legal de ceder su participación, resultado incompatible con los principios de buena fe, legalidad y moralidad administrativa que fundamentan la contratación estatal.</w:t>
            </w:r>
          </w:p>
          <w:p w14:paraId="720BBC3A"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Dentro de este marco, la entidad pública definirá en cada caso concreto lo relacionado con el tema objeto de consulta. Al tratarse de un </w:t>
            </w:r>
            <w:r w:rsidRPr="000565B4">
              <w:rPr>
                <w:rFonts w:ascii="Verdana" w:eastAsia="Verdana" w:hAnsi="Verdana" w:cs="Verdana"/>
              </w:rPr>
              <w:lastRenderedPageBreak/>
              <w:t>análisis que debe realizarse en el procedimiento contractual específico, la Agencia no puede definir un criterio universal y absoluto por vía consultiva sobre las inhabilidades sobrevinientes, sino que brinda elementos de carácter general para que adopten la decisión que corresponda, lo cual es acorde con el principio de juridicidad. Así, cada entidad definirá la forma de adelantar su gestión contractual, sin que sea atribución de Colombia Compra Eficiente validarla.</w:t>
            </w:r>
            <w:bookmarkEnd w:id="1"/>
          </w:p>
        </w:tc>
      </w:tr>
    </w:tbl>
    <w:p w14:paraId="2027DBDF" w14:textId="77777777" w:rsidR="000565B4" w:rsidRPr="000565B4" w:rsidRDefault="000565B4" w:rsidP="000565B4">
      <w:pPr>
        <w:spacing w:after="0" w:line="276" w:lineRule="auto"/>
        <w:rPr>
          <w:rFonts w:ascii="Verdana" w:eastAsia="Verdana" w:hAnsi="Verdana" w:cs="Verdana"/>
          <w:b/>
        </w:rPr>
      </w:pPr>
    </w:p>
    <w:p w14:paraId="342ACCE2"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III. Razones de la respuesta:</w:t>
      </w:r>
    </w:p>
    <w:p w14:paraId="6902CFE4" w14:textId="77777777" w:rsidR="000565B4" w:rsidRPr="000565B4" w:rsidRDefault="000565B4" w:rsidP="000565B4">
      <w:pPr>
        <w:spacing w:after="0" w:line="276" w:lineRule="auto"/>
        <w:rPr>
          <w:rFonts w:ascii="Verdana" w:eastAsia="Verdana" w:hAnsi="Verdana" w:cs="Verdana"/>
          <w:b/>
        </w:rPr>
      </w:pPr>
    </w:p>
    <w:p w14:paraId="2BEE5D35"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Lo anterior se sustenta en las siguientes consideraciones: </w:t>
      </w:r>
    </w:p>
    <w:p w14:paraId="727A8BFF" w14:textId="77777777" w:rsidR="000565B4" w:rsidRPr="000565B4" w:rsidRDefault="000565B4" w:rsidP="000565B4">
      <w:pPr>
        <w:spacing w:after="0" w:line="276" w:lineRule="auto"/>
        <w:jc w:val="both"/>
        <w:rPr>
          <w:rFonts w:ascii="Verdana" w:eastAsia="Verdana" w:hAnsi="Verdana" w:cs="Verdana"/>
        </w:rPr>
      </w:pPr>
    </w:p>
    <w:p w14:paraId="6259BC5B"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 xml:space="preserve">i. Las inhabilidades son circunstancias establecidas por la Constitución o la ley que impiden que personas naturales o jurídicas sean elegidas o designadas en un cargo público, celebren contratos con el Estado, o no puedan ejercer una profesión, con el objetivo de garantizar la idoneidad, imparcialidad, probidad, transparencia y moralidad de la función pública, garantizando el interés general. De igual modo, en torno a la incompatibilidad, la Corte Constitucional ha señalado: </w:t>
      </w:r>
    </w:p>
    <w:p w14:paraId="279BDFAD" w14:textId="77777777" w:rsidR="000565B4" w:rsidRPr="000565B4" w:rsidRDefault="000565B4" w:rsidP="000565B4">
      <w:pPr>
        <w:spacing w:after="0" w:line="276" w:lineRule="auto"/>
        <w:jc w:val="both"/>
        <w:rPr>
          <w:rFonts w:ascii="Verdana" w:eastAsia="Verdana" w:hAnsi="Verdana" w:cs="Verdana"/>
          <w:sz w:val="20"/>
          <w:szCs w:val="20"/>
        </w:rPr>
      </w:pPr>
    </w:p>
    <w:p w14:paraId="21E0C9EA"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 una prohibición dirigida al titular de una función pública a quien, por ese hecho, se le impide ocuparse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0565B4">
        <w:rPr>
          <w:rFonts w:ascii="Verdana" w:eastAsia="Verdana" w:hAnsi="Verdana" w:cs="Verdana"/>
          <w:sz w:val="20"/>
          <w:szCs w:val="20"/>
          <w:vertAlign w:val="superscript"/>
        </w:rPr>
        <w:footnoteReference w:id="1"/>
      </w:r>
      <w:r w:rsidRPr="000565B4">
        <w:rPr>
          <w:rFonts w:ascii="Verdana" w:eastAsia="Verdana" w:hAnsi="Verdana" w:cs="Verdana"/>
          <w:sz w:val="20"/>
          <w:szCs w:val="20"/>
        </w:rPr>
        <w:t>.</w:t>
      </w:r>
    </w:p>
    <w:p w14:paraId="47AED639" w14:textId="77777777" w:rsidR="000565B4" w:rsidRPr="000565B4" w:rsidRDefault="000565B4" w:rsidP="000565B4">
      <w:pPr>
        <w:spacing w:after="0" w:line="240" w:lineRule="auto"/>
        <w:ind w:left="709" w:right="709"/>
        <w:jc w:val="both"/>
        <w:rPr>
          <w:rFonts w:ascii="Verdana" w:eastAsia="Verdana" w:hAnsi="Verdana" w:cs="Verdana"/>
          <w:sz w:val="21"/>
          <w:szCs w:val="21"/>
        </w:rPr>
      </w:pPr>
    </w:p>
    <w:p w14:paraId="195D15BC"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Las inhabilidades e incompatibilidades pueden enfocarse en varios asuntos: en primer lugar, se encuentran las inhabilidades e incompatibilidades que impiden que una persona sea elegida, designada para un cargo público, como también en ciertos eventos impiden que la persona se encuentre vinculada a la función pública continúe en ella; en segundo lugar, se hallan las inhabilidades e incompatibilidades para el ejercicio de una profesión, las cuales se constituyen en restricciones que impiden el ejercicio de una profesión que </w:t>
      </w:r>
      <w:r w:rsidRPr="000565B4">
        <w:rPr>
          <w:rFonts w:ascii="Verdana" w:eastAsia="Verdana" w:hAnsi="Verdana" w:cs="Verdana"/>
        </w:rPr>
        <w:lastRenderedPageBreak/>
        <w:t xml:space="preserve">encuentran sustento en el artículo 26 de la Constitución Política; en tercer lugar, se encuentra el régimen de inhabilidades e incompatibilidades en la contratación estatal, que busca limitar la celebración de contratos, así como evitar que siga contratando por una inhabilidad o incompatibilidad sobreviniente. De acuerdo con lo expuesto, se señala que la Agencia Nacional de Contratación Pública es competente para resolver consultas sobre normas del sistema de compras y contratación públicas que establezcan inhabilidades e incompatibilidades para contratar con el Estado. </w:t>
      </w:r>
    </w:p>
    <w:p w14:paraId="23179CA6"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Para ello, hay que precisar que,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0565B4">
        <w:rPr>
          <w:rFonts w:ascii="Verdana" w:eastAsia="Verdana" w:hAnsi="Verdana" w:cs="Verdana"/>
          <w:vertAlign w:val="superscript"/>
        </w:rPr>
        <w:footnoteReference w:id="2"/>
      </w:r>
    </w:p>
    <w:p w14:paraId="5BE14D7E" w14:textId="77777777" w:rsidR="000565B4" w:rsidRPr="000565B4" w:rsidRDefault="000565B4" w:rsidP="000565B4">
      <w:pPr>
        <w:spacing w:before="120" w:after="0" w:line="276" w:lineRule="auto"/>
        <w:ind w:firstLine="709"/>
        <w:jc w:val="both"/>
        <w:rPr>
          <w:rFonts w:ascii="Verdana" w:eastAsia="Verdana" w:hAnsi="Verdana" w:cs="Verdana"/>
        </w:rPr>
      </w:pPr>
      <w:r w:rsidRPr="000565B4">
        <w:rPr>
          <w:rFonts w:ascii="Verdana" w:eastAsia="Verdana" w:hAnsi="Verdana" w:cs="Verdana"/>
        </w:rPr>
        <w:t xml:space="preserve">La regulación de las inhabilidades implica limitaciones a la capacidad jurídica para contratar, que desarrolla los principios de la función administrativa consagrados en el artículo 209 de la Constitución Política, con especial énfasis, el de moralidad. Así lo entiende el Consejo de Estado: </w:t>
      </w:r>
    </w:p>
    <w:p w14:paraId="6D66B5A9" w14:textId="77777777" w:rsidR="000565B4" w:rsidRPr="000565B4" w:rsidRDefault="000565B4" w:rsidP="000565B4">
      <w:pPr>
        <w:spacing w:after="0" w:line="276" w:lineRule="auto"/>
        <w:jc w:val="both"/>
        <w:rPr>
          <w:rFonts w:ascii="Verdana" w:eastAsia="Verdana" w:hAnsi="Verdana" w:cs="Verdana"/>
        </w:rPr>
      </w:pPr>
    </w:p>
    <w:p w14:paraId="1853FAE6"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68CD0F9C"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p>
    <w:p w14:paraId="1DDCCD82"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w:t>
      </w:r>
      <w:r w:rsidRPr="000565B4">
        <w:rPr>
          <w:rFonts w:ascii="Verdana" w:eastAsia="Verdana" w:hAnsi="Verdana" w:cs="Verdana"/>
          <w:sz w:val="20"/>
          <w:szCs w:val="20"/>
        </w:rPr>
        <w:lastRenderedPageBreak/>
        <w:t>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0565B4">
        <w:rPr>
          <w:rFonts w:ascii="Verdana" w:eastAsia="Verdana" w:hAnsi="Verdana" w:cs="Verdana"/>
          <w:sz w:val="20"/>
          <w:szCs w:val="20"/>
          <w:vertAlign w:val="superscript"/>
        </w:rPr>
        <w:footnoteReference w:id="3"/>
      </w:r>
    </w:p>
    <w:p w14:paraId="3AC4B50A" w14:textId="77777777" w:rsidR="000565B4" w:rsidRPr="000565B4" w:rsidRDefault="000565B4" w:rsidP="000565B4">
      <w:pPr>
        <w:shd w:val="clear" w:color="auto" w:fill="FFFFFF"/>
        <w:spacing w:after="0" w:line="240" w:lineRule="auto"/>
        <w:ind w:left="709" w:right="709"/>
        <w:jc w:val="both"/>
        <w:rPr>
          <w:rFonts w:ascii="Verdana" w:eastAsia="Verdana" w:hAnsi="Verdana" w:cs="Verdana"/>
          <w:sz w:val="20"/>
          <w:szCs w:val="20"/>
        </w:rPr>
      </w:pPr>
    </w:p>
    <w:p w14:paraId="27621F0B"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7A4DBDBD" w14:textId="77777777" w:rsidR="000565B4" w:rsidRPr="000565B4" w:rsidRDefault="000565B4" w:rsidP="000565B4">
      <w:pPr>
        <w:spacing w:after="0" w:line="276" w:lineRule="auto"/>
        <w:rPr>
          <w:rFonts w:ascii="Verdana" w:eastAsia="Verdana" w:hAnsi="Verdana" w:cs="Verdana"/>
          <w:sz w:val="21"/>
          <w:szCs w:val="21"/>
          <w:highlight w:val="white"/>
        </w:rPr>
      </w:pPr>
    </w:p>
    <w:p w14:paraId="1374E636"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06B0647C" w14:textId="77777777" w:rsidR="000565B4" w:rsidRPr="000565B4" w:rsidRDefault="000565B4" w:rsidP="000565B4">
      <w:pPr>
        <w:spacing w:after="0" w:line="240" w:lineRule="auto"/>
        <w:ind w:left="709" w:right="709"/>
        <w:jc w:val="both"/>
        <w:rPr>
          <w:rFonts w:ascii="Verdana" w:eastAsia="Verdana" w:hAnsi="Verdana" w:cs="Verdana"/>
          <w:sz w:val="20"/>
          <w:szCs w:val="20"/>
        </w:rPr>
      </w:pPr>
    </w:p>
    <w:p w14:paraId="380BABBC"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0565B4">
        <w:rPr>
          <w:rFonts w:ascii="Verdana" w:eastAsia="Verdana" w:hAnsi="Verdana" w:cs="Verdana"/>
          <w:sz w:val="20"/>
          <w:szCs w:val="20"/>
          <w:vertAlign w:val="superscript"/>
        </w:rPr>
        <w:footnoteReference w:id="4"/>
      </w:r>
      <w:r w:rsidRPr="000565B4">
        <w:rPr>
          <w:rFonts w:ascii="Verdana" w:eastAsia="Verdana" w:hAnsi="Verdana" w:cs="Verdana"/>
          <w:sz w:val="20"/>
          <w:szCs w:val="20"/>
        </w:rPr>
        <w:t xml:space="preserve">. </w:t>
      </w:r>
    </w:p>
    <w:p w14:paraId="32C81819" w14:textId="77777777" w:rsidR="000565B4" w:rsidRPr="000565B4" w:rsidRDefault="000565B4" w:rsidP="000565B4">
      <w:pPr>
        <w:spacing w:after="0" w:line="276" w:lineRule="auto"/>
        <w:ind w:right="709"/>
        <w:jc w:val="both"/>
        <w:rPr>
          <w:rFonts w:ascii="Verdana" w:eastAsia="Verdana" w:hAnsi="Verdana" w:cs="Verdana"/>
          <w:sz w:val="20"/>
          <w:szCs w:val="20"/>
        </w:rPr>
      </w:pPr>
    </w:p>
    <w:p w14:paraId="415157E4"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68A59360" w14:textId="77777777" w:rsidR="000565B4" w:rsidRPr="000565B4" w:rsidRDefault="000565B4" w:rsidP="000565B4">
      <w:pPr>
        <w:tabs>
          <w:tab w:val="left" w:pos="1532"/>
        </w:tabs>
        <w:spacing w:after="0" w:line="276" w:lineRule="auto"/>
        <w:jc w:val="both"/>
        <w:rPr>
          <w:rFonts w:ascii="Verdana" w:eastAsia="Verdana" w:hAnsi="Verdana" w:cs="Verdana"/>
        </w:rPr>
      </w:pPr>
    </w:p>
    <w:p w14:paraId="3313CA01"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w:t>
      </w:r>
      <w:proofErr w:type="spellStart"/>
      <w:r w:rsidRPr="000565B4">
        <w:rPr>
          <w:rFonts w:ascii="Verdana" w:eastAsia="Verdana" w:hAnsi="Verdana" w:cs="Verdana"/>
          <w:sz w:val="20"/>
          <w:szCs w:val="20"/>
        </w:rPr>
        <w:t>libertate</w:t>
      </w:r>
      <w:proofErr w:type="spellEnd"/>
      <w:r w:rsidRPr="000565B4">
        <w:rPr>
          <w:rFonts w:ascii="Verdana" w:eastAsia="Verdana" w:hAnsi="Verdana" w:cs="Verdana"/>
          <w:sz w:val="20"/>
          <w:szCs w:val="20"/>
        </w:rPr>
        <w:t xml:space="preserve">, sino el de legalidad, el que ordena que la función pública debe someterse estrictamente a lo que disponga la Constitución y la ley (CP art. 6). </w:t>
      </w:r>
    </w:p>
    <w:p w14:paraId="19395312"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xml:space="preserve">[…] </w:t>
      </w:r>
    </w:p>
    <w:p w14:paraId="473490B0"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0565B4">
        <w:rPr>
          <w:rFonts w:ascii="Verdana" w:eastAsia="Verdana" w:hAnsi="Verdana" w:cs="Verdana"/>
          <w:sz w:val="20"/>
          <w:szCs w:val="20"/>
          <w:vertAlign w:val="superscript"/>
        </w:rPr>
        <w:footnoteReference w:id="5"/>
      </w:r>
      <w:r w:rsidRPr="000565B4">
        <w:rPr>
          <w:rFonts w:ascii="Verdana" w:eastAsia="Verdana" w:hAnsi="Verdana" w:cs="Verdana"/>
          <w:sz w:val="20"/>
          <w:szCs w:val="20"/>
        </w:rPr>
        <w:t>.</w:t>
      </w:r>
    </w:p>
    <w:p w14:paraId="469F7DCA" w14:textId="77777777" w:rsidR="000565B4" w:rsidRPr="000565B4" w:rsidRDefault="000565B4" w:rsidP="000565B4">
      <w:pPr>
        <w:spacing w:after="0" w:line="276" w:lineRule="auto"/>
        <w:ind w:left="709" w:right="709"/>
        <w:jc w:val="both"/>
        <w:rPr>
          <w:rFonts w:ascii="Verdana" w:eastAsia="Verdana" w:hAnsi="Verdana" w:cs="Verdana"/>
          <w:sz w:val="20"/>
          <w:szCs w:val="20"/>
        </w:rPr>
      </w:pPr>
    </w:p>
    <w:p w14:paraId="6FA97DA8"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t xml:space="preserve">Conviene también distinguir las fuentes de las inhabilidades, las cuales han sido clasificadas en dos (2) grupos: i) inhabilidades-sanción y </w:t>
      </w:r>
      <w:proofErr w:type="spellStart"/>
      <w:r w:rsidRPr="000565B4">
        <w:rPr>
          <w:rFonts w:ascii="Verdana" w:eastAsia="Verdana" w:hAnsi="Verdana" w:cs="Verdana"/>
        </w:rPr>
        <w:t>ii</w:t>
      </w:r>
      <w:proofErr w:type="spellEnd"/>
      <w:r w:rsidRPr="000565B4">
        <w:rPr>
          <w:rFonts w:ascii="Verdana" w:eastAsia="Verdana" w:hAnsi="Verdana" w:cs="Verdana"/>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0565B4">
        <w:rPr>
          <w:rFonts w:ascii="Verdana" w:eastAsia="Verdana" w:hAnsi="Verdana" w:cs="Verdana"/>
          <w:vertAlign w:val="superscript"/>
        </w:rPr>
        <w:footnoteReference w:id="6"/>
      </w:r>
      <w:r w:rsidRPr="000565B4">
        <w:rPr>
          <w:rFonts w:ascii="Verdana" w:eastAsia="Verdana" w:hAnsi="Verdana" w:cs="Verdana"/>
        </w:rPr>
        <w:t>.</w:t>
      </w:r>
    </w:p>
    <w:p w14:paraId="5446769D" w14:textId="77777777" w:rsidR="000565B4" w:rsidRPr="000565B4" w:rsidRDefault="000565B4" w:rsidP="000565B4">
      <w:pPr>
        <w:spacing w:before="120" w:after="120" w:line="276" w:lineRule="auto"/>
        <w:ind w:firstLine="708"/>
        <w:jc w:val="both"/>
        <w:rPr>
          <w:rFonts w:ascii="Verdana" w:eastAsia="Verdana" w:hAnsi="Verdana" w:cs="Verdana"/>
        </w:rPr>
      </w:pPr>
      <w:r w:rsidRPr="000565B4">
        <w:rPr>
          <w:rFonts w:ascii="Verdana" w:eastAsia="Verdana" w:hAnsi="Verdana" w:cs="Verdana"/>
        </w:rPr>
        <w:t>A manera de ejemplo, en materia contractual, los literales c), d) y j) del numeral 1 del artículo 8 de la Ley 80 de 1993</w:t>
      </w:r>
      <w:r w:rsidRPr="000565B4">
        <w:rPr>
          <w:rFonts w:ascii="Verdana" w:eastAsia="Verdana" w:hAnsi="Verdana" w:cs="Verdana"/>
          <w:vertAlign w:val="superscript"/>
        </w:rPr>
        <w:footnoteReference w:id="7"/>
      </w:r>
      <w:r w:rsidRPr="000565B4">
        <w:rPr>
          <w:rFonts w:ascii="Verdana" w:eastAsia="Verdana" w:hAnsi="Verdana" w:cs="Verdana"/>
        </w:rPr>
        <w:t xml:space="preserve"> establecen inhabilidades-sanción, </w:t>
      </w:r>
      <w:r w:rsidRPr="000565B4">
        <w:rPr>
          <w:rFonts w:ascii="Verdana" w:eastAsia="Verdana" w:hAnsi="Verdana" w:cs="Verdana"/>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2E41441F" w14:textId="77777777" w:rsidR="000565B4" w:rsidRPr="000565B4" w:rsidRDefault="000565B4" w:rsidP="000565B4">
      <w:pPr>
        <w:spacing w:before="120" w:after="120" w:line="276" w:lineRule="auto"/>
        <w:ind w:firstLine="709"/>
        <w:jc w:val="both"/>
        <w:rPr>
          <w:rFonts w:ascii="Verdana" w:eastAsia="Verdana" w:hAnsi="Verdana" w:cs="Verdana"/>
        </w:rPr>
      </w:pPr>
      <w:r w:rsidRPr="000565B4">
        <w:rPr>
          <w:rFonts w:ascii="Verdana" w:eastAsia="Verdana" w:hAnsi="Verdana" w:cs="Verdana"/>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18DF1FFF" w14:textId="77777777" w:rsidR="000565B4" w:rsidRPr="000565B4" w:rsidRDefault="000565B4" w:rsidP="000565B4">
      <w:pPr>
        <w:spacing w:before="120" w:after="120" w:line="276" w:lineRule="auto"/>
        <w:ind w:firstLine="709"/>
        <w:jc w:val="both"/>
        <w:rPr>
          <w:rFonts w:ascii="Verdana" w:eastAsia="Verdana" w:hAnsi="Verdana" w:cs="Verdana"/>
        </w:rPr>
      </w:pPr>
      <w:r w:rsidRPr="000565B4">
        <w:rPr>
          <w:rFonts w:ascii="Verdana" w:eastAsia="Verdana" w:hAnsi="Verdana" w:cs="Verdana"/>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0565B4">
        <w:rPr>
          <w:rFonts w:ascii="Verdana" w:eastAsia="Verdana" w:hAnsi="Verdana" w:cs="Verdana"/>
          <w:i/>
        </w:rPr>
        <w:t>restrictiva</w:t>
      </w:r>
      <w:r w:rsidRPr="000565B4">
        <w:rPr>
          <w:rFonts w:ascii="Verdana" w:eastAsia="Verdana" w:hAnsi="Verdana" w:cs="Verdana"/>
          <w:i/>
          <w:vertAlign w:val="superscript"/>
        </w:rPr>
        <w:footnoteReference w:id="8"/>
      </w:r>
      <w:r w:rsidRPr="000565B4">
        <w:rPr>
          <w:rFonts w:ascii="Verdana" w:eastAsia="Verdana" w:hAnsi="Verdana" w:cs="Verdana"/>
          <w:i/>
        </w:rPr>
        <w:t xml:space="preserve">, </w:t>
      </w:r>
      <w:r w:rsidRPr="000565B4">
        <w:rPr>
          <w:rFonts w:ascii="Verdana" w:eastAsia="Verdana" w:hAnsi="Verdana" w:cs="Verdana"/>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42DB3F18" w14:textId="77777777" w:rsidR="000565B4" w:rsidRPr="000565B4" w:rsidRDefault="000565B4" w:rsidP="000565B4">
      <w:pPr>
        <w:spacing w:after="120" w:line="276" w:lineRule="auto"/>
        <w:ind w:firstLine="709"/>
        <w:jc w:val="both"/>
        <w:rPr>
          <w:rFonts w:ascii="Verdana" w:eastAsia="Verdana" w:hAnsi="Verdana" w:cs="Verdana"/>
        </w:rPr>
      </w:pPr>
      <w:r w:rsidRPr="000565B4">
        <w:rPr>
          <w:rFonts w:ascii="Verdana" w:eastAsia="Verdana" w:hAnsi="Verdana" w:cs="Verdana"/>
        </w:rPr>
        <w:lastRenderedPageBreak/>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0565B4">
        <w:rPr>
          <w:rFonts w:ascii="Verdana" w:eastAsia="Verdana" w:hAnsi="Verdana" w:cs="Verdana"/>
          <w:vertAlign w:val="superscript"/>
        </w:rPr>
        <w:footnoteReference w:id="9"/>
      </w:r>
      <w:r w:rsidRPr="000565B4">
        <w:rPr>
          <w:rFonts w:ascii="Verdana" w:eastAsia="Verdana" w:hAnsi="Verdana" w:cs="Verdana"/>
        </w:rPr>
        <w:t xml:space="preserve">. </w:t>
      </w:r>
    </w:p>
    <w:p w14:paraId="7010642B" w14:textId="77777777" w:rsidR="000565B4" w:rsidRPr="000565B4" w:rsidRDefault="000565B4" w:rsidP="000565B4">
      <w:pPr>
        <w:spacing w:after="0" w:line="276" w:lineRule="auto"/>
        <w:ind w:firstLine="709"/>
        <w:jc w:val="both"/>
        <w:rPr>
          <w:rFonts w:ascii="Verdana" w:eastAsia="Verdana" w:hAnsi="Verdana" w:cs="Verdana"/>
        </w:rPr>
      </w:pPr>
      <w:r w:rsidRPr="000565B4">
        <w:rPr>
          <w:rFonts w:ascii="Verdana" w:eastAsia="Verdana" w:hAnsi="Verdana" w:cs="Verdana"/>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0565B4">
        <w:rPr>
          <w:rFonts w:ascii="Verdana" w:eastAsia="Verdana" w:hAnsi="Verdana" w:cs="Verdana"/>
          <w:vertAlign w:val="superscript"/>
        </w:rPr>
        <w:footnoteReference w:id="10"/>
      </w:r>
      <w:r w:rsidRPr="000565B4">
        <w:rPr>
          <w:rFonts w:ascii="Verdana" w:eastAsia="Verdana" w:hAnsi="Verdana" w:cs="Verdana"/>
        </w:rPr>
        <w:t>. En tal sentido, la Sección Tercera ha señalado que:</w:t>
      </w:r>
    </w:p>
    <w:p w14:paraId="3FDFA767" w14:textId="77777777" w:rsidR="000565B4" w:rsidRPr="000565B4" w:rsidRDefault="000565B4" w:rsidP="000565B4">
      <w:pPr>
        <w:spacing w:after="0" w:line="276" w:lineRule="auto"/>
        <w:ind w:firstLine="709"/>
        <w:jc w:val="both"/>
        <w:rPr>
          <w:rFonts w:ascii="Verdana" w:eastAsia="Verdana" w:hAnsi="Verdana" w:cs="Verdana"/>
        </w:rPr>
      </w:pPr>
    </w:p>
    <w:p w14:paraId="0225F5E9" w14:textId="77777777" w:rsidR="000565B4" w:rsidRPr="000565B4" w:rsidRDefault="000565B4" w:rsidP="000565B4">
      <w:pPr>
        <w:spacing w:after="0" w:line="240" w:lineRule="auto"/>
        <w:ind w:left="709" w:right="709"/>
        <w:jc w:val="both"/>
        <w:rPr>
          <w:rFonts w:ascii="Verdana" w:eastAsia="Verdana" w:hAnsi="Verdana" w:cs="Verdana"/>
          <w:sz w:val="20"/>
          <w:szCs w:val="20"/>
        </w:rPr>
      </w:pPr>
      <w:r w:rsidRPr="000565B4">
        <w:rPr>
          <w:rFonts w:ascii="Verdana" w:eastAsia="Verdana" w:hAnsi="Verdana" w:cs="Verdana"/>
          <w:sz w:val="20"/>
          <w:szCs w:val="20"/>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0565B4">
        <w:rPr>
          <w:rFonts w:ascii="Verdana" w:eastAsia="Verdana" w:hAnsi="Verdana" w:cs="Verdana"/>
          <w:sz w:val="20"/>
          <w:szCs w:val="20"/>
          <w:vertAlign w:val="superscript"/>
        </w:rPr>
        <w:footnoteReference w:id="11"/>
      </w:r>
      <w:r w:rsidRPr="000565B4">
        <w:rPr>
          <w:rFonts w:ascii="Verdana" w:eastAsia="Verdana" w:hAnsi="Verdana" w:cs="Verdana"/>
          <w:sz w:val="20"/>
          <w:szCs w:val="20"/>
        </w:rPr>
        <w:t>.</w:t>
      </w:r>
    </w:p>
    <w:p w14:paraId="055796CF" w14:textId="77777777" w:rsidR="000565B4" w:rsidRPr="000565B4" w:rsidRDefault="000565B4" w:rsidP="000565B4">
      <w:pPr>
        <w:spacing w:after="0" w:line="240" w:lineRule="auto"/>
        <w:ind w:firstLine="709"/>
        <w:jc w:val="both"/>
        <w:rPr>
          <w:rFonts w:ascii="Verdana" w:eastAsia="Verdana" w:hAnsi="Verdana" w:cs="Verdana"/>
          <w:sz w:val="20"/>
          <w:szCs w:val="20"/>
        </w:rPr>
      </w:pPr>
    </w:p>
    <w:p w14:paraId="0C41284B" w14:textId="77777777" w:rsidR="000565B4" w:rsidRPr="000565B4" w:rsidRDefault="000565B4" w:rsidP="000565B4">
      <w:pPr>
        <w:spacing w:after="0" w:line="240" w:lineRule="auto"/>
        <w:ind w:firstLine="709"/>
        <w:jc w:val="both"/>
        <w:rPr>
          <w:rFonts w:ascii="Verdana" w:eastAsia="Verdana" w:hAnsi="Verdana" w:cs="Verdana"/>
          <w:sz w:val="20"/>
          <w:szCs w:val="20"/>
        </w:rPr>
      </w:pPr>
      <w:r w:rsidRPr="000565B4">
        <w:rPr>
          <w:rFonts w:ascii="Verdana" w:eastAsia="Verdana" w:hAnsi="Verdana" w:cs="Verdana"/>
          <w:sz w:val="20"/>
          <w:szCs w:val="20"/>
        </w:rPr>
        <w:t>También ha dicho que:</w:t>
      </w:r>
    </w:p>
    <w:p w14:paraId="3AB38C58" w14:textId="77777777" w:rsidR="000565B4" w:rsidRPr="000565B4" w:rsidRDefault="000565B4" w:rsidP="000565B4">
      <w:pPr>
        <w:spacing w:after="0" w:line="240" w:lineRule="auto"/>
        <w:ind w:left="709" w:right="616"/>
        <w:jc w:val="both"/>
        <w:rPr>
          <w:rFonts w:ascii="Verdana" w:eastAsia="Verdana" w:hAnsi="Verdana" w:cs="Verdana"/>
          <w:sz w:val="20"/>
          <w:szCs w:val="20"/>
        </w:rPr>
      </w:pPr>
      <w:r w:rsidRPr="000565B4">
        <w:rPr>
          <w:rFonts w:ascii="Verdana" w:eastAsia="Verdana" w:hAnsi="Verdana" w:cs="Verdana"/>
          <w:sz w:val="20"/>
          <w:szCs w:val="20"/>
        </w:rPr>
        <w:t xml:space="preserve">[…] la aplicación de estos preceptos exige una interpretación restrictiva, dado que según el principio hermenéutico </w:t>
      </w:r>
      <w:r w:rsidRPr="000565B4">
        <w:rPr>
          <w:rFonts w:ascii="Verdana" w:eastAsia="Verdana" w:hAnsi="Verdana" w:cs="Verdana"/>
          <w:i/>
          <w:sz w:val="20"/>
          <w:szCs w:val="20"/>
        </w:rPr>
        <w:t xml:space="preserve">pro </w:t>
      </w:r>
      <w:proofErr w:type="spellStart"/>
      <w:r w:rsidRPr="000565B4">
        <w:rPr>
          <w:rFonts w:ascii="Verdana" w:eastAsia="Verdana" w:hAnsi="Verdana" w:cs="Verdana"/>
          <w:i/>
          <w:sz w:val="20"/>
          <w:szCs w:val="20"/>
        </w:rPr>
        <w:t>libertate</w:t>
      </w:r>
      <w:proofErr w:type="spellEnd"/>
      <w:r w:rsidRPr="000565B4">
        <w:rPr>
          <w:rFonts w:ascii="Verdana" w:eastAsia="Verdana" w:hAnsi="Verdana" w:cs="Verdana"/>
          <w:sz w:val="20"/>
          <w:szCs w:val="20"/>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0565B4">
        <w:rPr>
          <w:rFonts w:ascii="Verdana" w:eastAsia="Verdana" w:hAnsi="Verdana" w:cs="Verdana"/>
          <w:sz w:val="20"/>
          <w:szCs w:val="20"/>
          <w:vertAlign w:val="superscript"/>
        </w:rPr>
        <w:footnoteReference w:id="12"/>
      </w:r>
      <w:r w:rsidRPr="000565B4">
        <w:rPr>
          <w:rFonts w:ascii="Verdana" w:eastAsia="Verdana" w:hAnsi="Verdana" w:cs="Verdana"/>
          <w:sz w:val="20"/>
          <w:szCs w:val="20"/>
        </w:rPr>
        <w:t>.</w:t>
      </w:r>
    </w:p>
    <w:p w14:paraId="151BE504" w14:textId="77777777" w:rsidR="000565B4" w:rsidRPr="000565B4" w:rsidRDefault="000565B4" w:rsidP="000565B4">
      <w:pPr>
        <w:spacing w:after="0" w:line="276" w:lineRule="auto"/>
        <w:jc w:val="both"/>
        <w:rPr>
          <w:rFonts w:ascii="Verdana" w:eastAsia="Verdana" w:hAnsi="Verdana" w:cs="Verdana"/>
          <w:color w:val="000000"/>
          <w:sz w:val="20"/>
          <w:szCs w:val="20"/>
        </w:rPr>
      </w:pPr>
    </w:p>
    <w:p w14:paraId="6A2D7D41"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lastRenderedPageBreak/>
        <w:t xml:space="preserve">Como se aprecia, el principio </w:t>
      </w:r>
      <w:r w:rsidRPr="000565B4">
        <w:rPr>
          <w:rFonts w:ascii="Verdana" w:eastAsia="Verdana" w:hAnsi="Verdana" w:cs="Verdana"/>
          <w:i/>
          <w:color w:val="000000"/>
        </w:rPr>
        <w:t xml:space="preserve">pro </w:t>
      </w:r>
      <w:proofErr w:type="spellStart"/>
      <w:r w:rsidRPr="000565B4">
        <w:rPr>
          <w:rFonts w:ascii="Verdana" w:eastAsia="Verdana" w:hAnsi="Verdana" w:cs="Verdana"/>
          <w:i/>
          <w:color w:val="000000"/>
        </w:rPr>
        <w:t>libertate</w:t>
      </w:r>
      <w:proofErr w:type="spellEnd"/>
      <w:r w:rsidRPr="000565B4">
        <w:rPr>
          <w:rFonts w:ascii="Verdana" w:eastAsia="Verdana" w:hAnsi="Verdana" w:cs="Verdana"/>
          <w:color w:val="000000"/>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0565B4">
        <w:rPr>
          <w:rFonts w:ascii="Verdana" w:eastAsia="Verdana" w:hAnsi="Verdana" w:cs="Verdana"/>
          <w:color w:val="000000"/>
          <w:vertAlign w:val="superscript"/>
        </w:rPr>
        <w:footnoteReference w:id="13"/>
      </w:r>
    </w:p>
    <w:p w14:paraId="6E2B064B" w14:textId="77777777" w:rsidR="000565B4" w:rsidRPr="000565B4" w:rsidRDefault="000565B4" w:rsidP="000565B4">
      <w:pPr>
        <w:spacing w:after="0" w:line="276" w:lineRule="auto"/>
        <w:ind w:firstLine="709"/>
        <w:jc w:val="both"/>
        <w:rPr>
          <w:rFonts w:ascii="Verdana" w:eastAsia="Verdana" w:hAnsi="Verdana" w:cs="Verdana"/>
          <w:color w:val="000000"/>
          <w:highlight w:val="white"/>
        </w:rPr>
      </w:pPr>
      <w:r w:rsidRPr="000565B4">
        <w:rPr>
          <w:rFonts w:ascii="Verdana" w:eastAsia="Verdana" w:hAnsi="Verdana" w:cs="Verdana"/>
          <w:highlight w:val="white"/>
        </w:rPr>
        <w:t>En este sentido, retomando una idea esbozada con anterioridad,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w:t>
      </w:r>
      <w:r w:rsidRPr="000565B4">
        <w:rPr>
          <w:rFonts w:ascii="Verdana" w:eastAsia="Verdana" w:hAnsi="Verdana" w:cs="Verdana"/>
          <w:highlight w:val="white"/>
          <w:vertAlign w:val="superscript"/>
        </w:rPr>
        <w:footnoteReference w:id="14"/>
      </w:r>
      <w:r w:rsidRPr="000565B4">
        <w:rPr>
          <w:rFonts w:ascii="Verdana" w:eastAsia="Verdana" w:hAnsi="Verdana" w:cs="Verdana"/>
          <w:highlight w:val="white"/>
        </w:rPr>
        <w:t xml:space="preserve"> En similar sentido, la Sala de Consulta y Servicio Civil del Consejo de Estado expresó </w:t>
      </w:r>
      <w:r w:rsidRPr="000565B4">
        <w:rPr>
          <w:rFonts w:ascii="Verdana" w:eastAsia="Verdana" w:hAnsi="Verdana" w:cs="Verdana"/>
          <w:color w:val="000000"/>
          <w:highlight w:val="white"/>
        </w:rPr>
        <w:t>que “[…] las causales de inhabilidad e incompatibilidad deben estar expresa y taxativamente establecidas en la Constitución o en la ley y son de aplicación e interpretación restrictivas […]”</w:t>
      </w:r>
      <w:r w:rsidRPr="000565B4">
        <w:rPr>
          <w:rFonts w:ascii="Verdana" w:eastAsia="Verdana" w:hAnsi="Verdana" w:cs="Verdana"/>
          <w:color w:val="000000"/>
          <w:highlight w:val="white"/>
          <w:vertAlign w:val="superscript"/>
        </w:rPr>
        <w:footnoteReference w:id="15"/>
      </w:r>
      <w:r w:rsidRPr="000565B4">
        <w:rPr>
          <w:rFonts w:ascii="Verdana" w:eastAsia="Verdana" w:hAnsi="Verdana" w:cs="Verdana"/>
          <w:color w:val="000000"/>
          <w:highlight w:val="white"/>
        </w:rPr>
        <w:t>. Como se observa, existe consenso, incluso como lo ha expresado esta Agencia en ocasiones anteriores, que la creación de inhabilidades o incompatibilidades está reservada al constituyente o al legislador.</w:t>
      </w:r>
    </w:p>
    <w:p w14:paraId="039D69BB" w14:textId="77777777" w:rsidR="000565B4" w:rsidRPr="000565B4" w:rsidRDefault="000565B4" w:rsidP="000565B4">
      <w:pPr>
        <w:spacing w:after="0" w:line="276" w:lineRule="auto"/>
        <w:jc w:val="both"/>
        <w:rPr>
          <w:rFonts w:ascii="Verdana" w:eastAsia="Verdana" w:hAnsi="Verdana" w:cs="Verdana"/>
          <w:b/>
        </w:rPr>
      </w:pPr>
    </w:p>
    <w:p w14:paraId="48EDCF6C" w14:textId="73D03A8D" w:rsidR="000565B4" w:rsidRPr="000565B4" w:rsidRDefault="000565B4" w:rsidP="000565B4">
      <w:pPr>
        <w:pBdr>
          <w:top w:val="nil"/>
          <w:left w:val="nil"/>
          <w:bottom w:val="nil"/>
          <w:right w:val="nil"/>
          <w:between w:val="nil"/>
        </w:pBdr>
        <w:spacing w:after="120" w:line="276" w:lineRule="auto"/>
        <w:jc w:val="both"/>
        <w:rPr>
          <w:rFonts w:ascii="Verdana" w:eastAsia="Verdana" w:hAnsi="Verdana" w:cs="Verdana"/>
          <w:color w:val="000000"/>
        </w:rPr>
      </w:pPr>
      <w:proofErr w:type="spellStart"/>
      <w:r w:rsidRPr="000565B4">
        <w:rPr>
          <w:rFonts w:ascii="Verdana" w:eastAsia="Verdana" w:hAnsi="Verdana" w:cs="Verdana"/>
        </w:rPr>
        <w:t>ii</w:t>
      </w:r>
      <w:proofErr w:type="spellEnd"/>
      <w:r w:rsidRPr="000565B4">
        <w:rPr>
          <w:rFonts w:ascii="Verdana" w:eastAsia="Verdana" w:hAnsi="Verdana" w:cs="Verdana"/>
        </w:rPr>
        <w:t xml:space="preserve">. </w:t>
      </w:r>
      <w:r w:rsidRPr="000565B4">
        <w:rPr>
          <w:rFonts w:ascii="Verdana" w:eastAsia="Verdana" w:hAnsi="Verdana" w:cs="Verdana"/>
          <w:color w:val="000000"/>
        </w:rPr>
        <w:t xml:space="preserve">Por otra parte, frente a las inhabilidades o incompatibilidades que tienen carácter sobreviniente, es necesario tener en cuenta que el ordenamiento jurídico trata de manera distinta al oferente, al adjudicatario y al contratista. </w:t>
      </w:r>
      <w:r w:rsidRPr="000565B4">
        <w:rPr>
          <w:rFonts w:ascii="Verdana" w:eastAsia="Verdana" w:hAnsi="Verdana" w:cs="Verdana"/>
          <w:i/>
          <w:color w:val="000000"/>
        </w:rPr>
        <w:t>Respecto al oferente</w:t>
      </w:r>
      <w:r w:rsidRPr="000565B4">
        <w:rPr>
          <w:rFonts w:ascii="Verdana" w:eastAsia="Verdana" w:hAnsi="Verdana" w:cs="Verdana"/>
          <w:color w:val="000000"/>
        </w:rPr>
        <w:t xml:space="preserve">, el inciso segundo del artículo 9 de la Ley 80 de 1993 dispone que “Cuando la inhabilidad o incompatibilidad sobrevenga en un </w:t>
      </w:r>
      <w:r w:rsidRPr="000565B4">
        <w:rPr>
          <w:rFonts w:ascii="Verdana" w:eastAsia="Verdana" w:hAnsi="Verdana" w:cs="Verdana"/>
          <w:color w:val="000000"/>
        </w:rPr>
        <w:lastRenderedPageBreak/>
        <w:t xml:space="preserve">proponente dentro de un proceso de selección, se entenderá que renuncia a la participación en el proceso de selección y a los derechos surgidos del mismo”. </w:t>
      </w:r>
    </w:p>
    <w:p w14:paraId="663B4DAE"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Dicha presunción de renuncia a la participación y a los derechos surgidos del mismo, en caso de contar con resolución de adjudicación, debe interpretarse en conjunto con el artículo 9 de la Ley 1150 de 2007, el cual consagra dos (2) reglas especiales en los que la norma da la posibilidad a una Entidad Estatal para que adjudique nuevamente el contrato al proponente calificado en segundo lugar, y esto es, cuando dentro del plazo comprendido entre la adjudicación del contrato y la suscripción del mismo, el acto administrativo de adjudicación es revocado porque sobrevino una inhabilidad o incompatibilidad o si se demuestra que el acto se obtuvo por medios ilegales, caso en el cual, “la entidad podrá aplicar lo previsto en el inciso final del numeral 12 del artículo 30 de la Ley 80 de 1993”.</w:t>
      </w:r>
    </w:p>
    <w:p w14:paraId="0C1FF830"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La segunda regla, trata de aquellos casos en que la Entidad Estatal declare la caducidad del contrato y se encuentre pendiente de ejecución un porcentaje igual o superior al cincuenta por ciento (50%) del mismo, la norma indica que la Entidad Estatal podrá contratar al proponente calificado en el segundo lugar en el proceso de selección respectivo, previa revisión de las condiciones a que haya lugar, con excepción de los contratos de concesión.</w:t>
      </w:r>
    </w:p>
    <w:p w14:paraId="4180F319" w14:textId="77777777" w:rsidR="000565B4" w:rsidRPr="000565B4" w:rsidRDefault="000565B4" w:rsidP="000565B4">
      <w:pPr>
        <w:spacing w:after="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En relación </w:t>
      </w:r>
      <w:r w:rsidRPr="000565B4">
        <w:rPr>
          <w:rFonts w:ascii="Verdana" w:eastAsia="Verdana" w:hAnsi="Verdana" w:cs="Verdana"/>
          <w:i/>
          <w:iCs/>
          <w:color w:val="000000"/>
        </w:rPr>
        <w:t>al contratista</w:t>
      </w:r>
      <w:r w:rsidRPr="000565B4">
        <w:rPr>
          <w:rFonts w:ascii="Verdana" w:eastAsia="Verdana" w:hAnsi="Verdana" w:cs="Verdana"/>
          <w:color w:val="000000"/>
        </w:rPr>
        <w:t xml:space="preserve">, el inciso primero del artículo 9 de la Ley 80 de 1993 dispone que “Si llegare a sobrevenir inhabilidad o incompatibilidad en el contratista, este cederá el contrato previa autorización escrita de la entidad contratante o, si ello no fuere posible, renunciará a su ejecución”. El inciso tercero </w:t>
      </w:r>
      <w:r w:rsidRPr="000565B4">
        <w:rPr>
          <w:rFonts w:ascii="Verdana" w:eastAsia="Verdana" w:hAnsi="Verdana" w:cs="Verdana"/>
          <w:i/>
          <w:iCs/>
          <w:color w:val="000000"/>
        </w:rPr>
        <w:t>ibidem</w:t>
      </w:r>
      <w:r w:rsidRPr="000565B4">
        <w:rPr>
          <w:rFonts w:ascii="Verdana" w:eastAsia="Verdana" w:hAnsi="Verdana" w:cs="Verdana"/>
          <w:color w:val="000000"/>
        </w:rPr>
        <w:t xml:space="preserve"> agrega lo siguiente: “Si la inhabilidad o incompatibilidad sobreviene en uno de los miembros de un consorcio o unión temporal, este cederá su participación a un tercero previa autorización escrita de la entidad contratante. En ningún caso podrá haber cesión del contrato entre quienes integran el consorcio o unión temporal”. En este último supuesto, la doctrina expresa:</w:t>
      </w:r>
    </w:p>
    <w:p w14:paraId="0AFADFA0" w14:textId="77777777" w:rsidR="000565B4" w:rsidRPr="000565B4" w:rsidRDefault="000565B4" w:rsidP="000565B4">
      <w:pPr>
        <w:spacing w:after="0" w:line="276" w:lineRule="auto"/>
        <w:ind w:firstLine="708"/>
        <w:jc w:val="both"/>
        <w:rPr>
          <w:rFonts w:ascii="Verdana" w:eastAsia="Verdana" w:hAnsi="Verdana" w:cs="Verdana"/>
          <w:color w:val="000000"/>
        </w:rPr>
      </w:pPr>
    </w:p>
    <w:p w14:paraId="5561B2EC"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sz w:val="20"/>
          <w:szCs w:val="20"/>
        </w:rPr>
        <w:t>“</w:t>
      </w:r>
      <w:r w:rsidRPr="000565B4">
        <w:rPr>
          <w:rFonts w:ascii="Verdana" w:eastAsia="Verdana" w:hAnsi="Verdana" w:cs="Verdana"/>
          <w:color w:val="000000"/>
          <w:sz w:val="20"/>
          <w:szCs w:val="20"/>
        </w:rPr>
        <w:t xml:space="preserve">Es de resaltar que en este supuesto se está en presencia de una cesión de contrato y no, simplemente, de la cesión de la participación que tiene uno de los integrantes en el consorcio o unión temporal, a favor de un tercero. Esto es así, por cuanto existe una mutación subjetiva en una de las partes de la relación contractual: en efecto, el consorcio o la unión temporal que inicialmente se integra por A, B y C, deja de ser tal, al </w:t>
      </w:r>
      <w:r w:rsidRPr="000565B4">
        <w:rPr>
          <w:rFonts w:ascii="Verdana" w:eastAsia="Verdana" w:hAnsi="Verdana" w:cs="Verdana"/>
          <w:color w:val="000000"/>
          <w:sz w:val="20"/>
          <w:szCs w:val="20"/>
        </w:rPr>
        <w:lastRenderedPageBreak/>
        <w:t xml:space="preserve">integrarse, luego de la cesión de A </w:t>
      </w:r>
      <w:proofErr w:type="spellStart"/>
      <w:r w:rsidRPr="000565B4">
        <w:rPr>
          <w:rFonts w:ascii="Verdana" w:eastAsia="Verdana" w:hAnsi="Verdana" w:cs="Verdana"/>
          <w:color w:val="000000"/>
          <w:sz w:val="20"/>
          <w:szCs w:val="20"/>
        </w:rPr>
        <w:t>a</w:t>
      </w:r>
      <w:proofErr w:type="spellEnd"/>
      <w:r w:rsidRPr="000565B4">
        <w:rPr>
          <w:rFonts w:ascii="Verdana" w:eastAsia="Verdana" w:hAnsi="Verdana" w:cs="Verdana"/>
          <w:color w:val="000000"/>
          <w:sz w:val="20"/>
          <w:szCs w:val="20"/>
        </w:rPr>
        <w:t xml:space="preserve"> favor de Z, por los siguientes sujetos: Z, B y C. Esta inferencia es relevante, pues en caso de que se admita que en dicho supuesto no existe cesión de contrato, se habilita la desintegración interna del consorcio, sin que la administración pueda tener control respecto del cambio, lo que desconoce lo dispuesto por el inciso tercero del Artículo 41 de la Ley 80 de 1993. Piénsese, por ejemplo, que en el consorcio o unión temporal que se integra por A, B y C, cada uno de ellos cede su participación respectivamente, a favor de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rPr>
        <w:t xml:space="preserve">; en este supuesto, por una voluntad autónoma de A, B y C, este consorcio o unión temporal desaparece para dar al conformado por Z, X y </w:t>
      </w:r>
      <w:proofErr w:type="spellStart"/>
      <w:r w:rsidRPr="000565B4">
        <w:rPr>
          <w:rFonts w:ascii="Verdana" w:eastAsia="Verdana" w:hAnsi="Verdana" w:cs="Verdana"/>
          <w:color w:val="000000"/>
          <w:sz w:val="20"/>
          <w:szCs w:val="20"/>
        </w:rPr>
        <w:t>Y</w:t>
      </w:r>
      <w:proofErr w:type="spellEnd"/>
      <w:r w:rsidRPr="000565B4">
        <w:rPr>
          <w:rFonts w:ascii="Verdana" w:eastAsia="Verdana" w:hAnsi="Verdana" w:cs="Verdana"/>
          <w:color w:val="000000"/>
          <w:sz w:val="20"/>
          <w:szCs w:val="20"/>
          <w:vertAlign w:val="superscript"/>
        </w:rPr>
        <w:footnoteReference w:id="16"/>
      </w:r>
      <w:r w:rsidRPr="000565B4">
        <w:rPr>
          <w:rFonts w:ascii="Verdana" w:eastAsia="Verdana" w:hAnsi="Verdana" w:cs="Verdana"/>
          <w:sz w:val="21"/>
          <w:szCs w:val="21"/>
        </w:rPr>
        <w:t>[…]”</w:t>
      </w:r>
      <w:r w:rsidRPr="000565B4">
        <w:rPr>
          <w:rFonts w:ascii="Verdana" w:eastAsia="Verdana" w:hAnsi="Verdana" w:cs="Verdana"/>
          <w:color w:val="000000"/>
          <w:sz w:val="20"/>
          <w:szCs w:val="20"/>
        </w:rPr>
        <w:t xml:space="preserve">. </w:t>
      </w:r>
    </w:p>
    <w:p w14:paraId="2019F19C"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p>
    <w:p w14:paraId="1E56BA67"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rPr>
        <w:t>En este escenario, en el que la inhabilidad o incompatibilidad sobreviene en uno de los miembros de un consorcio o unión temporal, este deberá ceder su participación a un tercero previa autorización escrita de la entidad contratante, lo cual implica que la continuidad del contrato solo puede asegurarse mediante una cesión externa, autorizada de manera previa, expresa y formal por la entidad, conforme a las exigencias del inciso tercero del artículo 41 de la Ley 80 de 1993</w:t>
      </w:r>
      <w:r w:rsidRPr="000565B4">
        <w:rPr>
          <w:rFonts w:ascii="Verdana" w:eastAsia="Verdana" w:hAnsi="Verdana" w:cs="Verdana"/>
          <w:vertAlign w:val="superscript"/>
        </w:rPr>
        <w:footnoteReference w:id="17"/>
      </w:r>
      <w:r w:rsidRPr="000565B4">
        <w:rPr>
          <w:rFonts w:ascii="Verdana" w:eastAsia="Verdana" w:hAnsi="Verdana" w:cs="Verdana"/>
        </w:rPr>
        <w:t xml:space="preserve">. Así mismo, la expresión según la cual “en ningún caso podrá haber cesión del contrato entre quienes integran el consorcio o unión temporal” significa que los miembros de estas figuras asociativas no pueden transferirse entre sí la participación contractual ni redistribuir internamente las obligaciones, porcentajes o derechos derivados del contrato estatal. </w:t>
      </w:r>
      <w:r w:rsidRPr="000565B4">
        <w:t xml:space="preserve">     </w:t>
      </w:r>
    </w:p>
    <w:p w14:paraId="0039B4E6" w14:textId="77777777" w:rsidR="000565B4" w:rsidRPr="000565B4" w:rsidRDefault="000565B4" w:rsidP="000565B4">
      <w:pPr>
        <w:spacing w:after="120" w:line="276" w:lineRule="auto"/>
        <w:ind w:firstLine="708"/>
        <w:jc w:val="both"/>
        <w:rPr>
          <w:rFonts w:ascii="Verdana" w:eastAsia="Verdana" w:hAnsi="Verdana" w:cs="Verdana"/>
          <w:color w:val="EE0000"/>
        </w:rPr>
      </w:pPr>
      <w:r w:rsidRPr="000565B4">
        <w:rPr>
          <w:rFonts w:ascii="Verdana" w:eastAsia="Verdana" w:hAnsi="Verdana" w:cs="Verdana"/>
        </w:rPr>
        <w:t xml:space="preserve">En efecto, la jurisprudencia constitucional ha precisado el alcance del artículo 9 de la Ley 80 de 1993 y el régimen aplicable a las inhabilidades e incompatibilidades sobrevinientes. En la Sentencia C-221 de 1996, la Corte Constitucional explicó que, dado que estas circunstancias no siempre se presentan antes de la celebración del contrato, el legislador debía establecer reglas claras para los eventos en que surgieran en la etapa de ejecución contractual. Bajo ese entendimiento, declaró ajustada a la Constitución la obligación del contratista afectado por una inhabilidad sobreviniente de ceder el contrato, previa autorización de la entidad estatal, o renunciar a su ejecución cuando ello no fuere posible, así como la obligación especial para el integrante de un consorcio o unión temporal de ceder su participación a un tercero cuando la causal recaiga exclusivamente sobre uno de sus miembros - evento en el cual no es posible la renuncia-. La Corte resaltó que estas medidas no tienen </w:t>
      </w:r>
      <w:r w:rsidRPr="000565B4">
        <w:rPr>
          <w:rFonts w:ascii="Verdana" w:eastAsia="Verdana" w:hAnsi="Verdana" w:cs="Verdana"/>
        </w:rPr>
        <w:lastRenderedPageBreak/>
        <w:t xml:space="preserve">naturaleza sancionatoria, ni dependen de la culpabilidad o de la voluntad del contratista, sino que constituyen reglas objetivas encaminadas a impedir que quien se encuentra incurso en una causal de inhabilidad o incompatibilidad continúe vinculado con el Estado, preservando la moralidad, la transparencia y la integridad de la contratación pública. En consecuencia, la obligación de ceder o renunciar responde a una finalidad eminentemente institucional, orientada a garantizar que la ejecución del contrato continúe desarrollándose conforme a los principios que rigen la función administrativa: </w:t>
      </w:r>
      <w:r w:rsidRPr="000565B4">
        <w:rPr>
          <w:rFonts w:ascii="Verdana" w:eastAsia="Verdana" w:hAnsi="Verdana" w:cs="Verdana"/>
          <w:color w:val="EE0000"/>
        </w:rPr>
        <w:t xml:space="preserve">     </w:t>
      </w:r>
    </w:p>
    <w:p w14:paraId="40DD86DD"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r w:rsidRPr="000565B4">
        <w:rPr>
          <w:rFonts w:ascii="Verdana" w:eastAsia="Verdana" w:hAnsi="Verdana" w:cs="Verdana"/>
          <w:color w:val="000000"/>
          <w:sz w:val="20"/>
          <w:szCs w:val="20"/>
          <w:highlight w:val="white"/>
        </w:rPr>
        <w:t xml:space="preserve">A juicio de la Corte, en nada se ofende el imperio de la Constitución por haberse establecido que el hecho de sobrevenir una causal de inhabilidad o incompatibilidad en cabeza de quien ya es contratista da lugar a la obligación de éste de ceder el contrato previa autorización escrita de la entidad contratante, o a la de renunciar a su ejecución si </w:t>
      </w:r>
      <w:r w:rsidRPr="000565B4">
        <w:rPr>
          <w:rFonts w:ascii="Verdana" w:eastAsia="Verdana" w:hAnsi="Verdana" w:cs="Verdana"/>
          <w:sz w:val="20"/>
          <w:szCs w:val="20"/>
          <w:highlight w:val="white"/>
        </w:rPr>
        <w:t>aquello</w:t>
      </w:r>
      <w:r w:rsidRPr="000565B4">
        <w:rPr>
          <w:rFonts w:ascii="Verdana" w:eastAsia="Verdana" w:hAnsi="Verdana" w:cs="Verdana"/>
          <w:color w:val="000000"/>
          <w:sz w:val="20"/>
          <w:szCs w:val="20"/>
          <w:highlight w:val="white"/>
        </w:rPr>
        <w:t xml:space="preserve"> no fuere posible. Tampoco se vulnera la Carta por consagrar que quien participa en un proceso de licitación o concurso y resulta intempestivamente afectado por inhabilidades o incompatibilidades deba renunciar a dicha participación, ni se desconoce la normatividad superior por prever, como lo hace la norma, la cesión en favor de un tercero de la participación en el consorcio o unión temporal que licita o es contratista cuando la causa de inhabilidad o incompatibilidad se radica en uno de sus miembros</w:t>
      </w:r>
      <w:r w:rsidRPr="000565B4">
        <w:rPr>
          <w:rFonts w:ascii="Verdana" w:eastAsia="Verdana" w:hAnsi="Verdana" w:cs="Verdana"/>
          <w:color w:val="000000"/>
          <w:sz w:val="20"/>
          <w:szCs w:val="20"/>
          <w:highlight w:val="white"/>
          <w:vertAlign w:val="superscript"/>
        </w:rPr>
        <w:footnoteReference w:id="18"/>
      </w:r>
      <w:r w:rsidRPr="000565B4">
        <w:rPr>
          <w:rFonts w:ascii="Verdana" w:eastAsia="Verdana" w:hAnsi="Verdana" w:cs="Verdana"/>
          <w:color w:val="000000"/>
          <w:sz w:val="20"/>
          <w:szCs w:val="20"/>
          <w:highlight w:val="white"/>
        </w:rPr>
        <w:t xml:space="preserve">. </w:t>
      </w:r>
    </w:p>
    <w:p w14:paraId="0D8BA5AE"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p>
    <w:p w14:paraId="415FBA76"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highlight w:val="white"/>
        </w:rPr>
      </w:pPr>
    </w:p>
    <w:p w14:paraId="108107D4" w14:textId="77777777" w:rsidR="000565B4" w:rsidRPr="000565B4" w:rsidRDefault="000565B4" w:rsidP="000565B4">
      <w:pPr>
        <w:spacing w:after="120" w:line="276" w:lineRule="auto"/>
        <w:ind w:firstLine="708"/>
        <w:jc w:val="both"/>
        <w:rPr>
          <w:rFonts w:ascii="Verdana" w:eastAsia="Verdana" w:hAnsi="Verdana" w:cs="Verdana"/>
        </w:rPr>
      </w:pPr>
      <w:r w:rsidRPr="000565B4">
        <w:rPr>
          <w:rFonts w:ascii="Verdana" w:eastAsia="Verdana" w:hAnsi="Verdana" w:cs="Verdana"/>
        </w:rPr>
        <w:t xml:space="preserve">Ahora bien, el régimen descrito corresponde a la regla general aplicable a las inhabilidades e incompatibilidades sobrevinientes. El legislador estableció, sin embargo, un tratamiento especial para la inhabilidad prevista en el literal j) del numeral 1 del artículo 8 de la Ley 80 de 1993, mediante el parágrafo 1º del artículo 9 </w:t>
      </w:r>
      <w:proofErr w:type="spellStart"/>
      <w:r w:rsidRPr="000565B4">
        <w:rPr>
          <w:rFonts w:ascii="Verdana" w:eastAsia="Verdana" w:hAnsi="Verdana" w:cs="Verdana"/>
          <w:i/>
          <w:iCs/>
        </w:rPr>
        <w:t>Ibídem</w:t>
      </w:r>
      <w:proofErr w:type="spellEnd"/>
      <w:r w:rsidRPr="000565B4">
        <w:rPr>
          <w:rFonts w:ascii="Verdana" w:eastAsia="Verdana" w:hAnsi="Verdana" w:cs="Verdana"/>
        </w:rPr>
        <w:t xml:space="preserve">, adicionado por el artículo 6 de la Ley 2014 de 2019, en el marco del fortalecimiento de las medidas de lucha contra la corrupción en la contratación estatal. En dicho supuesto, el ordenamiento excluyó la aplicación de los mecanismos ordinarios de conservación del vínculo contractual, previendo consecuencias más severas frente al contratista o al integrante del esquema asociativo incurso en la causal. Como la consulta delimitó expresamente su objeto a las inhabilidades sobrevinientes distintas de la contemplada en el referido literal j), las consideraciones del presente concepto se circunscriben al régimen general, sin que resulten extensibles a los eventos comprendidos en el régimen especial mencionado. Esta delimitación es, además, consistente con el carácter taxativo y de interpretación restrictiva del régimen de inhabilidades, </w:t>
      </w:r>
      <w:r w:rsidRPr="000565B4">
        <w:rPr>
          <w:rFonts w:ascii="Verdana" w:eastAsia="Verdana" w:hAnsi="Verdana" w:cs="Verdana"/>
        </w:rPr>
        <w:lastRenderedPageBreak/>
        <w:t>pues impide trasladar a la regla general las consecuencias agravadas que el legislador reservó para un supuesto específico.</w:t>
      </w:r>
    </w:p>
    <w:p w14:paraId="41160404" w14:textId="77777777" w:rsidR="000565B4" w:rsidRPr="000565B4" w:rsidRDefault="000565B4" w:rsidP="000565B4">
      <w:pPr>
        <w:spacing w:after="120" w:line="276" w:lineRule="auto"/>
        <w:jc w:val="both"/>
        <w:rPr>
          <w:rFonts w:ascii="Verdana" w:eastAsia="Verdana" w:hAnsi="Verdana" w:cs="Verdana"/>
          <w:highlight w:val="white"/>
        </w:rPr>
      </w:pPr>
      <w:proofErr w:type="spellStart"/>
      <w:r w:rsidRPr="000565B4">
        <w:rPr>
          <w:rFonts w:ascii="Verdana" w:eastAsia="Verdana" w:hAnsi="Verdana" w:cs="Verdana"/>
          <w:highlight w:val="white"/>
        </w:rPr>
        <w:t>iii</w:t>
      </w:r>
      <w:proofErr w:type="spellEnd"/>
      <w:r w:rsidRPr="000565B4">
        <w:rPr>
          <w:rFonts w:ascii="Verdana" w:eastAsia="Verdana" w:hAnsi="Verdana" w:cs="Verdana"/>
          <w:highlight w:val="white"/>
        </w:rPr>
        <w:t>. Por otro lado esta Agencia</w:t>
      </w:r>
      <w:r w:rsidRPr="000565B4">
        <w:rPr>
          <w:rFonts w:ascii="Verdana" w:eastAsia="Verdana" w:hAnsi="Verdana" w:cs="Verdana"/>
          <w:highlight w:val="white"/>
          <w:vertAlign w:val="superscript"/>
        </w:rPr>
        <w:footnoteReference w:id="19"/>
      </w:r>
      <w:r w:rsidRPr="000565B4">
        <w:rPr>
          <w:rFonts w:ascii="Verdana" w:eastAsia="Verdana" w:hAnsi="Verdana" w:cs="Verdana"/>
          <w:highlight w:val="white"/>
        </w:rPr>
        <w:t xml:space="preserve"> ha resaltado que la cesión de la posición contractual puede entenderse como un acto y como un efecto. Por un lado, “[…] es el contrato con el cual el cedente, parte de otro contrato ya en curso con otro sujeto (cedido), transfiere la relativa posición contractual (en sus componentes activos y pasivos) al cesionario, el cual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el cedido […]”</w:t>
      </w:r>
      <w:r w:rsidRPr="000565B4">
        <w:rPr>
          <w:rFonts w:ascii="Verdana" w:eastAsia="Verdana" w:hAnsi="Verdana" w:cs="Verdana"/>
          <w:highlight w:val="white"/>
          <w:vertAlign w:val="superscript"/>
        </w:rPr>
        <w:footnoteReference w:id="20"/>
      </w:r>
      <w:r w:rsidRPr="000565B4">
        <w:rPr>
          <w:rFonts w:ascii="Verdana" w:eastAsia="Verdana" w:hAnsi="Verdana" w:cs="Verdana"/>
          <w:highlight w:val="white"/>
        </w:rPr>
        <w:t xml:space="preserve">. Por otro, “[…] es la transferencia de la posición contractual de un contratante a otro sujeto, que le </w:t>
      </w:r>
      <w:proofErr w:type="spellStart"/>
      <w:r w:rsidRPr="000565B4">
        <w:rPr>
          <w:rFonts w:ascii="Verdana" w:eastAsia="Verdana" w:hAnsi="Verdana" w:cs="Verdana"/>
          <w:highlight w:val="white"/>
        </w:rPr>
        <w:t>subentra</w:t>
      </w:r>
      <w:proofErr w:type="spellEnd"/>
      <w:r w:rsidRPr="000565B4">
        <w:rPr>
          <w:rFonts w:ascii="Verdana" w:eastAsia="Verdana" w:hAnsi="Verdana" w:cs="Verdana"/>
          <w:highlight w:val="white"/>
        </w:rPr>
        <w:t xml:space="preserve"> en la relación con la contraparte […]”</w:t>
      </w:r>
      <w:r w:rsidRPr="000565B4">
        <w:rPr>
          <w:rFonts w:ascii="Verdana" w:eastAsia="Verdana" w:hAnsi="Verdana" w:cs="Verdana"/>
          <w:highlight w:val="white"/>
          <w:vertAlign w:val="superscript"/>
        </w:rPr>
        <w:footnoteReference w:id="21"/>
      </w:r>
      <w:r w:rsidRPr="000565B4">
        <w:rPr>
          <w:rFonts w:ascii="Verdana" w:eastAsia="Verdana" w:hAnsi="Verdana" w:cs="Verdana"/>
          <w:highlight w:val="white"/>
        </w:rPr>
        <w:t xml:space="preserve">. De esta manera, concurren tres (3) sujetos: i) el cedente, esto es, el contratista inicial; </w:t>
      </w:r>
      <w:proofErr w:type="spellStart"/>
      <w:r w:rsidRPr="000565B4">
        <w:rPr>
          <w:rFonts w:ascii="Verdana" w:eastAsia="Verdana" w:hAnsi="Verdana" w:cs="Verdana"/>
          <w:highlight w:val="white"/>
        </w:rPr>
        <w:t>ii</w:t>
      </w:r>
      <w:proofErr w:type="spellEnd"/>
      <w:r w:rsidRPr="000565B4">
        <w:rPr>
          <w:rFonts w:ascii="Verdana" w:eastAsia="Verdana" w:hAnsi="Verdana" w:cs="Verdana"/>
          <w:highlight w:val="white"/>
        </w:rPr>
        <w:t xml:space="preserve">) el cesionario, es decir, quien asume total o parcialmente los derechos y obligaciones de este último; y </w:t>
      </w:r>
      <w:proofErr w:type="spellStart"/>
      <w:r w:rsidRPr="000565B4">
        <w:rPr>
          <w:rFonts w:ascii="Verdana" w:eastAsia="Verdana" w:hAnsi="Verdana" w:cs="Verdana"/>
          <w:highlight w:val="white"/>
        </w:rPr>
        <w:t>iii</w:t>
      </w:r>
      <w:proofErr w:type="spellEnd"/>
      <w:r w:rsidRPr="000565B4">
        <w:rPr>
          <w:rFonts w:ascii="Verdana" w:eastAsia="Verdana" w:hAnsi="Verdana" w:cs="Verdana"/>
          <w:highlight w:val="white"/>
        </w:rPr>
        <w:t>) el cedido que, en el caso de los contratos estatales, sería la entidad que suscribió el contrato. Por tanto, la cesión de contrato es una figura jurídica por la que terceros ajenos a los contratantes iniciales participan en negocios que están ejecutando cuando no se hayan cumplido la totalidad de las obligaciones, permitiendo que sean éstos quienes realicen las prestaciones faltantes. En efecto:</w:t>
      </w:r>
    </w:p>
    <w:p w14:paraId="04A4E98B" w14:textId="77777777" w:rsidR="000565B4" w:rsidRPr="000565B4" w:rsidRDefault="000565B4" w:rsidP="000565B4">
      <w:pPr>
        <w:spacing w:after="0" w:line="276" w:lineRule="auto"/>
        <w:ind w:firstLine="708"/>
        <w:jc w:val="both"/>
        <w:rPr>
          <w:rFonts w:ascii="Verdana" w:eastAsia="Verdana" w:hAnsi="Verdana" w:cs="Verdana"/>
          <w:highlight w:val="white"/>
        </w:rPr>
      </w:pPr>
    </w:p>
    <w:p w14:paraId="45A0360A" w14:textId="77777777" w:rsidR="000565B4" w:rsidRPr="000565B4" w:rsidRDefault="000565B4" w:rsidP="000565B4">
      <w:pPr>
        <w:tabs>
          <w:tab w:val="left" w:pos="709"/>
        </w:tabs>
        <w:spacing w:after="0" w:line="240" w:lineRule="auto"/>
        <w:ind w:left="709" w:right="709"/>
        <w:jc w:val="both"/>
        <w:rPr>
          <w:rFonts w:ascii="Verdana" w:eastAsia="Verdana" w:hAnsi="Verdana" w:cs="Verdana"/>
          <w:sz w:val="20"/>
          <w:szCs w:val="20"/>
          <w:highlight w:val="white"/>
        </w:rPr>
      </w:pPr>
      <w:r w:rsidRPr="000565B4">
        <w:rPr>
          <w:rFonts w:ascii="Verdana" w:eastAsia="Verdana" w:hAnsi="Verdana" w:cs="Verdana"/>
          <w:sz w:val="20"/>
          <w:szCs w:val="20"/>
          <w:highlight w:val="white"/>
        </w:rPr>
        <w:t>“[…] cuando lo que se cede (o asume) es un contrato, el punto de partida es la presencia de uno o varios créditos y otras tantas obligaciones, entrelazadas en términos de correlatividad y consideradas, tratadas y dispuestas como una unidad, o sea: el objeto de la operación es el traspaso simultáneo de unos créditos y de las obligaciones recíprocas, surgidos a una de un mismo contrato, por parte de uno de los contratantes a un tercero, esto es, en últimas, la transferencia de una posición o relación contractual, cuyo resultado es la sustitución de una de las partes (acreedora-deudora) […]”</w:t>
      </w:r>
      <w:r w:rsidRPr="000565B4">
        <w:rPr>
          <w:rFonts w:ascii="Verdana" w:eastAsia="Verdana" w:hAnsi="Verdana" w:cs="Verdana"/>
          <w:sz w:val="20"/>
          <w:szCs w:val="20"/>
          <w:highlight w:val="white"/>
          <w:vertAlign w:val="superscript"/>
        </w:rPr>
        <w:footnoteReference w:id="22"/>
      </w:r>
      <w:r w:rsidRPr="000565B4">
        <w:rPr>
          <w:rFonts w:ascii="Verdana" w:eastAsia="Verdana" w:hAnsi="Verdana" w:cs="Verdana"/>
          <w:sz w:val="20"/>
          <w:szCs w:val="20"/>
          <w:highlight w:val="white"/>
        </w:rPr>
        <w:t>.</w:t>
      </w:r>
    </w:p>
    <w:p w14:paraId="2E45EE7B" w14:textId="77777777" w:rsidR="000565B4" w:rsidRPr="000565B4" w:rsidRDefault="000565B4" w:rsidP="000565B4">
      <w:pPr>
        <w:spacing w:after="0" w:line="276" w:lineRule="auto"/>
        <w:ind w:firstLine="709"/>
        <w:jc w:val="both"/>
        <w:rPr>
          <w:rFonts w:ascii="Verdana" w:eastAsia="Verdana" w:hAnsi="Verdana" w:cs="Verdana"/>
          <w:highlight w:val="white"/>
        </w:rPr>
      </w:pPr>
    </w:p>
    <w:p w14:paraId="4BDABE26" w14:textId="77777777" w:rsidR="000565B4" w:rsidRPr="000565B4" w:rsidRDefault="000565B4" w:rsidP="000565B4">
      <w:pPr>
        <w:spacing w:after="120" w:line="276" w:lineRule="auto"/>
        <w:ind w:firstLine="708"/>
        <w:jc w:val="both"/>
        <w:rPr>
          <w:rFonts w:ascii="Verdana" w:eastAsia="Verdana" w:hAnsi="Verdana" w:cs="Verdana"/>
          <w:highlight w:val="white"/>
        </w:rPr>
      </w:pPr>
      <w:r w:rsidRPr="000565B4">
        <w:rPr>
          <w:rFonts w:ascii="Verdana" w:eastAsia="Verdana" w:hAnsi="Verdana" w:cs="Verdana"/>
          <w:highlight w:val="white"/>
        </w:rPr>
        <w:lastRenderedPageBreak/>
        <w:t>En este sentido, el Estatuto General de Contratación de la Administración Pública establece disposiciones específicas relativas a la institución de la cesión contractual. Por ejemplo, el artículo 41, inciso tercero del EGCAP prescribe que “Los contratos estatales son</w:t>
      </w:r>
      <w:r w:rsidRPr="000565B4">
        <w:rPr>
          <w:rFonts w:ascii="Verdana" w:eastAsia="Verdana" w:hAnsi="Verdana" w:cs="Verdana"/>
          <w:i/>
          <w:iCs/>
          <w:highlight w:val="white"/>
        </w:rPr>
        <w:t xml:space="preserve"> intuito </w:t>
      </w:r>
      <w:proofErr w:type="spellStart"/>
      <w:r w:rsidRPr="000565B4">
        <w:rPr>
          <w:rFonts w:ascii="Verdana" w:eastAsia="Verdana" w:hAnsi="Verdana" w:cs="Verdana"/>
          <w:i/>
          <w:iCs/>
          <w:highlight w:val="white"/>
        </w:rPr>
        <w:t>personae</w:t>
      </w:r>
      <w:proofErr w:type="spellEnd"/>
      <w:r w:rsidRPr="000565B4">
        <w:rPr>
          <w:rFonts w:ascii="Verdana" w:eastAsia="Verdana" w:hAnsi="Verdana" w:cs="Verdana"/>
          <w:i/>
          <w:iCs/>
          <w:highlight w:val="white"/>
        </w:rPr>
        <w:t xml:space="preserve"> </w:t>
      </w:r>
      <w:r w:rsidRPr="000565B4">
        <w:rPr>
          <w:rFonts w:ascii="Verdana" w:eastAsia="Verdana" w:hAnsi="Verdana" w:cs="Verdana"/>
          <w:highlight w:val="white"/>
        </w:rPr>
        <w:t>y, en consecuencia, una vez celebrados no podrán cederse sin previa autorización escrita de la entidad contratante”. Esta norma contiene una prohibición general –faceta negativa– y una autorización excepcional –faceta positiva–.</w:t>
      </w:r>
    </w:p>
    <w:p w14:paraId="21BD8D00" w14:textId="77777777" w:rsidR="000565B4" w:rsidRPr="000565B4" w:rsidRDefault="000565B4" w:rsidP="000565B4">
      <w:pPr>
        <w:tabs>
          <w:tab w:val="left" w:pos="709"/>
        </w:tabs>
        <w:spacing w:after="120" w:line="276" w:lineRule="auto"/>
        <w:jc w:val="both"/>
        <w:rPr>
          <w:rFonts w:ascii="Century Gothic" w:eastAsia="Century Gothic" w:hAnsi="Century Gothic" w:cs="Century Gothic"/>
          <w:color w:val="000000"/>
        </w:rPr>
      </w:pPr>
      <w:r w:rsidRPr="000565B4">
        <w:rPr>
          <w:rFonts w:ascii="Verdana" w:eastAsia="Verdana" w:hAnsi="Verdana" w:cs="Verdana"/>
          <w:highlight w:val="white"/>
        </w:rPr>
        <w:tab/>
        <w:t xml:space="preserve">En lo que respecta a la faceta negativa, el artículo 41 del Estatuto General ordena que el contrato se ejecute con quien inicialmente se celebró el acuerdo de voluntades, pues es la persona que –de acuerdo con los criterios definidos por la entidad para la selección del contratista– resulta idónea para cumplir con las obligaciones. De esta manera, la prohibición contenida en la norma citada es uno de los elementos de la naturaleza del contrato estatal, pues –conforme a lo previsto en el artículo 1501 del Código Civil– es de aquellos “[…] </w:t>
      </w:r>
      <w:proofErr w:type="gramStart"/>
      <w:r w:rsidRPr="000565B4">
        <w:rPr>
          <w:rFonts w:ascii="Verdana" w:eastAsia="Verdana" w:hAnsi="Verdana" w:cs="Verdana"/>
          <w:highlight w:val="white"/>
        </w:rPr>
        <w:t>que</w:t>
      </w:r>
      <w:proofErr w:type="gramEnd"/>
      <w:r w:rsidRPr="000565B4">
        <w:rPr>
          <w:rFonts w:ascii="Verdana" w:eastAsia="Verdana" w:hAnsi="Verdana" w:cs="Verdana"/>
          <w:highlight w:val="white"/>
        </w:rPr>
        <w:t xml:space="preserve"> no siendo esenciales en él, se entienden pertenecerle, sin necesidad de una cláusula especial […]</w:t>
      </w:r>
      <w:r w:rsidRPr="000565B4">
        <w:rPr>
          <w:rFonts w:ascii="Century Gothic" w:eastAsia="Century Gothic" w:hAnsi="Century Gothic" w:cs="Century Gothic"/>
          <w:color w:val="000000"/>
        </w:rPr>
        <w:t>”</w:t>
      </w:r>
      <w:r w:rsidRPr="000565B4">
        <w:rPr>
          <w:rFonts w:ascii="Century Gothic" w:eastAsia="Century Gothic" w:hAnsi="Century Gothic" w:cs="Century Gothic"/>
          <w:color w:val="000000"/>
          <w:vertAlign w:val="superscript"/>
        </w:rPr>
        <w:footnoteReference w:id="23"/>
      </w:r>
      <w:r w:rsidRPr="000565B4">
        <w:rPr>
          <w:rFonts w:ascii="Century Gothic" w:eastAsia="Century Gothic" w:hAnsi="Century Gothic" w:cs="Century Gothic"/>
          <w:color w:val="000000"/>
        </w:rPr>
        <w:t xml:space="preserve">.  </w:t>
      </w:r>
    </w:p>
    <w:p w14:paraId="7FD700A1" w14:textId="77777777" w:rsidR="000565B4" w:rsidRPr="000565B4" w:rsidRDefault="000565B4" w:rsidP="000565B4">
      <w:pPr>
        <w:spacing w:after="0" w:line="276" w:lineRule="auto"/>
        <w:ind w:firstLine="708"/>
        <w:jc w:val="both"/>
        <w:rPr>
          <w:rFonts w:ascii="Century Gothic" w:eastAsia="Century Gothic" w:hAnsi="Century Gothic" w:cs="Century Gothic"/>
          <w:color w:val="000000"/>
        </w:rPr>
      </w:pPr>
      <w:r w:rsidRPr="000565B4">
        <w:rPr>
          <w:rFonts w:ascii="Verdana" w:eastAsia="Verdana" w:hAnsi="Verdana" w:cs="Verdana"/>
          <w:highlight w:val="white"/>
        </w:rPr>
        <w:t>En su faceta positiva, la Ley 80 de 1993 permite excepcionalmente la cesión del contrato estatal siempre que exista autorización previa escrita de la entidad contratante. Por ello, “[…] El cocontratante que ‘ceda’ el contrato sin estar autorizado para ello incurre en grave responsabilidad: su actitud implica ‘incumplimiento’ del contrato; de ahí que esa cesión ilícita no resulte oponible a la Administración Pública […]”</w:t>
      </w:r>
      <w:r w:rsidRPr="000565B4">
        <w:rPr>
          <w:rFonts w:ascii="Verdana" w:eastAsia="Verdana" w:hAnsi="Verdana" w:cs="Verdana"/>
          <w:highlight w:val="white"/>
          <w:vertAlign w:val="superscript"/>
        </w:rPr>
        <w:footnoteReference w:id="24"/>
      </w:r>
      <w:r w:rsidRPr="000565B4">
        <w:rPr>
          <w:rFonts w:ascii="Verdana" w:eastAsia="Verdana" w:hAnsi="Verdana" w:cs="Verdana"/>
          <w:highlight w:val="white"/>
        </w:rPr>
        <w:t>. Este requisito introduce un elemento especial que no está previsto en el Código de Comercio, pues en el derecho privado –salvo las excepciones previstas en la ley– la cesión requiere el acuerdo de voluntades entre el cedente y el cesionario, sin que medie la aceptación del contratante cedido. En relación con lo anterior la doctrina define la cesión en los contratos estatales de la siguiente manera:</w:t>
      </w:r>
    </w:p>
    <w:p w14:paraId="76401333" w14:textId="77777777" w:rsidR="000565B4" w:rsidRPr="000565B4" w:rsidRDefault="000565B4" w:rsidP="000565B4">
      <w:pPr>
        <w:spacing w:after="0" w:line="276" w:lineRule="auto"/>
        <w:ind w:firstLine="708"/>
        <w:jc w:val="both"/>
        <w:rPr>
          <w:rFonts w:ascii="Century Gothic" w:eastAsia="Century Gothic" w:hAnsi="Century Gothic" w:cs="Century Gothic"/>
          <w:color w:val="000000"/>
          <w:sz w:val="20"/>
          <w:szCs w:val="20"/>
        </w:rPr>
      </w:pPr>
      <w:r w:rsidRPr="000565B4">
        <w:rPr>
          <w:rFonts w:ascii="Century Gothic" w:eastAsia="Century Gothic" w:hAnsi="Century Gothic" w:cs="Century Gothic"/>
          <w:color w:val="000000"/>
          <w:sz w:val="20"/>
          <w:szCs w:val="20"/>
        </w:rPr>
        <w:t xml:space="preserve"> </w:t>
      </w:r>
    </w:p>
    <w:p w14:paraId="132D8F54"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lastRenderedPageBreak/>
        <w:t xml:space="preserve">“La cesión en la contratación estatal supone, previa autorización de la entidad contratante, la sustitución </w:t>
      </w:r>
      <w:r w:rsidRPr="000565B4">
        <w:rPr>
          <w:rFonts w:ascii="Verdana" w:eastAsia="Verdana" w:hAnsi="Verdana" w:cs="Verdana"/>
          <w:i/>
          <w:iCs/>
          <w:color w:val="000000"/>
          <w:sz w:val="20"/>
          <w:szCs w:val="20"/>
        </w:rPr>
        <w:t>in genere</w:t>
      </w:r>
      <w:r w:rsidRPr="000565B4">
        <w:rPr>
          <w:rFonts w:ascii="Verdana" w:eastAsia="Verdana" w:hAnsi="Verdana" w:cs="Verdana"/>
          <w:color w:val="000000"/>
          <w:sz w:val="20"/>
          <w:szCs w:val="20"/>
        </w:rPr>
        <w:t>, total o parcial, de una de las partes de la relación jurídica (contratante o contratista) por un tercero, que se subroga en los derechos y obligaciones de aquella, por medio de la modificación del contrato estatal originario. La cesión posibilita el reemplazo total o parcial de una parte en su posición contractual originaria, sin que sea precisa la transferencia individual de cuantos derechos y obligaciones conforman la universalidad jurídica a ceder […]”</w:t>
      </w:r>
      <w:r w:rsidRPr="000565B4">
        <w:rPr>
          <w:rFonts w:ascii="Verdana" w:eastAsia="Verdana" w:hAnsi="Verdana" w:cs="Verdana"/>
          <w:color w:val="000000"/>
          <w:sz w:val="20"/>
          <w:szCs w:val="20"/>
          <w:vertAlign w:val="superscript"/>
        </w:rPr>
        <w:footnoteReference w:id="25"/>
      </w:r>
      <w:r w:rsidRPr="000565B4">
        <w:rPr>
          <w:rFonts w:ascii="Verdana" w:eastAsia="Verdana" w:hAnsi="Verdana" w:cs="Verdana"/>
          <w:color w:val="000000"/>
          <w:sz w:val="20"/>
          <w:szCs w:val="20"/>
        </w:rPr>
        <w:t>.</w:t>
      </w:r>
    </w:p>
    <w:p w14:paraId="55E05079" w14:textId="77777777" w:rsidR="000565B4" w:rsidRPr="000565B4" w:rsidRDefault="000565B4" w:rsidP="000565B4">
      <w:pPr>
        <w:spacing w:after="0" w:line="276" w:lineRule="auto"/>
        <w:jc w:val="both"/>
        <w:rPr>
          <w:rFonts w:ascii="Century Gothic" w:eastAsia="Century Gothic" w:hAnsi="Century Gothic" w:cs="Century Gothic"/>
          <w:color w:val="000000"/>
        </w:rPr>
      </w:pPr>
    </w:p>
    <w:p w14:paraId="197C0C53" w14:textId="77777777" w:rsidR="000565B4" w:rsidRPr="000565B4" w:rsidRDefault="000565B4" w:rsidP="000565B4">
      <w:pPr>
        <w:spacing w:after="120" w:line="276" w:lineRule="auto"/>
        <w:ind w:firstLine="709"/>
        <w:jc w:val="both"/>
        <w:rPr>
          <w:rFonts w:ascii="Century Gothic" w:eastAsia="Century Gothic" w:hAnsi="Century Gothic" w:cs="Century Gothic"/>
          <w:color w:val="000000"/>
        </w:rPr>
      </w:pPr>
      <w:r w:rsidRPr="000565B4">
        <w:rPr>
          <w:rFonts w:ascii="Verdana" w:eastAsia="Verdana" w:hAnsi="Verdana" w:cs="Verdana"/>
        </w:rPr>
        <w:t xml:space="preserve">Autorizada previamente por la entidad cedida, esta forma de cesión requiere la suscripción de un contrato entre el cedente y el cesionario, por lo que es bilateral en la medida en que es el resultado de un acuerdo voluntades. Con fundamento en el mismo, el cesionario reemplaza –en todo o en parte– al contratista cedente en la ejecución del contrato estatal, respondiendo por el cumplimiento de las obligaciones frente a la Administración. El inciso primero del artículo 888 del Código de Comercio señala que “La sustitución podrá hacerse por escrito o verbalmente, según que el contrato conste o no por escrito”. Como el contrato estatal es solemne en los términos de los artículos 39 y 41 de la Ley 80 de 1993, se impone la forma escrita para cederlo. </w:t>
      </w:r>
    </w:p>
    <w:p w14:paraId="46F181E0" w14:textId="77777777" w:rsidR="000565B4" w:rsidRPr="000565B4" w:rsidRDefault="000565B4" w:rsidP="000565B4">
      <w:pPr>
        <w:tabs>
          <w:tab w:val="left" w:pos="709"/>
        </w:tabs>
        <w:spacing w:after="120" w:line="276" w:lineRule="auto"/>
        <w:jc w:val="both"/>
        <w:rPr>
          <w:rFonts w:ascii="Verdana" w:eastAsia="Verdana" w:hAnsi="Verdana" w:cs="Verdana"/>
          <w:color w:val="000000"/>
        </w:rPr>
      </w:pPr>
      <w:bookmarkStart w:id="2" w:name="_heading=h.mhb2pnem5v19" w:colFirst="0" w:colLast="0"/>
      <w:bookmarkEnd w:id="2"/>
      <w:r w:rsidRPr="000565B4">
        <w:rPr>
          <w:rFonts w:ascii="Century Gothic" w:eastAsia="Century Gothic" w:hAnsi="Century Gothic" w:cs="Century Gothic"/>
          <w:color w:val="000000"/>
        </w:rPr>
        <w:tab/>
      </w:r>
      <w:r w:rsidRPr="000565B4">
        <w:rPr>
          <w:rFonts w:ascii="Verdana" w:eastAsia="Verdana" w:hAnsi="Verdana" w:cs="Verdana"/>
        </w:rPr>
        <w:t xml:space="preserve">Por lo demás, el Consejo de Estado ha precisado como requisitos de la cesión del contrato estatal los siguientes: i) debe recaer en un tercero; </w:t>
      </w:r>
      <w:proofErr w:type="spellStart"/>
      <w:r w:rsidRPr="000565B4">
        <w:rPr>
          <w:rFonts w:ascii="Verdana" w:eastAsia="Verdana" w:hAnsi="Verdana" w:cs="Verdana"/>
        </w:rPr>
        <w:t>ii</w:t>
      </w:r>
      <w:proofErr w:type="spellEnd"/>
      <w:r w:rsidRPr="000565B4">
        <w:rPr>
          <w:rFonts w:ascii="Verdana" w:eastAsia="Verdana" w:hAnsi="Verdana" w:cs="Verdana"/>
        </w:rPr>
        <w:t xml:space="preserve">) el cesionario debe tener capacidad jurídica para continuar con la ejecución del objeto contractual y no estar incurso en causales de inhabilidad e incompatibilidad para contratar; y </w:t>
      </w:r>
      <w:proofErr w:type="spellStart"/>
      <w:r w:rsidRPr="000565B4">
        <w:rPr>
          <w:rFonts w:ascii="Verdana" w:eastAsia="Verdana" w:hAnsi="Verdana" w:cs="Verdana"/>
        </w:rPr>
        <w:t>iii</w:t>
      </w:r>
      <w:proofErr w:type="spellEnd"/>
      <w:r w:rsidRPr="000565B4">
        <w:rPr>
          <w:rFonts w:ascii="Verdana" w:eastAsia="Verdana" w:hAnsi="Verdana" w:cs="Verdana"/>
        </w:rPr>
        <w:t xml:space="preserve">) el cesionario debe contar con capacidad técnica, económica y financiera suficientes para el cumplimiento de las obligaciones emanadas del contrato cedido. Al respecto,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w:t>
      </w:r>
      <w:r w:rsidRPr="000565B4">
        <w:rPr>
          <w:rFonts w:ascii="Verdana" w:eastAsia="Verdana" w:hAnsi="Verdana" w:cs="Verdana"/>
          <w:color w:val="000000"/>
        </w:rPr>
        <w:t xml:space="preserve">manera, la capacidad jurídica, económica y técnica del contratista cedente se exigirá también al cesionario, ya que “[…] el proceso cesión del contrato y las exigencias que se le impongan al tercero, no pueden alterar ni burlar los procedimientos de selección del contratista, en otras palabras, la figura de la cesión de contrato no puede servir como instrumento </w:t>
      </w:r>
      <w:r w:rsidRPr="000565B4">
        <w:rPr>
          <w:rFonts w:ascii="Verdana" w:eastAsia="Verdana" w:hAnsi="Verdana" w:cs="Verdana"/>
          <w:color w:val="000000"/>
        </w:rPr>
        <w:lastRenderedPageBreak/>
        <w:t>para desviar las obligaciones que tiene la entidad contratante de cumplimiento de los parámetros de la selección objetiva”</w:t>
      </w:r>
      <w:r w:rsidRPr="000565B4">
        <w:rPr>
          <w:rFonts w:ascii="Verdana" w:eastAsia="Verdana" w:hAnsi="Verdana" w:cs="Verdana"/>
          <w:color w:val="000000"/>
          <w:vertAlign w:val="superscript"/>
        </w:rPr>
        <w:footnoteReference w:id="26"/>
      </w:r>
      <w:r w:rsidRPr="000565B4">
        <w:rPr>
          <w:rFonts w:ascii="Verdana" w:eastAsia="Verdana" w:hAnsi="Verdana" w:cs="Verdana"/>
          <w:color w:val="000000"/>
        </w:rPr>
        <w:t>.</w:t>
      </w:r>
    </w:p>
    <w:p w14:paraId="3A105148" w14:textId="77777777" w:rsidR="000565B4" w:rsidRPr="000565B4" w:rsidRDefault="000565B4" w:rsidP="000565B4">
      <w:pPr>
        <w:tabs>
          <w:tab w:val="left" w:pos="709"/>
        </w:tabs>
        <w:spacing w:after="120" w:line="276" w:lineRule="auto"/>
        <w:ind w:firstLine="709"/>
        <w:jc w:val="both"/>
        <w:rPr>
          <w:rFonts w:ascii="Verdana" w:eastAsia="Verdana" w:hAnsi="Verdana" w:cs="Verdana"/>
          <w:color w:val="000000"/>
        </w:rPr>
      </w:pPr>
      <w:bookmarkStart w:id="3" w:name="_heading=h.5ten6mki767" w:colFirst="0" w:colLast="0"/>
      <w:bookmarkEnd w:id="3"/>
      <w:r w:rsidRPr="000565B4">
        <w:rPr>
          <w:rFonts w:ascii="Verdana" w:eastAsia="Verdana" w:hAnsi="Verdana" w:cs="Verdana"/>
          <w:color w:val="000000"/>
        </w:rPr>
        <w:t>Por lo tanto, la entidad estatal en el trámite de autorización de una cesión de posición contractual está obligada a respetar los criterios normativos que resulten aplicables al proceso de contratación, entre otros, los principios de transparencia, selección objetiva e igualdad. En otros términos, so pretexto de una cesión contractual, no pueden vulnerarse las reglas y principios de la contratación estatal.</w:t>
      </w:r>
    </w:p>
    <w:p w14:paraId="1F0B0802" w14:textId="77777777" w:rsidR="000565B4" w:rsidRPr="000565B4" w:rsidRDefault="000565B4" w:rsidP="000565B4">
      <w:pPr>
        <w:tabs>
          <w:tab w:val="left" w:pos="709"/>
        </w:tabs>
        <w:spacing w:after="120" w:line="276" w:lineRule="auto"/>
        <w:ind w:firstLine="709"/>
        <w:jc w:val="both"/>
        <w:rPr>
          <w:rFonts w:ascii="Verdana" w:eastAsia="Verdana" w:hAnsi="Verdana" w:cs="Verdana"/>
          <w:color w:val="000000"/>
        </w:rPr>
      </w:pPr>
      <w:r w:rsidRPr="000565B4">
        <w:rPr>
          <w:rFonts w:ascii="Verdana" w:eastAsia="Verdana" w:hAnsi="Verdana" w:cs="Verdana"/>
          <w:color w:val="000000"/>
        </w:rPr>
        <w:t xml:space="preserve">Además, el inciso primero del artículo 9 de la Ley 80 de 1993 establece una importante previsión en materia de cesión del contrato estatal, conforme a la cual “Si llegare a sobrevenir inhabilidad o incompatibilidad en el contratista, este cederá el contrato previa autorización escrita de la entidad contratante o, si ello no fuere posible, renunciará a su ejecución”. Además, en el inciso tercero del artículo citado impone una limitación a la cesión dentro del contrato estatal, que consiste en que, si la inhabilidad o incompatibilidad sobreviene a uno de los miembros del consorcio o unión temporal, “[…] este cederá su participación a un tercero previa autorización escrita de la entidad contratante […]”, y establece que “[…] En ningún caso, podrá haber cesión del contrato entre quienes integran el consorcio o unión temporal”. </w:t>
      </w:r>
    </w:p>
    <w:p w14:paraId="053EE7D5" w14:textId="77777777" w:rsidR="000565B4" w:rsidRPr="000565B4" w:rsidRDefault="000565B4" w:rsidP="000565B4">
      <w:pPr>
        <w:spacing w:after="120" w:line="276" w:lineRule="auto"/>
        <w:ind w:right="51" w:firstLine="709"/>
        <w:jc w:val="both"/>
        <w:rPr>
          <w:rFonts w:ascii="Verdana" w:eastAsia="Verdana" w:hAnsi="Verdana" w:cs="Verdana"/>
          <w:color w:val="000000"/>
        </w:rPr>
      </w:pPr>
      <w:bookmarkStart w:id="4" w:name="_heading=h.1wluew5qb6pv" w:colFirst="0" w:colLast="0"/>
      <w:bookmarkEnd w:id="4"/>
      <w:r w:rsidRPr="000565B4">
        <w:rPr>
          <w:rFonts w:ascii="Verdana" w:eastAsia="Verdana" w:hAnsi="Verdana" w:cs="Verdana"/>
          <w:color w:val="000000"/>
        </w:rPr>
        <w:t xml:space="preserve">En suma, la Ley 80 de 1993 no reguló en su integridad la cesión del contrato, como tampoco lo hizo el Código Civil en el que se consagra la institución de la cesión de créditos –arts. 1959 y ss.–. En cambio, los artículos 887 a 896 del Código de Comercio definen la cesión del contrato. Por consiguiente, resultan aplicables las normas del derecho civil y comercial pertinentes, sobre cesión del crédito y cesión de contratos respectivamente, salvo en las materias particularmente reguladas por el Estatuto General de Contratación de la Administración Pública, como lo señala el artículo 13 de la Ley 80 de 1993. </w:t>
      </w:r>
    </w:p>
    <w:p w14:paraId="59508535"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rPr>
        <w:t xml:space="preserve">De conformidad con los requisitos y las restricciones explicadas </w:t>
      </w:r>
      <w:r w:rsidRPr="000565B4">
        <w:rPr>
          <w:rFonts w:ascii="Verdana" w:eastAsia="Verdana" w:hAnsi="Verdana" w:cs="Verdana"/>
          <w:i/>
          <w:iCs/>
          <w:color w:val="000000"/>
        </w:rPr>
        <w:t>ut supra</w:t>
      </w:r>
      <w:r w:rsidRPr="000565B4">
        <w:rPr>
          <w:rFonts w:ascii="Verdana" w:eastAsia="Verdana" w:hAnsi="Verdana" w:cs="Verdana"/>
          <w:color w:val="000000"/>
        </w:rPr>
        <w:t xml:space="preserve">, en los contratos estatales cuya ejecución aún no haya sido cumplida en todo o en parte, el contratista podrá hacerse sustituir por un tercero en la relación derivada del contrato, quien en adelante ocupará su posición jurídica. Es una de </w:t>
      </w:r>
      <w:r w:rsidRPr="000565B4">
        <w:rPr>
          <w:rFonts w:ascii="Verdana" w:eastAsia="Verdana" w:hAnsi="Verdana" w:cs="Verdana"/>
          <w:color w:val="000000"/>
        </w:rPr>
        <w:lastRenderedPageBreak/>
        <w:t>las posibilidades en las cuales existe una modificación de uno de los extremos de la relación contractual, es decir, de uno de los sujetos, siempre que sea autorizada previamente por la entidad cedida, en cuyo caso requiere la suscripción de un contrato entre el cedente y el cesionario, de manera que es de carácter bilateral en la medida en que es el resultado de un acuerdo voluntades. Con fundamento en el contrato de cesión, el cesionario reemplaza –en todo o en parte– al contratista cedente en la ejecución del contrato estatal, respondiendo por el cumplimiento de las obligaciones frente a la Administración.</w:t>
      </w:r>
    </w:p>
    <w:p w14:paraId="01133041" w14:textId="77777777" w:rsidR="000565B4" w:rsidRPr="000565B4" w:rsidRDefault="000565B4" w:rsidP="000565B4">
      <w:pPr>
        <w:spacing w:after="120" w:line="276" w:lineRule="auto"/>
        <w:ind w:firstLine="720"/>
        <w:jc w:val="both"/>
        <w:rPr>
          <w:rFonts w:ascii="Verdana" w:eastAsia="Verdana" w:hAnsi="Verdana" w:cs="Verdana"/>
          <w:color w:val="000000"/>
        </w:rPr>
      </w:pPr>
      <w:r w:rsidRPr="000565B4">
        <w:rPr>
          <w:rFonts w:ascii="Verdana" w:eastAsia="Verdana" w:hAnsi="Verdana" w:cs="Verdana"/>
        </w:rPr>
        <w:t>Si bien las personas pueden presentarse individualmente a los procesos de selección, también pueden hacerlo en forma plural a través de consorcios o uniones temporales. En efecto,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582ED39A" w14:textId="77777777" w:rsidR="000565B4" w:rsidRPr="000565B4" w:rsidRDefault="000565B4" w:rsidP="000565B4">
      <w:pPr>
        <w:spacing w:after="0" w:line="276" w:lineRule="auto"/>
        <w:ind w:firstLine="720"/>
        <w:jc w:val="both"/>
        <w:rPr>
          <w:rFonts w:ascii="Verdana" w:eastAsia="Verdana" w:hAnsi="Verdana" w:cs="Verdana"/>
          <w:color w:val="000000"/>
        </w:rPr>
      </w:pPr>
      <w:r w:rsidRPr="000565B4">
        <w:rPr>
          <w:rFonts w:ascii="Verdana" w:eastAsia="Verdana" w:hAnsi="Verdana" w:cs="Verdana"/>
          <w:color w:val="000000"/>
        </w:rPr>
        <w:t>La capacidad para contratar, e incluso la de realizar actos jurídicamente vinculantes como la presentación de una oferta en un procedimiento de selección 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1778984F" w14:textId="77777777" w:rsidR="000565B4" w:rsidRPr="000565B4" w:rsidRDefault="000565B4" w:rsidP="000565B4">
      <w:pPr>
        <w:spacing w:after="0" w:line="240" w:lineRule="auto"/>
        <w:jc w:val="both"/>
        <w:rPr>
          <w:rFonts w:ascii="Verdana" w:eastAsia="Verdana" w:hAnsi="Verdana" w:cs="Verdana"/>
          <w:color w:val="000000"/>
        </w:rPr>
      </w:pPr>
    </w:p>
    <w:p w14:paraId="0877DA15"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w:t>
      </w:r>
      <w:r w:rsidRPr="000565B4">
        <w:rPr>
          <w:rFonts w:ascii="Verdana" w:eastAsia="Verdana" w:hAnsi="Verdana" w:cs="Verdana"/>
          <w:color w:val="000000"/>
          <w:sz w:val="20"/>
          <w:szCs w:val="20"/>
        </w:rPr>
        <w:lastRenderedPageBreak/>
        <w:t>proyectos de contratación pública, altamente especializados e intensivos en capital y, así mismo, indispensables para que el Estado Social de Derecho, cumpla los cometidos para los cuales fue instituido- Preámbulo, artículos 1 y 2 de la Carta Política.</w:t>
      </w:r>
    </w:p>
    <w:p w14:paraId="78F600C3"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p>
    <w:p w14:paraId="10882E55" w14:textId="77777777" w:rsidR="000565B4" w:rsidRPr="000565B4" w:rsidRDefault="000565B4" w:rsidP="000565B4">
      <w:pPr>
        <w:spacing w:after="12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w:t>
      </w:r>
    </w:p>
    <w:p w14:paraId="53661F29" w14:textId="77777777" w:rsidR="000565B4" w:rsidRPr="000565B4" w:rsidRDefault="000565B4" w:rsidP="000565B4">
      <w:pP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sidRPr="000565B4">
        <w:rPr>
          <w:rFonts w:ascii="Verdana" w:eastAsia="Verdana" w:hAnsi="Verdana" w:cs="Verdana"/>
          <w:color w:val="000000"/>
          <w:vertAlign w:val="superscript"/>
        </w:rPr>
        <w:footnoteReference w:id="27"/>
      </w:r>
      <w:r w:rsidRPr="000565B4">
        <w:rPr>
          <w:rFonts w:ascii="Verdana" w:eastAsia="Verdana" w:hAnsi="Verdana" w:cs="Verdana"/>
          <w:color w:val="000000"/>
          <w:sz w:val="20"/>
          <w:szCs w:val="20"/>
        </w:rPr>
        <w:t>.</w:t>
      </w:r>
    </w:p>
    <w:p w14:paraId="0FC64F26" w14:textId="77777777" w:rsidR="000565B4" w:rsidRPr="000565B4" w:rsidRDefault="000565B4" w:rsidP="000565B4">
      <w:pPr>
        <w:spacing w:after="0" w:line="240" w:lineRule="auto"/>
        <w:ind w:left="720" w:right="731"/>
        <w:jc w:val="both"/>
        <w:rPr>
          <w:rFonts w:ascii="Verdana" w:eastAsia="Verdana" w:hAnsi="Verdana" w:cs="Verdana"/>
          <w:color w:val="000000"/>
        </w:rPr>
      </w:pPr>
    </w:p>
    <w:p w14:paraId="45D723D2" w14:textId="77777777" w:rsidR="000565B4" w:rsidRPr="000565B4" w:rsidRDefault="000565B4" w:rsidP="000565B4">
      <w:pPr>
        <w:spacing w:after="120" w:line="276" w:lineRule="auto"/>
        <w:ind w:firstLine="720"/>
        <w:jc w:val="both"/>
        <w:rPr>
          <w:rFonts w:ascii="Verdana" w:eastAsia="Verdana" w:hAnsi="Verdana" w:cs="Verdana"/>
          <w:color w:val="000000"/>
        </w:rPr>
      </w:pPr>
      <w:bookmarkStart w:id="5" w:name="_heading=h.dbd329tyicjx" w:colFirst="0" w:colLast="0"/>
      <w:bookmarkEnd w:id="5"/>
      <w:r w:rsidRPr="000565B4">
        <w:rPr>
          <w:rFonts w:ascii="Verdana" w:eastAsia="Verdana" w:hAnsi="Verdana" w:cs="Verdana"/>
          <w:color w:val="000000"/>
        </w:rPr>
        <w:t>La Corte Constitucional destaca, de un lado, que las estructuras plurales son el reconocimiento de una realidad negocial en materia de contratación estatal, y del otro, que esta colaboración económica entre sujetos de derecho permite la materialización de los fines del estado, al facilitar la efectiva ejecución de los contratos. Adicionalmente, puntualiza que la capacidad contractual de los consorcios y uniones temporales se reconoce sin necesidad de exigirles como condición de su ejercicio que sean personas morales lo que, hasta cierto punto, podría considerarse una evolución en la teoría de la personalidad jurídica.</w:t>
      </w:r>
    </w:p>
    <w:p w14:paraId="6985FFE9" w14:textId="77777777" w:rsidR="000565B4" w:rsidRPr="000565B4" w:rsidRDefault="000565B4" w:rsidP="000565B4">
      <w:pPr>
        <w:spacing w:after="120" w:line="276" w:lineRule="auto"/>
        <w:ind w:firstLine="709"/>
        <w:jc w:val="both"/>
        <w:rPr>
          <w:rFonts w:ascii="Verdana" w:eastAsia="Verdana" w:hAnsi="Verdana" w:cs="Verdana"/>
          <w:color w:val="000000"/>
        </w:rPr>
      </w:pPr>
      <w:r w:rsidRPr="000565B4">
        <w:rPr>
          <w:rFonts w:ascii="Verdana" w:eastAsia="Verdana" w:hAnsi="Verdana" w:cs="Verdana"/>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Este</w:t>
      </w:r>
      <w:r w:rsidRPr="000565B4">
        <w:rPr>
          <w:rFonts w:ascii="Verdana" w:eastAsia="Verdana" w:hAnsi="Verdana" w:cs="Verdana"/>
          <w:color w:val="000000"/>
        </w:rPr>
        <w:t xml:space="preserve"> artículo citado señala que el consorcio o la unión temporal se </w:t>
      </w:r>
      <w:r w:rsidRPr="000565B4">
        <w:rPr>
          <w:rFonts w:ascii="Verdana" w:eastAsia="Verdana" w:hAnsi="Verdana" w:cs="Verdana"/>
        </w:rPr>
        <w:t xml:space="preserve">presenta </w:t>
      </w:r>
      <w:r w:rsidRPr="000565B4">
        <w:rPr>
          <w:rFonts w:ascii="Verdana" w:eastAsia="Verdana" w:hAnsi="Verdana" w:cs="Verdana"/>
          <w:color w:val="000000"/>
        </w:rPr>
        <w:t xml:space="preserve">“Cuando dos o más personas en forma conjunta presentan una misma propuesta para la adjudicación, celebración y ejecución de un contrato </w:t>
      </w:r>
      <w:r w:rsidRPr="000565B4">
        <w:rPr>
          <w:rFonts w:ascii="Verdana" w:eastAsia="Verdana" w:hAnsi="Verdana" w:cs="Verdana"/>
        </w:rPr>
        <w:t>[…]</w:t>
      </w:r>
      <w:r w:rsidRPr="000565B4">
        <w:rPr>
          <w:rFonts w:ascii="Verdana" w:eastAsia="Verdana" w:hAnsi="Verdana" w:cs="Verdana"/>
          <w:color w:val="000000"/>
        </w:rPr>
        <w:t xml:space="preserve">”. Desde esta perspectiva, su capacidad para participar en la adjudicación, celebración y ejecución de los contratos estatales depende de que </w:t>
      </w:r>
      <w:r w:rsidRPr="000565B4">
        <w:rPr>
          <w:rFonts w:ascii="Verdana" w:eastAsia="Verdana" w:hAnsi="Verdana" w:cs="Verdana"/>
          <w:color w:val="000000"/>
        </w:rPr>
        <w:lastRenderedPageBreak/>
        <w:t xml:space="preserve">los integrantes de la estructura plural adopten la decisión conjunta de presentar una misma propuesta al proceso de selección. Como existe una relación de medio – fin, sin la entrega de la oferta no surge la habilitación legal para todo lo demás. </w:t>
      </w:r>
    </w:p>
    <w:p w14:paraId="54B77891" w14:textId="77777777" w:rsidR="000565B4" w:rsidRPr="000565B4" w:rsidRDefault="000565B4" w:rsidP="000565B4">
      <w:pPr>
        <w:spacing w:after="120" w:line="276" w:lineRule="auto"/>
        <w:jc w:val="both"/>
        <w:rPr>
          <w:rFonts w:ascii="Verdana" w:eastAsia="Verdana" w:hAnsi="Verdana" w:cs="Verdana"/>
          <w:color w:val="000000"/>
        </w:rPr>
      </w:pPr>
      <w:r w:rsidRPr="000565B4">
        <w:rPr>
          <w:rFonts w:ascii="Verdana" w:eastAsia="Verdana" w:hAnsi="Verdana" w:cs="Verdana"/>
          <w:color w:val="000000"/>
        </w:rPr>
        <w:tab/>
        <w:t xml:space="preserve">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   </w:t>
      </w:r>
    </w:p>
    <w:p w14:paraId="1D99343C" w14:textId="77777777" w:rsidR="000565B4" w:rsidRPr="000565B4" w:rsidRDefault="000565B4" w:rsidP="000565B4">
      <w:pPr>
        <w:spacing w:after="0" w:line="276" w:lineRule="auto"/>
        <w:jc w:val="both"/>
        <w:rPr>
          <w:rFonts w:ascii="Verdana" w:eastAsia="Verdana" w:hAnsi="Verdana" w:cs="Verdana"/>
          <w:color w:val="000000"/>
        </w:rPr>
      </w:pPr>
      <w:r w:rsidRPr="000565B4">
        <w:rPr>
          <w:rFonts w:ascii="Verdana" w:eastAsia="Verdana" w:hAnsi="Verdana" w:cs="Verdana"/>
          <w:color w:val="000000"/>
        </w:rPr>
        <w:tab/>
        <w:t xml:space="preserve">La capacidad jurídica de los proponentes plurales se limita al campo de la contratación estatal de las entidades sometidas al EGCAP, es decir, a las relaciones en consorcios y las uniones temporales con las entidades estatales del artículo 2 de la Ley 80 de 1993. Esta precisión es importante, porque la habilitación de los numerales 6 y 7 del artículo 7 </w:t>
      </w:r>
      <w:r w:rsidRPr="000565B4">
        <w:rPr>
          <w:rFonts w:ascii="Verdana" w:eastAsia="Verdana" w:hAnsi="Verdana" w:cs="Verdana"/>
          <w:i/>
          <w:iCs/>
          <w:color w:val="000000"/>
        </w:rPr>
        <w:t>ibidem</w:t>
      </w:r>
      <w:r w:rsidRPr="000565B4">
        <w:rPr>
          <w:rFonts w:ascii="Verdana" w:eastAsia="Verdana" w:hAnsi="Verdana" w:cs="Verdana"/>
          <w:color w:val="000000"/>
        </w:rPr>
        <w:t xml:space="preserve"> no les otorgan capacidad respecto a las relaciones entre particulares, como las que surgen entre el cedente y el cesionario del contrato. Como este último debe ser un tercero, es indispensable la personalidad jurídica. Como explica la doctrina: </w:t>
      </w:r>
    </w:p>
    <w:p w14:paraId="1975A84F" w14:textId="77777777" w:rsidR="000565B4" w:rsidRPr="000565B4" w:rsidRDefault="000565B4" w:rsidP="000565B4">
      <w:pPr>
        <w:spacing w:after="0" w:line="240" w:lineRule="auto"/>
        <w:jc w:val="both"/>
        <w:rPr>
          <w:rFonts w:ascii="Verdana" w:eastAsia="Verdana" w:hAnsi="Verdana" w:cs="Verdana"/>
        </w:rPr>
      </w:pPr>
    </w:p>
    <w:p w14:paraId="51C68F41" w14:textId="77777777" w:rsidR="000565B4" w:rsidRPr="000565B4" w:rsidRDefault="000565B4" w:rsidP="000565B4">
      <w:pPr>
        <w:spacing w:after="0" w:line="240" w:lineRule="auto"/>
        <w:ind w:left="709" w:right="709"/>
        <w:jc w:val="both"/>
        <w:rPr>
          <w:rFonts w:ascii="Verdana" w:eastAsia="Verdana" w:hAnsi="Verdana" w:cs="Verdana"/>
        </w:rPr>
      </w:pPr>
      <w:r w:rsidRPr="000565B4">
        <w:rPr>
          <w:rFonts w:ascii="Verdana" w:eastAsia="Verdana" w:hAnsi="Verdana" w:cs="Verdana"/>
          <w:sz w:val="20"/>
          <w:szCs w:val="20"/>
        </w:rPr>
        <w:t>“El concepto de ‘tercero’, respecto de la condición que debe reunir el cesionario, puede tener dos sentidos: uno subjetivo, en virtud del cual tiene tal cualidad cualquier persona distinta al contratista o a los integrantes del consorcio o unión temporal y a la entidad estatal contratante. Otro objetivo, según el cual tiene tal calidad cualquier persona distinta al contratista a los integrantes del consorcio o unión temporal y a la entidad estatal contratante, siempre y cuando tal persona no tenga un vínculo de dependencia o de subordinación con el contratista o los integrantes del consorcio o la unión temporal (futuros cedentes)”</w:t>
      </w:r>
      <w:r w:rsidRPr="000565B4">
        <w:rPr>
          <w:rFonts w:ascii="Verdana" w:eastAsia="Verdana" w:hAnsi="Verdana" w:cs="Verdana"/>
          <w:sz w:val="20"/>
          <w:szCs w:val="20"/>
          <w:vertAlign w:val="superscript"/>
        </w:rPr>
        <w:footnoteReference w:id="28"/>
      </w:r>
      <w:r w:rsidRPr="000565B4">
        <w:rPr>
          <w:rFonts w:ascii="Verdana" w:eastAsia="Verdana" w:hAnsi="Verdana" w:cs="Verdana"/>
          <w:sz w:val="20"/>
          <w:szCs w:val="20"/>
        </w:rPr>
        <w:t>.</w:t>
      </w:r>
      <w:r w:rsidRPr="000565B4">
        <w:rPr>
          <w:rFonts w:ascii="Verdana" w:eastAsia="Verdana" w:hAnsi="Verdana" w:cs="Verdana"/>
        </w:rPr>
        <w:t xml:space="preserve"> </w:t>
      </w:r>
    </w:p>
    <w:p w14:paraId="49727F10" w14:textId="77777777" w:rsidR="000565B4" w:rsidRPr="000565B4" w:rsidRDefault="000565B4" w:rsidP="000565B4">
      <w:pPr>
        <w:spacing w:after="0" w:line="240" w:lineRule="auto"/>
        <w:ind w:left="709" w:right="709"/>
        <w:jc w:val="both"/>
        <w:rPr>
          <w:rFonts w:ascii="Verdana" w:eastAsia="Verdana" w:hAnsi="Verdana" w:cs="Verdana"/>
        </w:rPr>
      </w:pPr>
    </w:p>
    <w:p w14:paraId="48816978" w14:textId="77777777" w:rsidR="000565B4" w:rsidRPr="000565B4" w:rsidRDefault="000565B4" w:rsidP="000565B4">
      <w:pPr>
        <w:spacing w:after="0" w:line="276" w:lineRule="auto"/>
        <w:jc w:val="both"/>
        <w:rPr>
          <w:rFonts w:ascii="Verdana" w:eastAsia="Verdana" w:hAnsi="Verdana" w:cs="Verdana"/>
          <w:color w:val="000000"/>
        </w:rPr>
      </w:pPr>
      <w:r w:rsidRPr="000565B4">
        <w:rPr>
          <w:rFonts w:ascii="Verdana" w:eastAsia="Verdana" w:hAnsi="Verdana" w:cs="Verdana"/>
          <w:color w:val="000000"/>
        </w:rPr>
        <w:tab/>
        <w:t xml:space="preserve">De acuerdo con el inciso primero del artículo 73 del Código Civil las personas son naturales o jurídicas. Conforme al artículo 74 </w:t>
      </w:r>
      <w:r w:rsidRPr="000565B4">
        <w:rPr>
          <w:rFonts w:ascii="Verdana" w:eastAsia="Verdana" w:hAnsi="Verdana" w:cs="Verdana"/>
          <w:i/>
          <w:iCs/>
          <w:color w:val="000000"/>
        </w:rPr>
        <w:t>ibidem</w:t>
      </w:r>
      <w:r w:rsidRPr="000565B4">
        <w:rPr>
          <w:rFonts w:ascii="Verdana" w:eastAsia="Verdana" w:hAnsi="Verdana" w:cs="Verdana"/>
          <w:color w:val="000000"/>
        </w:rPr>
        <w:t xml:space="preserve">, las primeras </w:t>
      </w:r>
      <w:r w:rsidRPr="000565B4">
        <w:rPr>
          <w:rFonts w:ascii="Verdana" w:eastAsia="Verdana" w:hAnsi="Verdana" w:cs="Verdana"/>
          <w:color w:val="000000"/>
        </w:rPr>
        <w:lastRenderedPageBreak/>
        <w:t>corresponden a “</w:t>
      </w:r>
      <w:r w:rsidRPr="000565B4">
        <w:rPr>
          <w:rFonts w:ascii="Verdana" w:eastAsia="Verdana" w:hAnsi="Verdana" w:cs="Verdana"/>
        </w:rPr>
        <w:t xml:space="preserve">[…] </w:t>
      </w:r>
      <w:r w:rsidRPr="000565B4">
        <w:rPr>
          <w:rFonts w:ascii="Verdana" w:eastAsia="Verdana" w:hAnsi="Verdana" w:cs="Verdana"/>
          <w:color w:val="000000"/>
        </w:rPr>
        <w:t xml:space="preserve">todos los individuos de la especie humana, cualquiera que sea su edad, sexo, estirpe o condición”. En contraste, con fundamento en el inciso primero artículo 633 </w:t>
      </w:r>
      <w:r w:rsidRPr="000565B4">
        <w:rPr>
          <w:rFonts w:ascii="Verdana" w:eastAsia="Verdana" w:hAnsi="Verdana" w:cs="Verdana"/>
          <w:i/>
          <w:iCs/>
          <w:color w:val="000000"/>
        </w:rPr>
        <w:t>ibidem</w:t>
      </w:r>
      <w:r w:rsidRPr="000565B4">
        <w:rPr>
          <w:rFonts w:ascii="Verdana" w:eastAsia="Verdana" w:hAnsi="Verdana" w:cs="Verdana"/>
          <w:color w:val="000000"/>
        </w:rPr>
        <w:t>, las segundas son “</w:t>
      </w:r>
      <w:r w:rsidRPr="000565B4">
        <w:rPr>
          <w:rFonts w:ascii="Verdana" w:eastAsia="Verdana" w:hAnsi="Verdana" w:cs="Verdana"/>
        </w:rPr>
        <w:t>[…]</w:t>
      </w:r>
      <w:r w:rsidRPr="000565B4">
        <w:rPr>
          <w:rFonts w:ascii="Verdana" w:eastAsia="Verdana" w:hAnsi="Verdana" w:cs="Verdana"/>
          <w:color w:val="000000"/>
        </w:rPr>
        <w:t xml:space="preserve"> una persona ficticia, capaz de ejercer derechos y contraer obligaciones civiles, y de ser representada judicial y extrajudicialmente”. Como se explicó </w:t>
      </w:r>
      <w:r w:rsidRPr="000565B4">
        <w:rPr>
          <w:rFonts w:ascii="Verdana" w:eastAsia="Verdana" w:hAnsi="Verdana" w:cs="Verdana"/>
          <w:i/>
          <w:iCs/>
          <w:color w:val="000000"/>
        </w:rPr>
        <w:t>ut supra</w:t>
      </w:r>
      <w:r w:rsidRPr="000565B4">
        <w:rPr>
          <w:rFonts w:ascii="Verdana" w:eastAsia="Verdana" w:hAnsi="Verdana" w:cs="Verdana"/>
          <w:color w:val="000000"/>
        </w:rPr>
        <w:t xml:space="preserve">, los consorcios y las uniones temporales carecen de esta naturaleza. Asimismo, los numerales 6 y 7 del artículo 7 de la Ley 80 de 1993 tampoco otorgan capacidad a los proponentes plurales para ser cesionarios; por lo tanto, no existe una habilitación legal para que los contratistas cedan su posición contractual a los consorcios o uniones temporales. </w:t>
      </w:r>
    </w:p>
    <w:p w14:paraId="27B80693" w14:textId="77777777" w:rsidR="000565B4" w:rsidRPr="000565B4" w:rsidRDefault="000565B4" w:rsidP="000565B4">
      <w:pPr>
        <w:spacing w:after="0" w:line="276" w:lineRule="auto"/>
        <w:jc w:val="both"/>
        <w:rPr>
          <w:rFonts w:ascii="Verdana" w:eastAsia="Verdana" w:hAnsi="Verdana" w:cs="Verdana"/>
        </w:rPr>
      </w:pPr>
    </w:p>
    <w:p w14:paraId="59E0F10B" w14:textId="77777777" w:rsidR="000565B4" w:rsidRPr="000565B4" w:rsidRDefault="000565B4" w:rsidP="000565B4">
      <w:pPr>
        <w:spacing w:after="120" w:line="276" w:lineRule="auto"/>
        <w:jc w:val="both"/>
      </w:pPr>
      <w:proofErr w:type="spellStart"/>
      <w:r w:rsidRPr="000565B4">
        <w:rPr>
          <w:rFonts w:ascii="Verdana" w:eastAsia="Verdana" w:hAnsi="Verdana" w:cs="Verdana"/>
        </w:rPr>
        <w:t>iv</w:t>
      </w:r>
      <w:proofErr w:type="spellEnd"/>
      <w:r w:rsidRPr="000565B4">
        <w:rPr>
          <w:rFonts w:ascii="Verdana" w:eastAsia="Verdana" w:hAnsi="Verdana" w:cs="Verdana"/>
        </w:rPr>
        <w:t>. Ahora bien, el régimen previsto en el artículo 9 de la Ley 80 de 1993 evidencia que la aparición de una inhabilidad o incompatibilidad sobreviniente durante la ejecución del contrato no conduce, por sí sola, a la terminación automática del vínculo contractual. Por el contrario, el legislador diseñó un mecanismo específico para preservar la continuidad de la ejecución y, al mismo tiempo, garantizar el respeto del régimen de inhabilidades e incompatibilidades, consistente en la obligación del integrante afectado de ceder su participación a un tercero, previa autorización escrita de la entidad contratante, sin que sea jurídicamente posible realizar dicha cesión entre quienes integran el consorcio o la unión temporal</w:t>
      </w:r>
      <w:r w:rsidRPr="000565B4">
        <w:rPr>
          <w:rFonts w:ascii="Verdana" w:eastAsia="Verdana" w:hAnsi="Verdana" w:cs="Verdana"/>
          <w:vertAlign w:val="superscript"/>
        </w:rPr>
        <w:footnoteReference w:id="29"/>
      </w:r>
      <w:r w:rsidRPr="000565B4">
        <w:rPr>
          <w:rFonts w:ascii="Verdana" w:eastAsia="Verdana" w:hAnsi="Verdana" w:cs="Verdana"/>
        </w:rPr>
        <w:t>. En desarrollo de esta disposición, el Consejo de Estado ha precisado que, tratándose de consorcios y uniones temporales, no resulta procedente la renuncia a la ejecución del contrato, pues el legislador estableció una regla especial para estos esquemas asociativos, consistente en la cesión de la participación del integrante afectado a un tercero, como mecanismo destinado a garantizar la continuidad del contrato y el respeto del régimen de inhabilidades e incompatibilidades. De esta manera, la cesión constituye la respuesta prevista por el ordenamiento jurídico para conjugar el principio de conservación del contrato con la necesidad de impedir que una persona incursa en una inhabilidad o incompatibilidad permanezca vinculada a la ejecución de un contrato estatal</w:t>
      </w:r>
      <w:r w:rsidRPr="000565B4">
        <w:t xml:space="preserve">. </w:t>
      </w:r>
    </w:p>
    <w:p w14:paraId="258C2351" w14:textId="77777777" w:rsidR="000565B4" w:rsidRPr="000565B4" w:rsidRDefault="000565B4" w:rsidP="000565B4">
      <w:pPr>
        <w:spacing w:after="120" w:line="276" w:lineRule="auto"/>
        <w:jc w:val="both"/>
        <w:rPr>
          <w:rFonts w:ascii="Verdana" w:eastAsia="Verdana" w:hAnsi="Verdana" w:cs="Verdana"/>
          <w:b/>
          <w:bCs/>
          <w:color w:val="000000"/>
        </w:rPr>
      </w:pPr>
      <w:r w:rsidRPr="000565B4">
        <w:tab/>
      </w:r>
      <w:r w:rsidRPr="000565B4">
        <w:rPr>
          <w:rFonts w:ascii="Verdana" w:hAnsi="Verdana"/>
        </w:rPr>
        <w:t xml:space="preserve">De manera previa a la actuación administrativa de verificación, debe señalarse que el primer deber que surge ante la configuración de una inhabilidad o incompatibilidad sobreviniente recae en el propio contratista. En efecto, los artículos 23 y 26 de la Ley 80 de 1993 imponen a los partícipes de la actividad </w:t>
      </w:r>
      <w:r w:rsidRPr="000565B4">
        <w:rPr>
          <w:rFonts w:ascii="Verdana" w:hAnsi="Verdana"/>
        </w:rPr>
        <w:lastRenderedPageBreak/>
        <w:t>contractual la obligación de actuar conforme a los principios de buena fe y responsabilidad, lo que comprende el deber de informar oportunamente a la entidad contratante las circunstancias sobrevinientes que afecten su capacidad para continuar la ejecución del contrato. Este deber de información constituye una manifestación concreta del principio de buena fe objetiva que rige las relaciones contractuales del Estado –arts. 83 de la C. P. y 28 de la Ley 80 de 1993–, y su omisión puede ser valorada por la entidad como un elemento relevante al examinar la conducta contractual del integrante afectado. Con todo, el conocimiento de la circunstancia por parte de la entidad no depende exclusivamente de la información suministrada por el contratista: la entidad puede advertirla por cualquier otro medio, caso en el cual deberá igualmente iniciar la actuación administrativa correspondiente.</w:t>
      </w:r>
    </w:p>
    <w:p w14:paraId="0C33989F" w14:textId="77777777" w:rsidR="000565B4" w:rsidRPr="000565B4" w:rsidRDefault="000565B4" w:rsidP="000565B4">
      <w:pPr>
        <w:spacing w:after="120" w:line="276" w:lineRule="auto"/>
        <w:ind w:firstLine="720"/>
        <w:jc w:val="both"/>
        <w:rPr>
          <w:rFonts w:ascii="Verdana" w:eastAsia="Verdana" w:hAnsi="Verdana" w:cs="Verdana"/>
        </w:rPr>
      </w:pPr>
      <w:r w:rsidRPr="000565B4">
        <w:rPr>
          <w:rFonts w:ascii="Verdana" w:eastAsia="Verdana" w:hAnsi="Verdana" w:cs="Verdana"/>
        </w:rPr>
        <w:t>No obstante, es importante precisar que la configuración de una inhabilidad o incompatibilidad sobreviniente no produce automáticamente los efectos previstos en el ordenamiento jurídico, sino que exige el respeto del derecho fundamental al debido proceso. Sobre el particular, la Sala de Consulta y Servicio Civil del Consejo de Estado precisó que, por tratarse de una restricción a la capacidad para contratar con el Estado, "es necesario garantizar y acatar el principio del debido proceso (art. 29 C.P.) y, en particular, los derechos de defensa y contradicción del eventual afectado, para que la entidad estatal declare la existencia de la causal correspondiente y se pueda aplicar la inhabilidad"</w:t>
      </w:r>
      <w:r w:rsidRPr="000565B4">
        <w:rPr>
          <w:rFonts w:ascii="Verdana" w:eastAsia="Verdana" w:hAnsi="Verdana" w:cs="Verdana"/>
          <w:vertAlign w:val="superscript"/>
        </w:rPr>
        <w:footnoteReference w:id="30"/>
      </w:r>
      <w:r w:rsidRPr="000565B4">
        <w:rPr>
          <w:rFonts w:ascii="Verdana" w:eastAsia="Verdana" w:hAnsi="Verdana" w:cs="Verdana"/>
        </w:rPr>
        <w:t>. De esta manera, la autoridad contratante no puede partir de la simple existencia de un hecho que, en principio, configure una inhabilidad o incompatibilidad, sino que debe verificar su ocurrencia mediante una actuación administrativa que permita al contratista ejercer plenamente sus derechos de defensa y contradicción.</w:t>
      </w:r>
    </w:p>
    <w:p w14:paraId="3272B619" w14:textId="77777777" w:rsidR="000565B4" w:rsidRPr="000565B4" w:rsidRDefault="000565B4" w:rsidP="000565B4">
      <w:pPr>
        <w:spacing w:after="0" w:line="276" w:lineRule="auto"/>
        <w:ind w:firstLine="720"/>
        <w:jc w:val="both"/>
        <w:rPr>
          <w:rFonts w:ascii="Verdana" w:eastAsia="Verdana" w:hAnsi="Verdana" w:cs="Verdana"/>
        </w:rPr>
      </w:pPr>
      <w:r w:rsidRPr="000565B4">
        <w:rPr>
          <w:rFonts w:ascii="Verdana" w:eastAsia="Verdana" w:hAnsi="Verdana" w:cs="Verdana"/>
        </w:rPr>
        <w:t xml:space="preserve">En el mismo sentido, el Consejo de Estado explicó que la decisión mediante la cual se determina la existencia de la causal constituye una manifestación del ejercicio de la función administrativa y, por ello, debe adoptarse mediante un acto debidamente motivado, precedido de una actuación en la que el afectado tenga la oportunidad de pronunciarse, aportar pruebas y controvertir los hechos que sirven de fundamento a la decisión. Por tanto, una vez la entidad tenga conocimiento de la posible configuración de una inhabilidad </w:t>
      </w:r>
      <w:r w:rsidRPr="000565B4">
        <w:rPr>
          <w:rFonts w:ascii="Verdana" w:eastAsia="Verdana" w:hAnsi="Verdana" w:cs="Verdana"/>
        </w:rPr>
        <w:lastRenderedPageBreak/>
        <w:t>o incompatibilidad sobreviniente, deberá adelantar la actuación administrativa correspondiente para establecer la efectiva configuración de la causal y garantizar el ejercicio de los derechos de defensa y contradicción del contratista. Solo una vez concluida dicha actuación y determinada la existencia de la inhabilidad, procederá requerir al integrante afectado para que cumpla el deber previsto en el artículo 9 de la Ley 80 de 1993, consistente en ceder su participación a un tercero, previa autorización escrita de la entidad contratante.</w:t>
      </w:r>
    </w:p>
    <w:p w14:paraId="75C0A89B" w14:textId="77777777" w:rsidR="000565B4" w:rsidRPr="000565B4" w:rsidRDefault="000565B4" w:rsidP="000565B4">
      <w:pPr>
        <w:spacing w:after="0" w:line="276" w:lineRule="auto"/>
        <w:ind w:firstLine="720"/>
        <w:jc w:val="both"/>
        <w:rPr>
          <w:rFonts w:ascii="Verdana" w:eastAsia="Verdana" w:hAnsi="Verdana" w:cs="Verdana"/>
          <w:color w:val="000000"/>
        </w:rPr>
      </w:pPr>
    </w:p>
    <w:p w14:paraId="7B11461B" w14:textId="77777777" w:rsidR="000565B4" w:rsidRPr="000565B4" w:rsidRDefault="000565B4" w:rsidP="000565B4">
      <w:pPr>
        <w:spacing w:after="120" w:line="276" w:lineRule="auto"/>
        <w:jc w:val="both"/>
      </w:pPr>
      <w:r w:rsidRPr="000565B4">
        <w:rPr>
          <w:rFonts w:ascii="Verdana" w:eastAsia="Verdana" w:hAnsi="Verdana" w:cs="Verdana"/>
        </w:rPr>
        <w:t>v. No obstante, cuando el integrante del consorcio o unión temporal incumple el deber legal de ceder su participación o, por circunstancias objetivas, la cesión no puede materializarse, el ordenamiento jurídico no establece expresamente las consecuencias aplicables. En efecto, el artículo 9 de la Ley 80 de 1993 regula la obligación de ceder la participación del integrante inhabilitado, pero no prevé el procedimiento ni las medidas que debe adoptar la entidad contratante cuando dicha obligación resulta incumplida o de imposible ejecución por alguna circunstancia. En este escenario, corresponde interpretar de manera sistemática el Estatuto General de Contratación de la Administración Pública, con el fin de determinar los mecanismos jurídicos que permitan garantizar el cumplimiento del régimen de inhabilidades e incompatibilidades y evitar que la ejecución del contrato continúe en condiciones contrarias al principio de legalidad.</w:t>
      </w:r>
    </w:p>
    <w:p w14:paraId="60BB6721" w14:textId="77777777" w:rsidR="000565B4" w:rsidRPr="000565B4" w:rsidRDefault="000565B4" w:rsidP="000565B4">
      <w:pPr>
        <w:spacing w:after="120" w:line="276" w:lineRule="auto"/>
        <w:ind w:firstLine="720"/>
        <w:jc w:val="both"/>
      </w:pPr>
      <w:r w:rsidRPr="000565B4">
        <w:rPr>
          <w:rFonts w:ascii="Verdana" w:eastAsia="Verdana" w:hAnsi="Verdana" w:cs="Verdana"/>
        </w:rPr>
        <w:t>En primer lugar, no resulta aplicable la regla prevista en el inciso segundo del artículo 9 de la Ley 80 de 1993, conforme a la cual el proponente afectado por una inhabilidad o incompatibilidad sobreviniente durante un proceso de selección debe renunciar a su participación y a los derechos derivados de la oferta. Esta disposición regula una hipótesis propia de la etapa precontractual, en la que aún no existe un vínculo contractual perfeccionado, razón por la cual no resulta extensible al supuesto del integrante de un consorcio o unión temporal respecto del cual la inhabilidad sobreviene durante la ejecución del contrato. Admitir esa extensión implicaría aplicar por analogía una consecuencia jurídica prevista para un supuesto distinto, desconociendo el carácter restrictivo que rige la interpretación del régimen de inhabilidades e incompatibilidades. Además, tratándose de consorcios y uniones temporales, el propio inciso tercero del artículo 9 diseñó una solución específica, consistente en la cesión de la participación a un tercero, lo que excluye la aplicación de la regla de la renuncia prevista para el contratista individual.</w:t>
      </w:r>
    </w:p>
    <w:p w14:paraId="1070376E" w14:textId="77777777" w:rsidR="000565B4" w:rsidRPr="000565B4" w:rsidRDefault="000565B4" w:rsidP="000565B4">
      <w:pPr>
        <w:spacing w:after="120" w:line="276" w:lineRule="auto"/>
        <w:ind w:firstLine="720"/>
        <w:jc w:val="both"/>
        <w:rPr>
          <w:rFonts w:ascii="Verdana" w:eastAsia="Verdana" w:hAnsi="Verdana" w:cs="Verdana"/>
        </w:rPr>
      </w:pPr>
      <w:r w:rsidRPr="000565B4">
        <w:rPr>
          <w:rFonts w:ascii="Verdana" w:eastAsia="Verdana" w:hAnsi="Verdana" w:cs="Verdana"/>
        </w:rPr>
        <w:lastRenderedPageBreak/>
        <w:t xml:space="preserve">En segundo lugar, tampoco resulta procedente la regla de terminación unilateral prevista en el inciso segundo del artículo 45 de la Ley 80 de 1993, fundada en la configuración de una causal de nulidad absoluta del contrato por haberse celebrado con una persona incursa en inhabilidad o incompatibilidad. En efecto, esta consecuencia jurídica parte del supuesto previsto en el numeral 1 del artículo 44 </w:t>
      </w:r>
      <w:proofErr w:type="spellStart"/>
      <w:r w:rsidRPr="000565B4">
        <w:rPr>
          <w:rFonts w:ascii="Verdana" w:eastAsia="Verdana" w:hAnsi="Verdana" w:cs="Verdana"/>
          <w:i/>
          <w:iCs/>
        </w:rPr>
        <w:t>ibídem</w:t>
      </w:r>
      <w:proofErr w:type="spellEnd"/>
      <w:r w:rsidRPr="000565B4">
        <w:rPr>
          <w:rFonts w:ascii="Verdana" w:eastAsia="Verdana" w:hAnsi="Verdana" w:cs="Verdana"/>
        </w:rPr>
        <w:t>, esto es, que el contrato se celebre con una persona que, desde el momento de su perfeccionamiento, se encuentre incursa en una causal de inhabilidad o incompatibilidad prevista en la Constitución o la ley.</w:t>
      </w:r>
    </w:p>
    <w:p w14:paraId="3C0B33A7" w14:textId="77777777" w:rsidR="000565B4" w:rsidRPr="000565B4" w:rsidRDefault="000565B4" w:rsidP="000565B4">
      <w:pPr>
        <w:spacing w:after="0" w:line="276" w:lineRule="auto"/>
        <w:ind w:firstLine="720"/>
        <w:jc w:val="both"/>
      </w:pPr>
      <w:r w:rsidRPr="000565B4">
        <w:t xml:space="preserve"> </w:t>
      </w:r>
      <w:r w:rsidRPr="000565B4">
        <w:rPr>
          <w:rFonts w:ascii="Verdana" w:eastAsia="Verdana" w:hAnsi="Verdana" w:cs="Verdana"/>
        </w:rPr>
        <w:t>En contraste, el supuesto objeto de análisis corresponde a una inhabilidad o incompatibilidad sobreviniente; esto es, a una circunstancia que aparece con posterioridad a la celebración del contrato. Precisamente por ello el legislador le otorgó un tratamiento diferenciado en el artículo 9 de la Ley 80 de 1993. En tal virtud, extender a esta hipótesis las consecuencias previstas para las inhabilidades originarias supondría desconocer el carácter taxativo y de interpretación estricta que gobierna el régimen de inhabilidades, incompatibilidades y nulidades en la contratación estatal.</w:t>
      </w:r>
    </w:p>
    <w:p w14:paraId="14C96C75" w14:textId="77777777" w:rsidR="000565B4" w:rsidRPr="000565B4" w:rsidRDefault="000565B4" w:rsidP="000565B4">
      <w:pPr>
        <w:spacing w:after="120" w:line="276" w:lineRule="auto"/>
        <w:jc w:val="both"/>
        <w:rPr>
          <w:rFonts w:ascii="Verdana" w:eastAsia="Verdana" w:hAnsi="Verdana" w:cs="Verdana"/>
        </w:rPr>
      </w:pPr>
    </w:p>
    <w:p w14:paraId="0E526F5E"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vi. La Sección Tercera del Consejo de Estado</w:t>
      </w:r>
      <w:r w:rsidRPr="000565B4">
        <w:rPr>
          <w:rFonts w:ascii="Verdana" w:eastAsia="Verdana" w:hAnsi="Verdana" w:cs="Verdana"/>
          <w:vertAlign w:val="superscript"/>
        </w:rPr>
        <w:footnoteReference w:id="31"/>
      </w:r>
      <w:r w:rsidRPr="000565B4">
        <w:rPr>
          <w:rFonts w:ascii="Verdana" w:eastAsia="Verdana" w:hAnsi="Verdana" w:cs="Verdana"/>
        </w:rPr>
        <w:t xml:space="preserve"> ha explicado que la terminación unilateral del contrato estatal no constituye una institución única, sino un género dentro del cual se distinguen diversas modalidades con presupuestos, finalidades y consecuencias jurídicas diferentes. En ese sentido, precisó que dentro de la terminación unilateral por decisión de la entidad estatal contratante pueden identificarse: i) la terminación unilateral propiamente dicha, regulada por el artículo 17 de la Ley 80 de 1993; </w:t>
      </w:r>
      <w:proofErr w:type="spellStart"/>
      <w:r w:rsidRPr="000565B4">
        <w:rPr>
          <w:rFonts w:ascii="Verdana" w:eastAsia="Verdana" w:hAnsi="Verdana" w:cs="Verdana"/>
        </w:rPr>
        <w:t>ii</w:t>
      </w:r>
      <w:proofErr w:type="spellEnd"/>
      <w:r w:rsidRPr="000565B4">
        <w:rPr>
          <w:rFonts w:ascii="Verdana" w:eastAsia="Verdana" w:hAnsi="Verdana" w:cs="Verdana"/>
        </w:rPr>
        <w:t xml:space="preserve">) la declaratoria de caducidad administrativa del contrato; y </w:t>
      </w:r>
      <w:proofErr w:type="spellStart"/>
      <w:r w:rsidRPr="000565B4">
        <w:rPr>
          <w:rFonts w:ascii="Verdana" w:eastAsia="Verdana" w:hAnsi="Verdana" w:cs="Verdana"/>
        </w:rPr>
        <w:t>iii</w:t>
      </w:r>
      <w:proofErr w:type="spellEnd"/>
      <w:r w:rsidRPr="000565B4">
        <w:rPr>
          <w:rFonts w:ascii="Verdana" w:eastAsia="Verdana" w:hAnsi="Verdana" w:cs="Verdana"/>
        </w:rPr>
        <w:t xml:space="preserve">) la terminación unilateral derivada de la configuración de una causal de nulidad absoluta, prevista en el inciso segundo del artículo 45 de la Ley 80 de 1993. Esta clasificación pone de presente que, aunque las tres instituciones producen la terminación anticipada del vínculo contractual, obedecen a supuestos normativos claramente diferenciados y no pueden confundirse entre sí. </w:t>
      </w:r>
    </w:p>
    <w:p w14:paraId="0B8718BB"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rPr>
        <w:t xml:space="preserve">La primera modalidad corresponde a la terminación unilateral propiamente dicha, regulada por el artículo 17 de la Ley 80 de 1993. Se trata de una potestad excepcional conferida a la Administración para poner fin </w:t>
      </w:r>
      <w:r w:rsidRPr="000565B4">
        <w:rPr>
          <w:rFonts w:ascii="Verdana" w:eastAsia="Verdana" w:hAnsi="Verdana" w:cs="Verdana"/>
        </w:rPr>
        <w:lastRenderedPageBreak/>
        <w:t xml:space="preserve">anticipadamente al contrato cuando las exigencias del servicio público lo requieran o la situación de orden público lo </w:t>
      </w:r>
      <w:r w:rsidRPr="000565B4">
        <w:rPr>
          <w:rFonts w:ascii="Verdana" w:eastAsia="Verdana" w:hAnsi="Verdana" w:cs="Verdana"/>
          <w:color w:val="000000"/>
        </w:rPr>
        <w:t>imponga. A diferencia de las demás modalidades, esta facultad no presupone un incumplimiento del contratista, ni la existencia de un vicio que afecte la validez del contrato desde su celebración. Su fundamento radica en la necesidad de garantizar la continuidad, eficiencia y adecuada prestación del servicio público, permitiendo a la Administración adoptar decisiones orientadas a proteger el interés general cuando sobrevienen circunstancias que hacen incompatible la permanencia del vínculo contractual con los fines que justificaron su celebración. Precisamente por ello, la terminación prevista en el artículo 17 constituye una potestad de naturaleza preventiva y no sancionatoria, cuya finalidad consiste en preservar la correcta satisfacción del interés público y no en reprochar una conducta atribuible al contratista.</w:t>
      </w:r>
    </w:p>
    <w:p w14:paraId="58CC7E85"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La caracterización de la terminación unilateral del artículo 17 como potestad excepcional impone considerar el régimen del artículo 14 de la Ley 80 de 1993, que condiciona su procedencia en un doble sentido. En primer término, conforme al numeral 2 del artículo 14, las cláusulas excepcionales de terminación, interpretación y modificación unilaterales se pactan obligatoriamente en los contratos que tengan por objeto el ejercicio de una actividad que constituya monopolio estatal, la prestación de servicios públicos o la explotación y concesión de bienes del Estado, así como en los contratos de obra; son de pacto facultativo en los contratos de suministro y de prestación de servicios; y se encuentran excluidas en las demás tipologías contractuales señaladas por la norma. De ello se sigue que la terminación unilateral no constituye una herramienta universalmente disponible: su ejercicio presupone que, en el contrato respectivo, la cláusula excepcional se haya pactado o se entienda pactada por ministerio de la ley. En los contratos en los que dicha potestad no resulte procedente, la entidad deberá acudir a los demás mecanismos señalados en este concepto, en particular la terminación de mutuo acuerdo o la intervención del juez del contrato.</w:t>
      </w:r>
    </w:p>
    <w:p w14:paraId="381EA42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En segundo término, el numeral 1 del artículo 14 dispone que, al ejercer las potestades excepcionales, deberá procederse al reconocimiento y orden de pago de las compensaciones e indemnizaciones a que tengan derecho las personas objeto de tales medidas, aplicando los mecanismos de ajuste de las condiciones y términos contractuales a que haya lugar para mantener la </w:t>
      </w:r>
      <w:r w:rsidRPr="000565B4">
        <w:rPr>
          <w:rFonts w:ascii="Verdana" w:eastAsia="Verdana" w:hAnsi="Verdana" w:cs="Verdana"/>
          <w:color w:val="000000"/>
        </w:rPr>
        <w:lastRenderedPageBreak/>
        <w:t>ecuación o equilibrio inicial. Esta previsión exige una consideración cuidadosa en el supuesto analizado. La jurisprudencia constitucional que examinó el artículo 9 de la Ley 80 de 1993 precisó que las consecuencias derivadas de la inhabilidad sobreviniente —la cesión o, en el caso del contratista individual, la renuncia— constituyen medidas objetivas que no tienen carácter sancionatorio ni comprometen la responsabilidad de la administración, precisamente porque la situación que las origina no proviene de una actuación antijurídica de la entidad, sino de un hecho radicado en la esfera del contratista. En consecuencia, cuando la terminación unilateral del numeral 1 del artículo 17 se adopte como consecuencia del fracaso del mecanismo de cesión, la entidad deberá examinar en el acto administrativo el alcance de los reconocimientos a que se refiere el numeral 1 del artículo 14, cuidando que la situación originada en la esfera del integrante inhabilitado —y, en particular, el incumplimiento de su deber legal de ceder— no se convierta en fuente de reconocimientos patrimoniales injustificados a favor del contratista, sin perjuicio de los derechos derivados de las prestaciones efectivamente ejecutadas.</w:t>
      </w:r>
    </w:p>
    <w:p w14:paraId="0A8D802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Una modalidad distinta es la caducidad, regulada en el artículo 18 de la Ley 80 de 1993. Esta institución tiene un marcado carácter sancionatorio y procede cuando se presenta un incumplimiento grave de las obligaciones contractuales por parte del contratista que afecte de manera directa la ejecución del contrato y evidencie que puede conducir a su paralización. La declaratoria de caducidad presupone, por tanto, la existencia de un comportamiento imputable al contratista que compromete el cumplimiento del objeto contractual y faculta a la entidad para poner fin al contrato, hacer efectivas las garantías e imponer las consecuencias previstas por la ley, incluida la inhabilidad para contratar con el Estado durante el término legal correspondiente. Se trata, entonces, de una medida de reacción frente al incumplimiento contractual y no de un mecanismo destinado a resolver circunstancias sobrevinientes que afectan la posibilidad jurídica de continuar la ejecución del contrato.</w:t>
      </w:r>
    </w:p>
    <w:p w14:paraId="717B4E22"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 xml:space="preserve">Finalmente, la tercera modalidad corresponde a la terminación unilateral por configuración de una causal de nulidad absoluta, prevista en el inciso segundo del artículo 45 de la Ley 80 de 1993. En este evento, la Administración se encuentra facultada para dar por terminado el contrato cuando se configure alguna de las causales de nulidad absoluta previstas en el artículo 44 del mismo estatuto, entre ellas, la celebración del contrato con una persona incursa en una </w:t>
      </w:r>
      <w:r w:rsidRPr="000565B4">
        <w:rPr>
          <w:rFonts w:ascii="Verdana" w:eastAsia="Verdana" w:hAnsi="Verdana" w:cs="Verdana"/>
        </w:rPr>
        <w:lastRenderedPageBreak/>
        <w:t>causal de inhabilidad o incompatibilidad. Como ya se explicó, esta figura parte de un supuesto completamente distinto al que aquí se analiza, pues supone que el vicio existía desde el momento mismo de la celebración del contrato, afectando su validez desde el origen. En consecuencia, no resulta jurídicamente procedente extender esta modalidad a los eventos de inhabilidad sobreviniente, respecto de los cuales el propio legislador estableció un régimen especial en el artículo 9 de la Ley 80 de 1993.</w:t>
      </w:r>
    </w:p>
    <w:p w14:paraId="22715DFF"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sz w:val="24"/>
          <w:szCs w:val="24"/>
        </w:rPr>
      </w:pPr>
      <w:r w:rsidRPr="000565B4">
        <w:rPr>
          <w:rFonts w:ascii="Verdana" w:eastAsia="Verdana" w:hAnsi="Verdana" w:cs="Verdana"/>
        </w:rPr>
        <w:t>Precisadas las diferencias entre estas modalidades de terminación unilateral, considera esta Agencia que el supuesto objeto de consulta encuentra adecuada respuesta en la facultad prevista en el numeral 1 del artículo 17 de la Ley 80 de 1993. En este aspecto, una vez la entidad ha garantizado el debido proceso, ha declarado la configuración de la inhabilidad sobreviniente y ha requerido al integrante afectado para que cumpla el deber legal de ceder su participación, la negativa injustificada a hacerlo o la imposibilidad objetiva de materializar la cesión hacen fracasar el mecanismo expresamente diseñado por el legislador para conservar el contrato. En esas condiciones, la Administración ya no cuenta con un instrumento que permita mantener la ejecución del contrato en armonía con el régimen de inhabilidades e incompatibilidades, por lo que la permanencia del integrante inhabilitado resulta incompatible con los principios de moralidad, transparencia y legalidad que informan la contratación estatal.</w:t>
      </w:r>
    </w:p>
    <w:p w14:paraId="722FCBFC"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rPr>
      </w:pPr>
      <w:r w:rsidRPr="000565B4">
        <w:rPr>
          <w:rFonts w:ascii="Verdana" w:eastAsia="Verdana" w:hAnsi="Verdana" w:cs="Verdana"/>
        </w:rPr>
        <w:t xml:space="preserve">En esta situación, la continuidad del contrato deja de satisfacer las exigencias del servicio público a las que alude el artículo 17 de la Ley 80 de 1993. Ello, porque la finalidad del régimen de inhabilidades sobrevinientes, como lo explicó la Corte Constitucional en la Sentencia C-221 de 1996, consiste en impedir que quien se encuentra incurso en una causal de inhabilidad continúe vinculado contractualmente con el Estado. Si el mecanismo previsto para lograr ese propósito, que es la cesión de la participación del integrante afectado, no puede hacerse efectivo, la Administración no puede permitir indefinidamente la ejecución del contrato en condiciones contrarias al ordenamiento jurídico, pues ello supondría desconocer precisamente la finalidad perseguida por el artículo 9 de la Ley 80 de 1993. Desde esta perspectiva, la terminación unilateral prevista en el numeral 1 del artículo 17 no constituye una sanción frente al contratista ni una consecuencia derivada de la invalidez del contrato, sino una medida que permite restablecer la legalidad de la actividad contractual y garantizar que la </w:t>
      </w:r>
      <w:r w:rsidRPr="000565B4">
        <w:rPr>
          <w:rFonts w:ascii="Verdana" w:eastAsia="Verdana" w:hAnsi="Verdana" w:cs="Verdana"/>
        </w:rPr>
        <w:lastRenderedPageBreak/>
        <w:t xml:space="preserve">prestación del servicio público continúe desarrollándose conforme a los principios que rigen la contratación estatal.  </w:t>
      </w:r>
    </w:p>
    <w:p w14:paraId="2EB18646" w14:textId="77777777" w:rsidR="000565B4" w:rsidRPr="000565B4" w:rsidRDefault="000565B4" w:rsidP="000565B4">
      <w:pPr>
        <w:spacing w:after="120" w:line="276" w:lineRule="auto"/>
        <w:ind w:firstLine="708"/>
        <w:jc w:val="both"/>
        <w:rPr>
          <w:rFonts w:ascii="Verdana" w:eastAsia="Verdana" w:hAnsi="Verdana" w:cs="Verdana"/>
          <w:color w:val="000000"/>
        </w:rPr>
      </w:pPr>
      <w:r w:rsidRPr="000565B4">
        <w:rPr>
          <w:rFonts w:ascii="Verdana" w:eastAsia="Verdana" w:hAnsi="Verdana" w:cs="Verdana"/>
          <w:color w:val="000000"/>
          <w:highlight w:val="white"/>
        </w:rPr>
        <w:t>Ahora bien, el ejercicio de la facultad excepcional prevista en el numeral 1 del artículo 17 de la Ley 80 de 1993 exige una motivación rigurosa, dado que se trata de una potestad exorbitante que únicamente puede ejercerse en los estrictos eventos autorizados por el legislador. En efecto, el Consejo de Estado</w:t>
      </w:r>
      <w:r w:rsidRPr="000565B4">
        <w:rPr>
          <w:rFonts w:ascii="Verdana" w:eastAsia="Verdana" w:hAnsi="Verdana" w:cs="Verdana"/>
          <w:color w:val="000000"/>
          <w:highlight w:val="white"/>
          <w:vertAlign w:val="superscript"/>
        </w:rPr>
        <w:footnoteReference w:id="32"/>
      </w:r>
      <w:r w:rsidRPr="000565B4">
        <w:rPr>
          <w:rFonts w:ascii="Verdana" w:eastAsia="Verdana" w:hAnsi="Verdana" w:cs="Verdana"/>
          <w:color w:val="000000"/>
          <w:highlight w:val="white"/>
        </w:rPr>
        <w:t xml:space="preserve"> ha señalado </w:t>
      </w:r>
      <w:r w:rsidRPr="000565B4">
        <w:rPr>
          <w:rFonts w:ascii="Verdana" w:eastAsia="Verdana" w:hAnsi="Verdana" w:cs="Verdana"/>
          <w:color w:val="000000"/>
        </w:rPr>
        <w:t xml:space="preserve">que la facultad de terminación unilateral constituye una potestad de carácter excepcional y, por ello, no puede ejercerse con fundamento en causales distintas de las previstas por el legislador. En efecto, precisó que las consideraciones y construcciones teóricas sobre los modos normales y anormales de terminación de los contratos estatales no pueden interpretarse como una habilitación jurisprudencial para ejercer la facultad de terminación unilateral de los contratos bajo causales no previstas en la Ley y agregó que la excepcionalidad de esta potestad implica su ejercicio bajo la estricta delimitación legal, razón por la cual se impone a los operadores jurídicos una obligación de interpretar de forma restrictiva su procedencia, sin que sea admisible su ejercicio por fundarse en una causal inexistente en la Ley. </w:t>
      </w:r>
    </w:p>
    <w:p w14:paraId="6B78EB7E"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Precisamente por ello, considera esta Agencia que la situación objeto de consulta no supone la creación de una nueva causal de terminación unilateral, sino la aplicación de una de las hipótesis expresamente previstas en el numeral 1 del artículo 17 de la Ley 80 de 1993, cuyo tenor literal dispone: “La entidad en acto administrativo debidamente motivado dispondrá la terminación anticipada del contrato en los siguientes eventos: 1o. Cuando las exigencias del servicio público lo requieran o la situación de orden público lo imponga […]”. En efecto, una vez agotado el procedimiento administrativo para declarar la inhabilidad sobreviniente, garantizado el debido proceso y constatado que el integrante del consorcio o unión temporal incumplió el deber legal de ceder su participación o que la cesión resultó objetivamente imposible, la entidad se enfrenta a una situación en la que el mecanismo previsto por el artículo 9 de la Ley 80 para conservar el contrato ha fracasado. Como consecuencia de ello, la Administración ya no cuenta con un instrumento jurídico que permita remover la permanencia del integrante inhabilitado y, por tanto, la continuación del </w:t>
      </w:r>
      <w:r w:rsidRPr="000565B4">
        <w:rPr>
          <w:rFonts w:ascii="Verdana" w:eastAsia="Verdana" w:hAnsi="Verdana" w:cs="Verdana"/>
          <w:color w:val="000000"/>
        </w:rPr>
        <w:lastRenderedPageBreak/>
        <w:t>contrato resulta incompatible con las exigencias del servicio público, pues implicaría mantener vigente una relación contractual en abierta contradicción con el régimen de inhabilidades e incompatibilidades diseñado por el legislador.</w:t>
      </w:r>
    </w:p>
    <w:p w14:paraId="18EF263B"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Así las cosas, la motivación del acto administrativo no puede limitarse a afirmar la existencia de una inhabilidad sobreviniente o la negativa del contratista a ceder su participación. La entidad deberá explicar de manera suficiente por qué, en las circunstancias concretas del caso, el incumplimiento del deber legal de cesión hace imposible mantener la ejecución del contrato dentro del marco de la legalidad y por qué esa circunstancia compromete la adecuada satisfacción del interés general y las exigencias del servicio público a que se refiere el numeral 1 del artículo 17 de la Ley 80 de 1993. En torno al primer supuesto de esta causal de terminación “Cuando las exigencias del servicio público lo requieran”, la doctrina expresa: </w:t>
      </w:r>
    </w:p>
    <w:p w14:paraId="299A56D0" w14:textId="77777777" w:rsidR="000565B4" w:rsidRPr="000565B4" w:rsidRDefault="000565B4" w:rsidP="000565B4">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 xml:space="preserve">[…] expresa que procederá la terminación unilateral del contrato cuando con la ejecución del objeto pactado se afecte alguna de las necesidades propias de los administrados que deben ser satisfechas por el Estado, de forma tal que: de una parte, afecte la actividad administrativa que se quiere realizar con la celebración del negocio o, de otra, la consecuencia de aquello encargado por la Administración a su contratista, no obstante permitir la cabal prestación del servicio público propio del contrato, perjudica la actividad estatal en su conjunto. </w:t>
      </w:r>
    </w:p>
    <w:p w14:paraId="210137F1" w14:textId="77777777" w:rsidR="000565B4" w:rsidRPr="000565B4" w:rsidRDefault="000565B4" w:rsidP="000565B4">
      <w:pPr>
        <w:pBdr>
          <w:top w:val="nil"/>
          <w:left w:val="nil"/>
          <w:bottom w:val="nil"/>
          <w:right w:val="nil"/>
          <w:between w:val="nil"/>
        </w:pBdr>
        <w:spacing w:after="0" w:line="240" w:lineRule="auto"/>
        <w:ind w:left="709" w:right="709"/>
        <w:jc w:val="both"/>
        <w:rPr>
          <w:rFonts w:ascii="Verdana" w:eastAsia="Verdana" w:hAnsi="Verdana" w:cs="Verdana"/>
          <w:color w:val="000000"/>
          <w:sz w:val="20"/>
          <w:szCs w:val="20"/>
        </w:rPr>
      </w:pPr>
      <w:r w:rsidRPr="000565B4">
        <w:rPr>
          <w:rFonts w:ascii="Verdana" w:eastAsia="Verdana" w:hAnsi="Verdana" w:cs="Verdana"/>
          <w:color w:val="000000"/>
          <w:sz w:val="20"/>
          <w:szCs w:val="20"/>
        </w:rPr>
        <w:t>Se trata, entonces, de una causal que atiende al estudio de la Administración en su conjunto, como un aparato engranado en el que todas las entidades que lo conforman deben actuar bajo un mismo objetivo, cuál es la satisfacción del interés general mediante la continua y eficiente prestación de los servicios públicos, evitando que las funciones y campo de acción de cada una de ellas interfieran entre sí”</w:t>
      </w:r>
      <w:r w:rsidRPr="000565B4">
        <w:rPr>
          <w:rFonts w:ascii="Verdana" w:eastAsia="Verdana" w:hAnsi="Verdana" w:cs="Verdana"/>
          <w:color w:val="000000"/>
          <w:sz w:val="20"/>
          <w:szCs w:val="20"/>
          <w:vertAlign w:val="superscript"/>
        </w:rPr>
        <w:footnoteReference w:id="33"/>
      </w:r>
      <w:r w:rsidRPr="000565B4">
        <w:rPr>
          <w:rFonts w:ascii="Verdana" w:eastAsia="Verdana" w:hAnsi="Verdana" w:cs="Verdana"/>
          <w:color w:val="000000"/>
          <w:sz w:val="20"/>
          <w:szCs w:val="20"/>
        </w:rPr>
        <w:t xml:space="preserve">. </w:t>
      </w:r>
    </w:p>
    <w:p w14:paraId="46CBCBE0"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p>
    <w:p w14:paraId="13593A7A"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Una motivación rigurosa constituye un presupuesto indispensable para el ejercicio válido de esta potestad excepcional, en tanto permite demostrar que la decisión se adopta para preservar la adecuada prestación del servicio público y no como resultado de apreciaciones arbitrarias o ajenas a la realidad fáctica. Solo a partir de una exposición clara, completa y verificable de las razones que justifican la intervención administrativa es posible asegurar que la autoridad actuó dentro de los límites de la legalidad y con sujeción al principio de </w:t>
      </w:r>
      <w:r w:rsidRPr="000565B4">
        <w:rPr>
          <w:rFonts w:ascii="Verdana" w:eastAsia="Verdana" w:hAnsi="Verdana" w:cs="Verdana"/>
          <w:color w:val="000000"/>
        </w:rPr>
        <w:lastRenderedPageBreak/>
        <w:t>proporcionalidad. Al respecto, el Consejo de Estado ha expresado que, "</w:t>
      </w:r>
      <w:r w:rsidRPr="000565B4">
        <w:rPr>
          <w:rFonts w:ascii="Verdana" w:eastAsia="Verdana" w:hAnsi="Verdana" w:cs="Verdana"/>
          <w:i/>
          <w:iCs/>
          <w:color w:val="000000"/>
        </w:rPr>
        <w:t>si los fundamentos de hecho y de derecho que aduce la entidad para su declaratoria no se acompasan con aquellos que dan lugar a la aplicación de esta figura, el acto demandado estará viciado y habrá lugar a declarar su nulidad</w:t>
      </w:r>
      <w:r w:rsidRPr="000565B4">
        <w:rPr>
          <w:rFonts w:ascii="Verdana" w:eastAsia="Verdana" w:hAnsi="Verdana" w:cs="Verdana"/>
          <w:color w:val="000000"/>
        </w:rPr>
        <w:t>"</w:t>
      </w:r>
      <w:r w:rsidRPr="000565B4">
        <w:rPr>
          <w:rFonts w:ascii="Verdana" w:eastAsia="Verdana" w:hAnsi="Verdana" w:cs="Verdana"/>
          <w:color w:val="000000"/>
          <w:vertAlign w:val="superscript"/>
        </w:rPr>
        <w:footnoteReference w:id="34"/>
      </w:r>
      <w:r w:rsidRPr="000565B4">
        <w:rPr>
          <w:rFonts w:ascii="Verdana" w:eastAsia="Verdana" w:hAnsi="Verdana" w:cs="Verdana"/>
          <w:color w:val="000000"/>
        </w:rPr>
        <w:t xml:space="preserve">. </w:t>
      </w:r>
    </w:p>
    <w:p w14:paraId="61251596"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highlight w:val="yellow"/>
        </w:rPr>
      </w:pPr>
      <w:r w:rsidRPr="000565B4">
        <w:rPr>
          <w:rFonts w:ascii="Verdana" w:eastAsia="Verdana" w:hAnsi="Verdana" w:cs="Verdana"/>
          <w:color w:val="000000"/>
        </w:rPr>
        <w:t>Lo anterior se explica porque la motivación no es un requisito meramente formal del acto de terminación unilateral o de caducidad, sino la garantía que permite controlar que la potestad excepcional se ejerció dentro de la causal legal invocada. Sobre el particular, la jurisprudencia contencioso administrativa ha reiterado que el vicio de falsa motivación se configura cuando se demuestra una de dos circunstancias: que los hechos que la Administración tuvo en cuenta como motivos determinantes de la decisión no estuvieron debidamente probados dentro de la actuación administrativa, o que la Administración omitió tener en cuenta hechos que sí estaban demostrados y que, de haberse considerado, habrían conducido a una decisión sustancialmente distinta</w:t>
      </w:r>
      <w:r w:rsidRPr="000565B4">
        <w:rPr>
          <w:rFonts w:ascii="Verdana" w:eastAsia="Verdana" w:hAnsi="Verdana" w:cs="Verdana"/>
          <w:color w:val="000000"/>
          <w:vertAlign w:val="superscript"/>
        </w:rPr>
        <w:footnoteReference w:id="35"/>
      </w:r>
      <w:r w:rsidRPr="000565B4">
        <w:rPr>
          <w:rFonts w:ascii="Verdana" w:eastAsia="Verdana" w:hAnsi="Verdana" w:cs="Verdana"/>
          <w:color w:val="000000"/>
        </w:rPr>
        <w:t xml:space="preserve">. Trasladada esta regla al supuesto analizado, el acto que disponga la terminación unilateral con fundamento en el numeral 1 del artículo 17 de la Ley 80 de 1993 deberá acreditar, con soporte probatorio verificable, los tres extremos que estructuran la causal en este escenario: i) la declaratoria previa de la inhabilidad sobreviniente, adoptada con observancia del debido proceso; </w:t>
      </w:r>
      <w:proofErr w:type="spellStart"/>
      <w:r w:rsidRPr="000565B4">
        <w:rPr>
          <w:rFonts w:ascii="Verdana" w:eastAsia="Verdana" w:hAnsi="Verdana" w:cs="Verdana"/>
          <w:color w:val="000000"/>
        </w:rPr>
        <w:t>ii</w:t>
      </w:r>
      <w:proofErr w:type="spellEnd"/>
      <w:r w:rsidRPr="000565B4">
        <w:rPr>
          <w:rFonts w:ascii="Verdana" w:eastAsia="Verdana" w:hAnsi="Verdana" w:cs="Verdana"/>
          <w:color w:val="000000"/>
        </w:rPr>
        <w:t xml:space="preserve">) el agotamiento infructuoso del mecanismo de cesión previsto en el inciso tercero del artículo 9, mediante el requerimiento al integrante afectado y la constatación de su renuencia o de la imposibilidad objetiva de materializar la cesión; y </w:t>
      </w:r>
      <w:proofErr w:type="spellStart"/>
      <w:r w:rsidRPr="000565B4">
        <w:rPr>
          <w:rFonts w:ascii="Verdana" w:eastAsia="Verdana" w:hAnsi="Verdana" w:cs="Verdana"/>
          <w:color w:val="000000"/>
        </w:rPr>
        <w:t>iii</w:t>
      </w:r>
      <w:proofErr w:type="spellEnd"/>
      <w:r w:rsidRPr="000565B4">
        <w:rPr>
          <w:rFonts w:ascii="Verdana" w:eastAsia="Verdana" w:hAnsi="Verdana" w:cs="Verdana"/>
          <w:color w:val="000000"/>
        </w:rPr>
        <w:t>) la afectación real y actual que la permanencia del integrante inhabilitado produce sobre las exigencias del servicio público. La ausencia de cualquiera de estos elementos, o su afirmación sin respaldo probatorio, priva al acto de correspondencia con la causal invocada y lo expone a la declaratoria de nulidad.</w:t>
      </w:r>
    </w:p>
    <w:p w14:paraId="66BA0F54"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color w:val="000000"/>
        </w:rPr>
      </w:pPr>
      <w:r w:rsidRPr="000565B4">
        <w:rPr>
          <w:rFonts w:ascii="Verdana" w:eastAsia="Verdana" w:hAnsi="Verdana" w:cs="Verdana"/>
          <w:color w:val="000000"/>
        </w:rPr>
        <w:t xml:space="preserve">Idéntica exigencia opera, con mayor rigor, respecto de la caducidad, dado su carácter sancionatorio. El Consejo de Estado ha precisado que esta potestad solo procede ante un incumplimiento de las obligaciones a cargo del contratista que afecte de manera grave y directa la ejecución del contrato y evidencie que </w:t>
      </w:r>
      <w:r w:rsidRPr="000565B4">
        <w:rPr>
          <w:rFonts w:ascii="Verdana" w:eastAsia="Verdana" w:hAnsi="Verdana" w:cs="Verdana"/>
          <w:color w:val="000000"/>
        </w:rPr>
        <w:lastRenderedPageBreak/>
        <w:t>puede conducir a su paralización, presupuestos que deben encontrarse plenamente acreditados al momento de la declaratoria y dentro del plazo de ejecución del contrato</w:t>
      </w:r>
      <w:r w:rsidRPr="000565B4">
        <w:rPr>
          <w:rFonts w:ascii="Verdana" w:eastAsia="Verdana" w:hAnsi="Verdana" w:cs="Verdana"/>
          <w:color w:val="000000"/>
          <w:vertAlign w:val="superscript"/>
        </w:rPr>
        <w:footnoteReference w:id="36"/>
      </w:r>
      <w:r w:rsidRPr="000565B4">
        <w:rPr>
          <w:rFonts w:ascii="Verdana" w:eastAsia="Verdana" w:hAnsi="Verdana" w:cs="Verdana"/>
          <w:color w:val="000000"/>
        </w:rPr>
        <w:t>. Por ello, el acto que declare la caducidad invocando como único fundamento la configuración de la inhabilidad sobreviniente —que, como se explicó, no constituye por sí misma un incumplimiento contractual— incurriría en falsa motivación, pues los hechos invocados no corresponderían a la causal aplicada. Distinto es el evento en que la entidad acredite que la renuencia persistente del integrante a cumplir el deber legal de cesión, valorada en las circunstancias concretas del contrato, configura un incumplimiento grave con aptitud de paralizar la ejecución: en tal caso, la motivación deberá construirse sobre ese incumplimiento y su incidencia en el contrato, y no sobre la inhabilidad como tal. Esta exigencia de correspondencia entre causal y motivación es, en últimas, expresión del principio de legalidad que gobierna las potestades excepcionales: como lo ha sostenido la Sección Tercera, la Administración no puede ejercer prerrogativas de poder público sin consagración legal expresa, ni por fuera de los supuestos estrictamente delimitados por el legislador</w:t>
      </w:r>
      <w:r w:rsidRPr="000565B4">
        <w:rPr>
          <w:rFonts w:ascii="Verdana" w:eastAsia="Verdana" w:hAnsi="Verdana" w:cs="Verdana"/>
          <w:color w:val="000000"/>
          <w:vertAlign w:val="superscript"/>
        </w:rPr>
        <w:footnoteReference w:id="37"/>
      </w:r>
      <w:r w:rsidRPr="000565B4">
        <w:rPr>
          <w:rFonts w:ascii="Verdana" w:eastAsia="Verdana" w:hAnsi="Verdana" w:cs="Verdana"/>
          <w:color w:val="000000"/>
        </w:rPr>
        <w:t>, de modo que la motivación rigurosa del acto es simultáneamente la condición de su validez y la principal salvaguarda de la entidad frente al riesgo de anulación y de condena patrimonial en sede judicial.</w:t>
      </w:r>
    </w:p>
    <w:p w14:paraId="0AEB02AE" w14:textId="77777777" w:rsidR="000565B4" w:rsidRPr="000565B4" w:rsidRDefault="000565B4" w:rsidP="000565B4">
      <w:pPr>
        <w:pBdr>
          <w:top w:val="nil"/>
          <w:left w:val="nil"/>
          <w:bottom w:val="nil"/>
          <w:right w:val="nil"/>
          <w:between w:val="nil"/>
        </w:pBdr>
        <w:spacing w:line="276" w:lineRule="auto"/>
        <w:ind w:firstLine="720"/>
        <w:jc w:val="both"/>
        <w:rPr>
          <w:rFonts w:ascii="Verdana" w:eastAsia="Verdana" w:hAnsi="Verdana" w:cs="Verdana"/>
        </w:rPr>
      </w:pPr>
      <w:r w:rsidRPr="000565B4">
        <w:rPr>
          <w:rFonts w:ascii="Verdana" w:eastAsia="Verdana" w:hAnsi="Verdana" w:cs="Verdana"/>
        </w:rPr>
        <w:t xml:space="preserve">En esa medida, la sola configuración del supuesto o previsto en el numeral 1 del artículo 17 no habilita automáticamente a la Administración para declarar la terminación unilateral del contrato, pues el ejercicio de esta potestad exige que la entidad exponga de manera suficiente y verificable por qué, en las circunstancias concretas del caso, se satisfacen los presupuestos previstos en el numeral 1 del artículo 17 de la Ley 80 de 1993. Ello implica demostrar que la inhabilidad sobreviniente afecta de manera real y significativa la prestación del </w:t>
      </w:r>
      <w:r w:rsidRPr="000565B4">
        <w:rPr>
          <w:rFonts w:ascii="Verdana" w:eastAsia="Verdana" w:hAnsi="Verdana" w:cs="Verdana"/>
        </w:rPr>
        <w:lastRenderedPageBreak/>
        <w:t xml:space="preserve">servicio público, y que la decisión adoptada es necesaria y proporcional frente a dicha afectación. </w:t>
      </w:r>
    </w:p>
    <w:p w14:paraId="74D275AB"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ab/>
        <w:t xml:space="preserve">En todo caso, la entidad está obligada a examinar alternativas o mecanismos que permitan gestionar o superar la situación derivada de la inhabilidad sobreviniente, de manera que la terminación unilateral solo se adopte cuando resulte estrictamente necesaria para proteger el interés público y garantizar la continuidad del servicio. En todo caso, cuando ello sea viable y compatible con los fines de la contratación estatal, la entidad puede explorar la posibilidad de llegar a un acuerdo con el contratista para la terminación del contrato, privilegiando soluciones concertadas que reduzcan los impactos negativos sobre la gestión de la Administración Pública. </w:t>
      </w:r>
    </w:p>
    <w:p w14:paraId="48F9249F" w14:textId="77777777" w:rsidR="000565B4" w:rsidRPr="000565B4" w:rsidRDefault="000565B4" w:rsidP="000565B4">
      <w:pPr>
        <w:spacing w:after="120" w:line="276" w:lineRule="auto"/>
        <w:jc w:val="both"/>
        <w:rPr>
          <w:rFonts w:ascii="Verdana" w:eastAsia="Verdana" w:hAnsi="Verdana" w:cs="Verdana"/>
        </w:rPr>
      </w:pPr>
      <w:r w:rsidRPr="000565B4">
        <w:rPr>
          <w:rFonts w:ascii="Verdana" w:eastAsia="Verdana" w:hAnsi="Verdana" w:cs="Verdana"/>
        </w:rPr>
        <w:tab/>
        <w:t>Por último, cuando la entidad no disponga de la potestad de terminación unilateral —por no haberse pactado ni entenderse pactada la cláusula excepcional conforme al artículo 14 de la Ley 80 de 1993— o cuando considere que los presupuestos del numeral 1 del artículo 17 no se satisfacen en el caso concreto, el ordenamiento contempla la posibilidad de acudir al juez del contrato mediante el medio de control de controversias contractuales previsto en el artículo 141 de la Ley 1437 de 2011. Por esta vía, la entidad puede solicitar que se declare la terminación del vínculo contractual y se definan las restituciones, reconocimientos y demás consecuencias a que haya lugar, con la garantía de un pronunciamiento judicial que resuelva de manera definitiva la situación de bloqueo derivada del incumplimiento del deber legal de cesión. Esta alternativa confirma, además, que la imposibilidad de materializar la cesión no deja a la administración desprovista de mecanismos: el sistema jurídico ofrece una gradación de instrumentos —requerimiento de cumplimiento, solución concertada, potestades excepcionales cuando resulten procedentes y, residualmente, la intervención del juez del contrato— que permiten restablecer la legalidad de la actividad contractual sin sacrificar las garantías del contratista.</w:t>
      </w:r>
    </w:p>
    <w:p w14:paraId="18FEB936" w14:textId="77777777" w:rsidR="000565B4" w:rsidRPr="000565B4" w:rsidRDefault="000565B4" w:rsidP="000565B4">
      <w:pPr>
        <w:spacing w:after="0" w:line="276" w:lineRule="auto"/>
        <w:jc w:val="both"/>
        <w:rPr>
          <w:rFonts w:ascii="Verdana" w:eastAsia="Verdana" w:hAnsi="Verdana" w:cs="Verdana"/>
        </w:rPr>
      </w:pPr>
      <w:r w:rsidRPr="000565B4">
        <w:rPr>
          <w:rFonts w:ascii="Verdana" w:eastAsia="Verdana" w:hAnsi="Verdana" w:cs="Verdana"/>
        </w:rPr>
        <w:tab/>
        <w:t xml:space="preserve">Finalmente, la conclusión expuesta constituye una precisión del alcance de la doctrina de esta Subdirección contenida en el Concepto C-059 del 13 de junio de 2023, conforme a la cual, ante la inhabilidad sobreviniente de un integrante de consorcio o unión temporal, el ordenamiento prevé como único mecanismo para la continuidad del contrato la cesión de la participación a un tercero, previa autorización escrita de la entidad. Esa conclusión se mantiene íntegramente en lo que constituye su núcleo: la cesión es el único instrumento </w:t>
      </w:r>
      <w:r w:rsidRPr="000565B4">
        <w:rPr>
          <w:rFonts w:ascii="Verdana" w:eastAsia="Verdana" w:hAnsi="Verdana" w:cs="Verdana"/>
        </w:rPr>
        <w:lastRenderedPageBreak/>
        <w:t>diseñado por el legislador para conservar el vínculo contractual. El presente concepto la complementa respecto de un supuesto que aquel pronunciamiento no resolvió expresamente: el del fracaso del mecanismo de cesión por la renuencia del integrante o por la imposibilidad objetiva de materializarla. Frente a ese escenario, se precisa que la entidad no está obligada a mantener indefinidamente la ejecución del contrato en condiciones contrarias al régimen de inhabilidades e incompatibilidades, sino que podrá valorar la procedencia de la terminación unilateral prevista en el numeral 1 del artículo 17 de la Ley 80 de 1993, en los términos y con los condicionamientos expuestos en este concepto. Esta precisión garantiza la coherencia de la doctrina de la Subdirección registrada en el Sistema de Relatoría.</w:t>
      </w:r>
    </w:p>
    <w:p w14:paraId="7F141119" w14:textId="77777777" w:rsidR="000565B4" w:rsidRPr="000565B4" w:rsidRDefault="000565B4" w:rsidP="000565B4">
      <w:pPr>
        <w:spacing w:after="0" w:line="276" w:lineRule="auto"/>
        <w:jc w:val="both"/>
        <w:rPr>
          <w:rFonts w:ascii="Verdana" w:eastAsia="Verdana" w:hAnsi="Verdana" w:cs="Verdana"/>
        </w:rPr>
      </w:pPr>
    </w:p>
    <w:p w14:paraId="3FE0ED09" w14:textId="77777777" w:rsidR="000565B4" w:rsidRPr="000565B4" w:rsidRDefault="000565B4" w:rsidP="000565B4">
      <w:pPr>
        <w:spacing w:after="120" w:line="276" w:lineRule="auto"/>
        <w:jc w:val="both"/>
        <w:rPr>
          <w:rFonts w:ascii="Verdana" w:eastAsia="Verdana" w:hAnsi="Verdana" w:cs="Verdana"/>
        </w:rPr>
      </w:pPr>
      <w:proofErr w:type="spellStart"/>
      <w:r w:rsidRPr="000565B4">
        <w:rPr>
          <w:rFonts w:ascii="Verdana" w:eastAsia="Verdana" w:hAnsi="Verdana" w:cs="Verdana"/>
        </w:rPr>
        <w:t>vii</w:t>
      </w:r>
      <w:proofErr w:type="spellEnd"/>
      <w:r w:rsidRPr="000565B4">
        <w:rPr>
          <w:rFonts w:ascii="Verdana" w:eastAsia="Verdana" w:hAnsi="Verdana" w:cs="Verdana"/>
        </w:rPr>
        <w:t xml:space="preserve">. 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32F23CF9" w14:textId="77777777" w:rsidR="000565B4" w:rsidRPr="000565B4" w:rsidRDefault="000565B4" w:rsidP="000565B4">
      <w:pPr>
        <w:spacing w:after="0" w:line="276" w:lineRule="auto"/>
        <w:ind w:firstLine="708"/>
        <w:jc w:val="both"/>
        <w:rPr>
          <w:rFonts w:ascii="Verdana" w:eastAsia="Verdana" w:hAnsi="Verdana" w:cs="Verdana"/>
        </w:rPr>
      </w:pPr>
      <w:r w:rsidRPr="000565B4">
        <w:rPr>
          <w:rFonts w:ascii="Verdana" w:eastAsia="Verdana" w:hAnsi="Verdana" w:cs="Verdana"/>
        </w:rPr>
        <w:t xml:space="preserve">Dentro de este marco, el consultante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219F9F8" w14:textId="77777777" w:rsidR="000565B4" w:rsidRPr="000565B4" w:rsidRDefault="000565B4" w:rsidP="000565B4">
      <w:pPr>
        <w:spacing w:after="0" w:line="276" w:lineRule="auto"/>
        <w:jc w:val="both"/>
        <w:rPr>
          <w:rFonts w:ascii="Verdana" w:eastAsia="Verdana" w:hAnsi="Verdana" w:cs="Verdana"/>
        </w:rPr>
      </w:pPr>
    </w:p>
    <w:p w14:paraId="09976CF3" w14:textId="77777777" w:rsidR="000565B4" w:rsidRPr="000565B4" w:rsidRDefault="000565B4" w:rsidP="000565B4">
      <w:pPr>
        <w:spacing w:after="0" w:line="276" w:lineRule="auto"/>
        <w:rPr>
          <w:rFonts w:ascii="Verdana" w:eastAsia="Verdana" w:hAnsi="Verdana" w:cs="Verdana"/>
          <w:b/>
        </w:rPr>
      </w:pPr>
      <w:r w:rsidRPr="000565B4">
        <w:rPr>
          <w:rFonts w:ascii="Verdana" w:eastAsia="Verdana" w:hAnsi="Verdana" w:cs="Verdana"/>
          <w:b/>
        </w:rPr>
        <w:t>IV. Referencias normativas:</w:t>
      </w:r>
    </w:p>
    <w:p w14:paraId="113B4F31" w14:textId="77777777" w:rsidR="000565B4" w:rsidRPr="000565B4" w:rsidRDefault="000565B4" w:rsidP="000565B4">
      <w:pPr>
        <w:widowControl w:val="0"/>
        <w:spacing w:after="0" w:line="276" w:lineRule="auto"/>
        <w:jc w:val="both"/>
        <w:rPr>
          <w:rFonts w:ascii="Verdana" w:eastAsia="Verdana" w:hAnsi="Verdana" w:cs="Verdana"/>
        </w:rPr>
      </w:pPr>
    </w:p>
    <w:tbl>
      <w:tblPr>
        <w:tblW w:w="8647"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647"/>
      </w:tblGrid>
      <w:tr w:rsidR="000565B4" w:rsidRPr="000565B4" w14:paraId="00077D50" w14:textId="77777777" w:rsidTr="00486E91">
        <w:trPr>
          <w:trHeight w:val="487"/>
          <w:jc w:val="center"/>
        </w:trPr>
        <w:tc>
          <w:tcPr>
            <w:tcW w:w="8647" w:type="dxa"/>
          </w:tcPr>
          <w:p w14:paraId="2B59C506"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Constitución Política, artículos 6, 29, 83, 209 y 333.</w:t>
            </w:r>
          </w:p>
          <w:p w14:paraId="2DE82FD4"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lastRenderedPageBreak/>
              <w:t>Ley 80 de 1993, artículos 7, 8, 9, 13, 14, 17, 18, 23, 26, 28, 41, 44 y 45.</w:t>
            </w:r>
          </w:p>
          <w:p w14:paraId="3F7F97C8"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Ley 1150 de 2007, artículos 6 y 9.</w:t>
            </w:r>
          </w:p>
          <w:p w14:paraId="1CEE9D3D"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Ley 1437 de 2011, artículos 34, 35, 138, 141.</w:t>
            </w:r>
          </w:p>
          <w:p w14:paraId="0912EEE0"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 xml:space="preserve">Ley 2014 de 2019, artículo 6.  </w:t>
            </w:r>
          </w:p>
          <w:p w14:paraId="3662C651"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Código Civil, artículos 16, 73, 74, 633, 1501, 1502, 1503, 1504, 1519, 1523, 1741 y 1959 a 1966.</w:t>
            </w:r>
          </w:p>
          <w:p w14:paraId="065EDB16" w14:textId="77777777" w:rsidR="000565B4" w:rsidRPr="000565B4" w:rsidRDefault="000565B4" w:rsidP="000565B4">
            <w:pPr>
              <w:numPr>
                <w:ilvl w:val="0"/>
                <w:numId w:val="3"/>
              </w:numPr>
              <w:spacing w:before="120" w:after="120" w:line="276" w:lineRule="auto"/>
              <w:ind w:left="757"/>
              <w:jc w:val="both"/>
              <w:rPr>
                <w:rFonts w:ascii="Verdana" w:eastAsia="Verdana" w:hAnsi="Verdana" w:cs="Verdana"/>
              </w:rPr>
            </w:pPr>
            <w:r w:rsidRPr="000565B4">
              <w:rPr>
                <w:rFonts w:ascii="Verdana" w:eastAsia="Verdana" w:hAnsi="Verdana" w:cs="Verdana"/>
              </w:rPr>
              <w:t>Código de Comercio, artículos 99 y 887 a 896.</w:t>
            </w:r>
          </w:p>
        </w:tc>
      </w:tr>
    </w:tbl>
    <w:p w14:paraId="3A5F20E2" w14:textId="77777777" w:rsidR="000565B4" w:rsidRPr="000565B4" w:rsidRDefault="000565B4" w:rsidP="000565B4">
      <w:pPr>
        <w:spacing w:after="0" w:line="240" w:lineRule="auto"/>
        <w:rPr>
          <w:rFonts w:ascii="Verdana" w:eastAsia="Verdana" w:hAnsi="Verdana" w:cs="Verdana"/>
          <w:b/>
          <w:bCs/>
        </w:rPr>
      </w:pPr>
    </w:p>
    <w:p w14:paraId="6E7D4821" w14:textId="77777777" w:rsidR="000565B4" w:rsidRPr="000565B4" w:rsidRDefault="000565B4" w:rsidP="000565B4">
      <w:pPr>
        <w:spacing w:after="0" w:line="240" w:lineRule="auto"/>
        <w:rPr>
          <w:rFonts w:ascii="Verdana" w:eastAsia="Verdana" w:hAnsi="Verdana" w:cs="Verdana"/>
          <w:b/>
          <w:bCs/>
        </w:rPr>
      </w:pPr>
      <w:r w:rsidRPr="000565B4">
        <w:rPr>
          <w:rFonts w:ascii="Verdana" w:eastAsia="Verdana" w:hAnsi="Verdana" w:cs="Verdana"/>
          <w:b/>
          <w:bCs/>
        </w:rPr>
        <w:t>V. Doctrina de la Agencia Nacional de Contratación Pública:</w:t>
      </w:r>
    </w:p>
    <w:p w14:paraId="57451325" w14:textId="77777777" w:rsidR="000565B4" w:rsidRPr="000565B4" w:rsidRDefault="000565B4" w:rsidP="000565B4">
      <w:pPr>
        <w:spacing w:after="0" w:line="240" w:lineRule="auto"/>
        <w:rPr>
          <w:rFonts w:ascii="Verdana" w:eastAsia="Verdana" w:hAnsi="Verdana" w:cs="Verdana"/>
        </w:rPr>
      </w:pPr>
    </w:p>
    <w:p w14:paraId="0FFC67B5" w14:textId="77777777" w:rsidR="000565B4" w:rsidRPr="000565B4" w:rsidRDefault="000565B4" w:rsidP="000565B4">
      <w:pPr>
        <w:widowControl w:val="0"/>
        <w:spacing w:after="0" w:line="276" w:lineRule="auto"/>
        <w:jc w:val="both"/>
        <w:rPr>
          <w:rFonts w:ascii="Verdana" w:eastAsia="Verdana" w:hAnsi="Verdana" w:cs="Verdana"/>
          <w:highlight w:val="white"/>
        </w:rPr>
      </w:pPr>
      <w:r w:rsidRPr="000565B4">
        <w:rPr>
          <w:rFonts w:ascii="Verdana" w:eastAsia="Verdana" w:hAnsi="Verdana" w:cs="Verdana"/>
        </w:rPr>
        <w:t xml:space="preserve">Esta Subdirección se ha pronunciado sobre las inhabilidades e incompatibilidades en algunos conceptos, tales como: </w:t>
      </w:r>
      <w:sdt>
        <w:sdtPr>
          <w:rPr>
            <w:rFonts w:ascii="Verdana" w:eastAsia="Verdana" w:hAnsi="Verdana" w:cs="Verdana"/>
          </w:rPr>
          <w:tag w:val="goog_rdk_3"/>
          <w:id w:val="-1310473169"/>
        </w:sdtPr>
        <w:sdtContent>
          <w:r w:rsidRPr="000565B4">
            <w:rPr>
              <w:rFonts w:ascii="Verdana" w:eastAsia="Verdana" w:hAnsi="Verdana" w:cs="Verdana"/>
            </w:rPr>
            <w:t xml:space="preserve">radicados No.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C−402 del 26 de junio de 2020, C−365 del 30 de junio de 2020, C−386 del 24 de julio de 2020, C-585 del 14 de septiembre de 2020, C–592 del 14 de septiembre de 2020, C−551 de 24 de septiembre de 2020, C−709 del 7 de diciembre de 2020, C–721 de 14 de diciembre de 2020, C–004 del 12 de febrero de 2021, C–815 del 18 de febrero de 2021, C–047 del 8 de marzo de 2021, C–113 del 30 de marzo de 2021, C–122 del 30 de marzo de 2021, C–178 del 28 de abril de 2021, C-293 del 28 de agosto de 2021, C-449 del 31 de agosto de 2021, C-028 del 28 de febrero de 2022, C-318 del 18 de mayo de 2022, C-252 del 30 de mayo de 2022, C-619 del 27 de septiembre de 2022, C-731 de 10 de noviembre de 2022, C-059 de 13 de junio de 2023, C-352 del 22 de diciembre de 2023, C-010 del 31 de enero de 2024, C-023 del 26 de febrero de 2024, C-035 del 24 de abril de 2024, C-039 del 23 de abril de 2024, C-041 del 29 de mayo de 2024, C-067 del 16 de mayo de 2024, C-078 del 4 de junio de 2024, C-289 del 15 de agosto de 2023, </w:t>
          </w:r>
          <w:r w:rsidRPr="000565B4">
            <w:rPr>
              <w:rFonts w:ascii="Verdana" w:eastAsia="Verdana" w:hAnsi="Verdana" w:cs="Verdana"/>
            </w:rPr>
            <w:lastRenderedPageBreak/>
            <w:t xml:space="preserve">C-172 de 25 de julio de 2024, C-271 del 22 de julio de 2024, C-904 del 9 de diciembre de 2024, C-170 del 19 de marzo de 2025, C-392 del 8 de mayo de 2025, C-632 del 2 de julio de 2025, C-710 del 15 de julio de 2025, C-731 del 21 de agosto de 2025, C-1058 del 5 de septiembre de 2025, C-1233 del 10 de octubre de 2025, C-1388 del 30 de octubre de 2025, C-1390 del 4 de noviembre de 2025, C-552 del 19 de mayo de 2026, entre otros. Sobre la cesión del contrato estatal se pronunció esta Subdirección en los  conceptos 4201913000007643 y 4201913000007669 del 26 de diciembre de 2019, así como en los Conceptos C-551 del 24 de septiembre de 2020, C-572 del 27 de agosto de 2020, C-582 del 28 de agosto de 2020, C-385 del 20 de agosto de 2021, C-069 del 24 de abril de 2023 y C –157 de 2024, C-172 del 6 de junio de 2023, C-032 del 16 de abril de 2024, C-100 del 12 de junio de 2024, C-325 del 06 de agosto de 2024, C-366 del 29 de agosto de 2024 y C-473 del 29 de septiembre de 2024, C-214 del 26 de marzo de 2025,C-314 del 29 de abril de 2025, entre otros. </w:t>
          </w:r>
        </w:sdtContent>
      </w:sdt>
      <w:r w:rsidRPr="000565B4">
        <w:rPr>
          <w:rFonts w:ascii="Verdana" w:eastAsia="Verdana" w:hAnsi="Verdana" w:cs="Verdana"/>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r w:rsidRPr="000565B4">
          <w:rPr>
            <w:rFonts w:ascii="Verdana" w:eastAsia="Verdana" w:hAnsi="Verdana" w:cs="Verdana"/>
            <w:color w:val="0000FF"/>
            <w:u w:val="single"/>
          </w:rPr>
          <w:t>https://relatoria.colombiacompra.gov.co/busqueda/conceptos</w:t>
        </w:r>
      </w:hyperlink>
      <w:r w:rsidRPr="000565B4">
        <w:rPr>
          <w:rFonts w:ascii="Verdana" w:eastAsia="Verdana" w:hAnsi="Verdana" w:cs="Verdana"/>
        </w:rPr>
        <w:t xml:space="preserve">. </w:t>
      </w:r>
    </w:p>
    <w:p w14:paraId="6123487E" w14:textId="77777777" w:rsidR="000565B4" w:rsidRPr="000565B4" w:rsidRDefault="000565B4" w:rsidP="000565B4">
      <w:pPr>
        <w:widowControl w:val="0"/>
        <w:spacing w:after="0" w:line="276" w:lineRule="auto"/>
        <w:jc w:val="both"/>
        <w:rPr>
          <w:rFonts w:ascii="Verdana" w:eastAsia="Verdana" w:hAnsi="Verdana" w:cs="Verdana"/>
          <w:color w:val="000000"/>
          <w:highlight w:val="white"/>
        </w:rPr>
      </w:pPr>
    </w:p>
    <w:p w14:paraId="21A0FD64"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 xml:space="preserve">La sostenibilidad no es una opción, es una obligación. Por ello, la Agencia Nacional de Contratación Pública –Colombia Compra Eficiente– te invita a realizar el </w:t>
      </w:r>
      <w:r w:rsidRPr="000565B4">
        <w:rPr>
          <w:rFonts w:ascii="Verdana" w:eastAsia="Verdana" w:hAnsi="Verdana" w:cs="Verdana"/>
          <w:b/>
          <w:bCs/>
        </w:rPr>
        <w:t>Curso de Contratación Pública Sostenible y Socialmente Responsable</w:t>
      </w:r>
      <w:r w:rsidRPr="000565B4">
        <w:rPr>
          <w:rFonts w:ascii="Verdana" w:eastAsia="Verdana" w:hAnsi="Verdana" w:cs="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0565B4">
        <w:rPr>
          <w:rFonts w:ascii="Verdana" w:eastAsia="Verdana" w:hAnsi="Verdana" w:cs="Verdana"/>
        </w:rPr>
        <w:br/>
      </w:r>
      <w:hyperlink r:id="rId14">
        <w:r w:rsidRPr="000565B4">
          <w:rPr>
            <w:rFonts w:ascii="Verdana" w:eastAsia="Verdana" w:hAnsi="Verdana" w:cs="Verdana"/>
            <w:color w:val="0000FF"/>
            <w:u w:val="single"/>
          </w:rPr>
          <w:t>https://formacionvirtual.colombiacompra.gov.co/mod/page/view.php?id=3718</w:t>
        </w:r>
      </w:hyperlink>
    </w:p>
    <w:p w14:paraId="3825A338" w14:textId="77777777" w:rsidR="000565B4" w:rsidRPr="000565B4" w:rsidRDefault="000565B4" w:rsidP="000565B4">
      <w:pPr>
        <w:spacing w:after="0" w:line="256" w:lineRule="auto"/>
        <w:jc w:val="both"/>
        <w:rPr>
          <w:rFonts w:ascii="Verdana" w:eastAsia="Verdana" w:hAnsi="Verdana" w:cs="Verdana"/>
        </w:rPr>
      </w:pPr>
    </w:p>
    <w:p w14:paraId="16F37689"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 xml:space="preserve">De otro lado, te contamos que esta Agencia ha da un paso decisivo en la estandarización y modernización del </w:t>
      </w:r>
      <w:r w:rsidRPr="000565B4">
        <w:rPr>
          <w:rFonts w:ascii="Verdana" w:eastAsia="Verdana" w:hAnsi="Verdana" w:cs="Verdana"/>
          <w:b/>
          <w:bCs/>
        </w:rPr>
        <w:t>sector  social</w:t>
      </w:r>
      <w:r w:rsidRPr="000565B4">
        <w:rPr>
          <w:rFonts w:ascii="Verdana" w:eastAsia="Verdana" w:hAnsi="Verdana" w:cs="Verdana"/>
        </w:rPr>
        <w:t xml:space="preserve"> con la expedición de las </w:t>
      </w:r>
      <w:r w:rsidRPr="000565B4">
        <w:rPr>
          <w:rFonts w:ascii="Verdana" w:eastAsia="Verdana" w:hAnsi="Verdana" w:cs="Verdana"/>
          <w:b/>
          <w:bCs/>
        </w:rPr>
        <w:t>Resoluciones 539, 540, 541, 952 y 953 de 2025</w:t>
      </w:r>
      <w:r w:rsidRPr="000565B4">
        <w:rPr>
          <w:rFonts w:ascii="Verdana" w:eastAsia="Verdana" w:hAnsi="Verdana" w:cs="Verdana"/>
        </w:rPr>
        <w:t xml:space="preserve">, </w:t>
      </w:r>
      <w:r w:rsidRPr="000565B4">
        <w:rPr>
          <w:rFonts w:ascii="Verdana" w:eastAsia="Verdana" w:hAnsi="Verdana" w:cs="Verdana"/>
          <w:b/>
          <w:bCs/>
        </w:rPr>
        <w:t>mediante las cuales adoptó Documentos Tipo</w:t>
      </w:r>
      <w:r w:rsidRPr="000565B4">
        <w:rPr>
          <w:rFonts w:ascii="Verdana" w:eastAsia="Verdana" w:hAnsi="Verdana" w:cs="Verdana"/>
        </w:rPr>
        <w:t xml:space="preserve"> para las modalidades de selección de</w:t>
      </w:r>
      <w:r w:rsidRPr="000565B4">
        <w:rPr>
          <w:rFonts w:ascii="Verdana" w:eastAsia="Verdana" w:hAnsi="Verdana" w:cs="Verdana"/>
          <w:b/>
          <w:bCs/>
        </w:rPr>
        <w:t xml:space="preserve"> licitación pública (versión 2), selección abreviada de menor cuantía, mínima cuantía, consultoría e interventoría</w:t>
      </w:r>
      <w:r w:rsidRPr="000565B4">
        <w:rPr>
          <w:rFonts w:ascii="Verdana" w:eastAsia="Verdana" w:hAnsi="Verdana" w:cs="Verdana"/>
        </w:rPr>
        <w:t xml:space="preserve">, promoviendo procesos más transparentes, eficientes  competitivos y sostenibles en sectores estratégicos </w:t>
      </w:r>
      <w:r w:rsidRPr="000565B4">
        <w:rPr>
          <w:rFonts w:ascii="Verdana" w:eastAsia="Verdana" w:hAnsi="Verdana" w:cs="Verdana"/>
        </w:rPr>
        <w:lastRenderedPageBreak/>
        <w:t xml:space="preserve">como educación, salud, cultura, recreación, deporte, institucional y vivienda. Consulta y descarga los documentos aquí: </w:t>
      </w:r>
      <w:hyperlink r:id="rId15">
        <w:r w:rsidRPr="000565B4">
          <w:rPr>
            <w:rFonts w:ascii="Verdana" w:eastAsia="Verdana" w:hAnsi="Verdana" w:cs="Verdana"/>
            <w:color w:val="0000FF"/>
            <w:u w:val="single"/>
          </w:rPr>
          <w:t>https://www.colombiacompra.gov.co/normativa-y-relatoria/documentos-tipo</w:t>
        </w:r>
      </w:hyperlink>
    </w:p>
    <w:p w14:paraId="15171B6C" w14:textId="77777777" w:rsidR="000565B4" w:rsidRPr="000565B4" w:rsidRDefault="000565B4" w:rsidP="000565B4">
      <w:pPr>
        <w:spacing w:after="0" w:line="256" w:lineRule="auto"/>
        <w:jc w:val="both"/>
        <w:rPr>
          <w:rFonts w:ascii="Verdana" w:eastAsia="Verdana" w:hAnsi="Verdana" w:cs="Verdana"/>
        </w:rPr>
      </w:pPr>
    </w:p>
    <w:p w14:paraId="3283B3CF"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 xml:space="preserve">Si quieres conocer más sobre la aplicación de Documentos Tipo puedes consultar la última versión de la </w:t>
      </w:r>
      <w:r w:rsidRPr="000565B4">
        <w:rPr>
          <w:rFonts w:ascii="Verdana" w:eastAsia="Verdana" w:hAnsi="Verdana" w:cs="Verdana"/>
          <w:b/>
          <w:bCs/>
        </w:rPr>
        <w:t>Guía para la comprensión e implementación de los Documentos Tipo de obra pública de infraestructura de transporte</w:t>
      </w:r>
      <w:r w:rsidRPr="000565B4">
        <w:rPr>
          <w:rFonts w:ascii="Verdana" w:eastAsia="Verdana" w:hAnsi="Verdana" w:cs="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0565B4">
        <w:rPr>
          <w:rFonts w:ascii="Verdana" w:eastAsia="Verdana" w:hAnsi="Verdana" w:cs="Verdana"/>
        </w:rPr>
        <w:br/>
      </w:r>
      <w:hyperlink r:id="rId16">
        <w:r w:rsidRPr="000565B4">
          <w:rPr>
            <w:rFonts w:ascii="Verdana" w:eastAsia="Verdana" w:hAnsi="Verdana" w:cs="Verdana"/>
            <w:color w:val="0000FF"/>
            <w:u w:val="single"/>
          </w:rPr>
          <w:t>https://www.colombiacompra.gov.co/archivos/manual/guia-para-la-comprension-e-implementacion-de-los-documentos-tipo-de-obra-publica-de-infraestructura-de-transporte-bajo-las-diferentes-modalidades-de-contratacion-vigentes</w:t>
        </w:r>
      </w:hyperlink>
    </w:p>
    <w:p w14:paraId="0195E12C" w14:textId="77777777" w:rsidR="000565B4" w:rsidRPr="000565B4" w:rsidRDefault="000565B4" w:rsidP="000565B4">
      <w:pPr>
        <w:shd w:val="clear" w:color="auto" w:fill="FFFFFF"/>
        <w:spacing w:after="0" w:line="276" w:lineRule="auto"/>
        <w:jc w:val="both"/>
        <w:rPr>
          <w:rFonts w:ascii="Verdana" w:eastAsia="Verdana" w:hAnsi="Verdana" w:cs="Verdana"/>
          <w:color w:val="000000"/>
          <w:u w:val="single"/>
        </w:rPr>
      </w:pPr>
    </w:p>
    <w:p w14:paraId="6DEC07B5" w14:textId="77777777" w:rsidR="000565B4" w:rsidRPr="000565B4" w:rsidRDefault="000565B4" w:rsidP="000565B4">
      <w:pPr>
        <w:spacing w:after="0"/>
        <w:jc w:val="both"/>
        <w:rPr>
          <w:rFonts w:ascii="Verdana" w:eastAsia="Verdana" w:hAnsi="Verdana" w:cs="Verdana"/>
        </w:rPr>
      </w:pPr>
      <w:r w:rsidRPr="000565B4">
        <w:rPr>
          <w:rFonts w:ascii="Verdana" w:eastAsia="Verdana" w:hAnsi="Verdana" w:cs="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12F0A9D6" w14:textId="77777777" w:rsidR="000565B4" w:rsidRPr="000565B4" w:rsidRDefault="000565B4" w:rsidP="000565B4">
      <w:pPr>
        <w:spacing w:after="0"/>
        <w:jc w:val="both"/>
        <w:rPr>
          <w:rFonts w:ascii="Verdana" w:eastAsia="Verdana" w:hAnsi="Verdana" w:cs="Verdana"/>
        </w:rPr>
      </w:pPr>
    </w:p>
    <w:p w14:paraId="35B03828" w14:textId="77777777" w:rsidR="000565B4" w:rsidRPr="000565B4" w:rsidRDefault="000565B4" w:rsidP="000565B4">
      <w:pPr>
        <w:numPr>
          <w:ilvl w:val="0"/>
          <w:numId w:val="2"/>
        </w:numPr>
        <w:pBdr>
          <w:top w:val="nil"/>
          <w:left w:val="nil"/>
          <w:bottom w:val="nil"/>
          <w:right w:val="nil"/>
          <w:between w:val="nil"/>
        </w:pBdr>
        <w:spacing w:after="0" w:line="240" w:lineRule="auto"/>
        <w:jc w:val="both"/>
        <w:rPr>
          <w:rFonts w:ascii="Verdana" w:eastAsia="Verdana" w:hAnsi="Verdana" w:cs="Verdana"/>
          <w:color w:val="4472C4"/>
          <w:u w:val="single"/>
          <w:lang w:eastAsia="en-US"/>
        </w:rPr>
      </w:pPr>
      <w:r w:rsidRPr="000565B4">
        <w:rPr>
          <w:rFonts w:ascii="Verdana" w:eastAsia="Verdana" w:hAnsi="Verdana" w:cs="Verdana"/>
          <w:color w:val="000000"/>
        </w:rPr>
        <w:t xml:space="preserve">Línea nacional gratuita o servicio a la ciudadanía (Mesa de servicio): </w:t>
      </w:r>
      <w:r w:rsidRPr="000565B4">
        <w:rPr>
          <w:rFonts w:ascii="Verdana" w:hAnsi="Verdana" w:cs="Times New Roman"/>
          <w:color w:val="0000FF"/>
          <w:u w:val="single"/>
          <w:lang w:eastAsia="en-US"/>
        </w:rPr>
        <w:t>01800 0520808</w:t>
      </w:r>
    </w:p>
    <w:p w14:paraId="44671FF6"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4472C4"/>
          <w:u w:val="single"/>
          <w:lang w:eastAsia="en-US"/>
        </w:rPr>
      </w:pPr>
      <w:r w:rsidRPr="000565B4">
        <w:rPr>
          <w:rFonts w:ascii="Verdana" w:eastAsia="Verdana" w:hAnsi="Verdana" w:cs="Verdana"/>
          <w:color w:val="000000"/>
        </w:rPr>
        <w:t>Línea en Bogotá (Mesa de servicio</w:t>
      </w:r>
      <w:proofErr w:type="gramStart"/>
      <w:r w:rsidRPr="000565B4">
        <w:rPr>
          <w:rFonts w:ascii="Verdana" w:eastAsia="Verdana" w:hAnsi="Verdana" w:cs="Verdana"/>
          <w:color w:val="000000"/>
        </w:rPr>
        <w:t>):</w:t>
      </w:r>
      <w:r w:rsidRPr="000565B4">
        <w:rPr>
          <w:rFonts w:ascii="Verdana" w:hAnsi="Verdana" w:cs="Times New Roman"/>
          <w:color w:val="0000FF"/>
          <w:u w:val="single"/>
          <w:lang w:eastAsia="en-US"/>
        </w:rPr>
        <w:t>+</w:t>
      </w:r>
      <w:proofErr w:type="gramEnd"/>
      <w:r w:rsidRPr="000565B4">
        <w:rPr>
          <w:rFonts w:ascii="Verdana" w:hAnsi="Verdana" w:cs="Times New Roman"/>
          <w:color w:val="0000FF"/>
          <w:u w:val="single"/>
          <w:lang w:eastAsia="en-US"/>
        </w:rPr>
        <w:t>57 601 7456788</w:t>
      </w:r>
    </w:p>
    <w:p w14:paraId="4341FA82"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0000FF"/>
          <w:u w:val="single"/>
          <w:lang w:eastAsia="en-US"/>
        </w:rPr>
      </w:pPr>
      <w:r w:rsidRPr="000565B4">
        <w:rPr>
          <w:rFonts w:ascii="Verdana" w:eastAsia="Verdana" w:hAnsi="Verdana" w:cs="Verdana"/>
          <w:color w:val="000000"/>
        </w:rPr>
        <w:t xml:space="preserve">Correo de radicación de correspondencia: </w:t>
      </w:r>
      <w:hyperlink r:id="rId17">
        <w:r w:rsidRPr="000565B4">
          <w:rPr>
            <w:rFonts w:ascii="Verdana" w:eastAsia="Verdana" w:hAnsi="Verdana" w:cs="Verdana"/>
            <w:color w:val="0000FF"/>
            <w:u w:val="single"/>
            <w:lang w:eastAsia="en-US"/>
          </w:rPr>
          <w:t>ventanilladeradicacion@colombiacompra.gov.co</w:t>
        </w:r>
      </w:hyperlink>
    </w:p>
    <w:p w14:paraId="55341468" w14:textId="77777777" w:rsidR="000565B4" w:rsidRPr="000565B4" w:rsidRDefault="000565B4" w:rsidP="000565B4">
      <w:pPr>
        <w:numPr>
          <w:ilvl w:val="0"/>
          <w:numId w:val="2"/>
        </w:numPr>
        <w:pBdr>
          <w:top w:val="nil"/>
          <w:left w:val="nil"/>
          <w:bottom w:val="nil"/>
          <w:right w:val="nil"/>
          <w:between w:val="nil"/>
        </w:pBdr>
        <w:spacing w:after="0"/>
        <w:rPr>
          <w:rFonts w:ascii="Verdana" w:eastAsia="Verdana" w:hAnsi="Verdana" w:cs="Verdana"/>
          <w:color w:val="0000FF"/>
          <w:u w:val="single"/>
          <w:lang w:eastAsia="en-US"/>
        </w:rPr>
      </w:pPr>
      <w:r w:rsidRPr="000565B4">
        <w:rPr>
          <w:rFonts w:ascii="Verdana" w:eastAsia="Verdana" w:hAnsi="Verdana" w:cs="Verdana"/>
          <w:color w:val="000000"/>
        </w:rPr>
        <w:t xml:space="preserve">Formulario web para PQRSD: </w:t>
      </w:r>
      <w:hyperlink r:id="rId18">
        <w:r w:rsidRPr="000565B4">
          <w:rPr>
            <w:rFonts w:ascii="Verdana" w:eastAsia="Verdana" w:hAnsi="Verdana" w:cs="Verdana"/>
            <w:color w:val="0000FF"/>
            <w:u w:val="single"/>
            <w:lang w:eastAsia="en-US"/>
          </w:rPr>
          <w:t>https://www.colombiacompra.gov.co/pqrsd/informacion-importante-antes-de-formular-una-pqrsd</w:t>
        </w:r>
      </w:hyperlink>
    </w:p>
    <w:p w14:paraId="49FFC90D" w14:textId="77777777" w:rsidR="000565B4" w:rsidRPr="000565B4" w:rsidRDefault="000565B4" w:rsidP="000565B4">
      <w:pPr>
        <w:spacing w:after="0" w:line="240" w:lineRule="auto"/>
        <w:ind w:left="720"/>
        <w:jc w:val="both"/>
        <w:rPr>
          <w:rFonts w:ascii="Verdana" w:eastAsia="Verdana" w:hAnsi="Verdana" w:cs="Verdana"/>
        </w:rPr>
      </w:pPr>
    </w:p>
    <w:p w14:paraId="74D0C772" w14:textId="77777777"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 xml:space="preserve">Evalúa el servicio que ofrece la Agencia por el canal de atención de PQRSD en el siguiente </w:t>
      </w:r>
      <w:proofErr w:type="gramStart"/>
      <w:r w:rsidRPr="000565B4">
        <w:rPr>
          <w:rFonts w:ascii="Verdana" w:eastAsia="Verdana" w:hAnsi="Verdana" w:cs="Verdana"/>
        </w:rPr>
        <w:t>enlace :</w:t>
      </w:r>
      <w:proofErr w:type="gramEnd"/>
      <w:hyperlink r:id="rId19">
        <w:r w:rsidRPr="000565B4">
          <w:rPr>
            <w:rFonts w:ascii="Verdana" w:eastAsia="Verdana" w:hAnsi="Verdana" w:cs="Verdana"/>
            <w:color w:val="0000FF"/>
            <w:u w:val="single"/>
          </w:rPr>
          <w:t>https://forms.office.com/r/pPHyWVs2SZ</w:t>
        </w:r>
      </w:hyperlink>
      <w:r w:rsidRPr="000565B4">
        <w:rPr>
          <w:rFonts w:ascii="Verdana" w:eastAsia="Verdana" w:hAnsi="Verdana" w:cs="Verdana"/>
        </w:rPr>
        <w:t xml:space="preserve"> .¡Ayúdanos a mejorar porque el compromiso es de todos!</w:t>
      </w:r>
    </w:p>
    <w:p w14:paraId="08804472" w14:textId="77777777" w:rsidR="000565B4" w:rsidRPr="000565B4" w:rsidRDefault="000565B4" w:rsidP="000565B4">
      <w:pPr>
        <w:spacing w:after="0" w:line="240" w:lineRule="auto"/>
        <w:rPr>
          <w:rFonts w:ascii="Verdana" w:eastAsia="Verdana" w:hAnsi="Verdana" w:cs="Verdana"/>
        </w:rPr>
      </w:pPr>
    </w:p>
    <w:p w14:paraId="3BCE8FC6"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Por último, lo invitamos a seguirnos en las redes sociales en las cuales se difunde información institucional: </w:t>
      </w:r>
    </w:p>
    <w:p w14:paraId="7E6E67E8" w14:textId="77777777" w:rsidR="000565B4" w:rsidRPr="000565B4" w:rsidRDefault="000565B4" w:rsidP="000565B4">
      <w:pPr>
        <w:spacing w:after="0" w:line="240" w:lineRule="auto"/>
        <w:jc w:val="both"/>
        <w:rPr>
          <w:rFonts w:ascii="Verdana" w:eastAsia="Verdana" w:hAnsi="Verdana" w:cs="Verdana"/>
        </w:rPr>
      </w:pPr>
    </w:p>
    <w:p w14:paraId="6C952C56"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Twitter: </w:t>
      </w:r>
      <w:r w:rsidRPr="000565B4">
        <w:rPr>
          <w:rFonts w:ascii="Verdana" w:eastAsia="Verdana" w:hAnsi="Verdana" w:cs="Verdana"/>
          <w:color w:val="0000FF"/>
          <w:u w:val="single"/>
        </w:rPr>
        <w:t>@colombiacompra</w:t>
      </w:r>
      <w:r w:rsidRPr="000565B4">
        <w:rPr>
          <w:rFonts w:ascii="Verdana" w:eastAsia="Verdana" w:hAnsi="Verdana" w:cs="Verdana"/>
        </w:rPr>
        <w:t xml:space="preserve"> </w:t>
      </w:r>
    </w:p>
    <w:p w14:paraId="31D2BF3A"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Facebook: </w:t>
      </w:r>
      <w:proofErr w:type="spellStart"/>
      <w:r w:rsidRPr="000565B4">
        <w:rPr>
          <w:rFonts w:ascii="Verdana" w:eastAsia="Verdana" w:hAnsi="Verdana" w:cs="Verdana"/>
          <w:color w:val="0000FF"/>
          <w:u w:val="single"/>
        </w:rPr>
        <w:t>ColombiaCompraEficiente</w:t>
      </w:r>
      <w:proofErr w:type="spellEnd"/>
    </w:p>
    <w:p w14:paraId="7CFEE1C4" w14:textId="77777777" w:rsidR="000565B4" w:rsidRPr="000565B4" w:rsidRDefault="000565B4" w:rsidP="000565B4">
      <w:pPr>
        <w:spacing w:after="0" w:line="240" w:lineRule="auto"/>
        <w:jc w:val="both"/>
        <w:rPr>
          <w:rFonts w:ascii="Verdana" w:eastAsia="Verdana" w:hAnsi="Verdana" w:cs="Verdana"/>
        </w:rPr>
      </w:pPr>
      <w:r w:rsidRPr="000565B4">
        <w:rPr>
          <w:rFonts w:ascii="Verdana" w:eastAsia="Verdana" w:hAnsi="Verdana" w:cs="Verdana"/>
        </w:rPr>
        <w:t xml:space="preserve">LinkedIn: </w:t>
      </w:r>
      <w:r w:rsidRPr="000565B4">
        <w:rPr>
          <w:rFonts w:ascii="Verdana" w:eastAsia="Verdana" w:hAnsi="Verdana" w:cs="Verdana"/>
          <w:color w:val="0000FF"/>
          <w:u w:val="single"/>
        </w:rPr>
        <w:t>Agencia Nacional de Contratación Pública - Colombia Compra Eficiente</w:t>
      </w:r>
      <w:r w:rsidRPr="000565B4">
        <w:rPr>
          <w:rFonts w:ascii="Verdana" w:eastAsia="Verdana" w:hAnsi="Verdana" w:cs="Verdana"/>
        </w:rPr>
        <w:t xml:space="preserve"> Instagram: </w:t>
      </w:r>
      <w:r w:rsidRPr="000565B4">
        <w:rPr>
          <w:rFonts w:ascii="Verdana" w:eastAsia="Verdana" w:hAnsi="Verdana" w:cs="Verdana"/>
          <w:color w:val="0000FF"/>
          <w:u w:val="single"/>
        </w:rPr>
        <w:t>@colombiacompraeficiente_cce</w:t>
      </w:r>
    </w:p>
    <w:p w14:paraId="59282A44" w14:textId="77777777" w:rsidR="000565B4" w:rsidRPr="000565B4" w:rsidRDefault="000565B4" w:rsidP="000565B4">
      <w:pPr>
        <w:spacing w:after="0" w:line="240" w:lineRule="auto"/>
        <w:jc w:val="both"/>
        <w:rPr>
          <w:rFonts w:ascii="Verdana" w:eastAsia="Verdana" w:hAnsi="Verdana" w:cs="Verdana"/>
        </w:rPr>
      </w:pPr>
    </w:p>
    <w:p w14:paraId="74EA5B86"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DC6284D" w14:textId="77777777" w:rsidR="000565B4" w:rsidRPr="000565B4" w:rsidRDefault="000565B4" w:rsidP="000565B4">
      <w:pPr>
        <w:spacing w:after="0" w:line="256" w:lineRule="auto"/>
        <w:jc w:val="both"/>
        <w:rPr>
          <w:rFonts w:ascii="Verdana" w:eastAsia="Verdana" w:hAnsi="Verdana" w:cs="Verdana"/>
        </w:rPr>
      </w:pPr>
    </w:p>
    <w:p w14:paraId="1604FF4C" w14:textId="77777777" w:rsidR="000565B4" w:rsidRPr="000565B4" w:rsidRDefault="000565B4" w:rsidP="000565B4">
      <w:pPr>
        <w:spacing w:after="0" w:line="256" w:lineRule="auto"/>
        <w:jc w:val="both"/>
        <w:rPr>
          <w:rFonts w:ascii="Verdana" w:eastAsia="Verdana" w:hAnsi="Verdana" w:cs="Verdana"/>
        </w:rPr>
      </w:pPr>
      <w:r w:rsidRPr="000565B4">
        <w:rPr>
          <w:rFonts w:ascii="Verdana" w:eastAsia="Verdana" w:hAnsi="Verdana" w:cs="Verdana"/>
        </w:rPr>
        <w:t>Atentamente,</w:t>
      </w:r>
    </w:p>
    <w:p w14:paraId="58C2BA9C" w14:textId="77777777" w:rsidR="000565B4" w:rsidRPr="000565B4" w:rsidRDefault="000565B4" w:rsidP="000565B4">
      <w:pPr>
        <w:spacing w:after="0" w:line="276" w:lineRule="auto"/>
        <w:jc w:val="both"/>
        <w:rPr>
          <w:rFonts w:ascii="Verdana" w:eastAsia="Verdana" w:hAnsi="Verdana" w:cs="Verdana"/>
        </w:rPr>
      </w:pPr>
    </w:p>
    <w:p w14:paraId="417DCEC2" w14:textId="05A088EF" w:rsidR="000565B4" w:rsidRPr="000565B4" w:rsidRDefault="00587C15" w:rsidP="000565B4">
      <w:pPr>
        <w:spacing w:after="0" w:line="256" w:lineRule="auto"/>
        <w:jc w:val="center"/>
        <w:rPr>
          <w:rFonts w:ascii="Century Gothic" w:eastAsia="Century Gothic" w:hAnsi="Century Gothic" w:cs="Century Gothic"/>
        </w:rPr>
      </w:pPr>
      <w:r w:rsidRPr="002C3AD6">
        <w:rPr>
          <w:rFonts w:ascii="Century Gothic" w:hAnsi="Century Gothic"/>
          <w:noProof/>
          <w:lang w:val="en-US"/>
        </w:rPr>
        <w:drawing>
          <wp:inline distT="0" distB="0" distL="0" distR="0" wp14:anchorId="7AB1F0CB" wp14:editId="176F8FE3">
            <wp:extent cx="3247038" cy="1186774"/>
            <wp:effectExtent l="0" t="0" r="0" b="0"/>
            <wp:docPr id="64273248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358959" cy="1227680"/>
                    </a:xfrm>
                    <a:prstGeom prst="rect">
                      <a:avLst/>
                    </a:prstGeom>
                  </pic:spPr>
                </pic:pic>
              </a:graphicData>
            </a:graphic>
          </wp:inline>
        </w:drawing>
      </w:r>
    </w:p>
    <w:p w14:paraId="1271CB63" w14:textId="77777777" w:rsidR="000565B4" w:rsidRPr="000565B4" w:rsidRDefault="000565B4" w:rsidP="000565B4">
      <w:pPr>
        <w:spacing w:after="0" w:line="256" w:lineRule="auto"/>
        <w:rPr>
          <w:rFonts w:ascii="Century Gothic" w:eastAsia="Century Gothic" w:hAnsi="Century Gothic" w:cs="Century Gothic"/>
          <w:sz w:val="16"/>
          <w:szCs w:val="16"/>
        </w:rPr>
      </w:pPr>
    </w:p>
    <w:tbl>
      <w:tblPr>
        <w:tblW w:w="737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76"/>
        <w:gridCol w:w="6095"/>
      </w:tblGrid>
      <w:tr w:rsidR="000565B4" w:rsidRPr="000565B4" w14:paraId="2108558D" w14:textId="77777777" w:rsidTr="00486E91">
        <w:trPr>
          <w:trHeight w:val="409"/>
        </w:trPr>
        <w:tc>
          <w:tcPr>
            <w:tcW w:w="1276" w:type="dxa"/>
            <w:tcBorders>
              <w:top w:val="nil"/>
              <w:left w:val="nil"/>
              <w:bottom w:val="nil"/>
              <w:right w:val="nil"/>
            </w:tcBorders>
            <w:vAlign w:val="center"/>
          </w:tcPr>
          <w:p w14:paraId="32943F73"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Elaboró: </w:t>
            </w:r>
          </w:p>
        </w:tc>
        <w:tc>
          <w:tcPr>
            <w:tcW w:w="6095" w:type="dxa"/>
            <w:tcBorders>
              <w:top w:val="nil"/>
              <w:left w:val="nil"/>
              <w:bottom w:val="dotted" w:sz="6" w:space="0" w:color="7F7F7F"/>
              <w:right w:val="nil"/>
            </w:tcBorders>
            <w:vAlign w:val="center"/>
          </w:tcPr>
          <w:p w14:paraId="7C52F83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José Luis Sánchez Cardona</w:t>
            </w:r>
          </w:p>
          <w:p w14:paraId="160A37B8"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Contratista de la Subdirección de Gestión Contractual</w:t>
            </w:r>
          </w:p>
        </w:tc>
      </w:tr>
      <w:tr w:rsidR="000565B4" w:rsidRPr="000565B4" w14:paraId="6B3CC646" w14:textId="77777777" w:rsidTr="00486E91">
        <w:trPr>
          <w:trHeight w:val="409"/>
        </w:trPr>
        <w:tc>
          <w:tcPr>
            <w:tcW w:w="1276" w:type="dxa"/>
            <w:tcBorders>
              <w:top w:val="nil"/>
              <w:left w:val="nil"/>
              <w:bottom w:val="nil"/>
              <w:right w:val="nil"/>
            </w:tcBorders>
            <w:vAlign w:val="center"/>
          </w:tcPr>
          <w:p w14:paraId="57C6D58B"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Revisó: </w:t>
            </w:r>
          </w:p>
        </w:tc>
        <w:tc>
          <w:tcPr>
            <w:tcW w:w="6095" w:type="dxa"/>
            <w:tcBorders>
              <w:top w:val="dotted" w:sz="6" w:space="0" w:color="7F7F7F"/>
              <w:left w:val="nil"/>
              <w:bottom w:val="dotted" w:sz="6" w:space="0" w:color="7F7F7F"/>
              <w:right w:val="nil"/>
            </w:tcBorders>
            <w:vAlign w:val="center"/>
          </w:tcPr>
          <w:p w14:paraId="01FB0EB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Alejandro Raúl Sarmiento Cantillo</w:t>
            </w:r>
          </w:p>
          <w:p w14:paraId="177128F4" w14:textId="77777777" w:rsidR="000565B4" w:rsidRPr="000565B4" w:rsidRDefault="000565B4" w:rsidP="000565B4">
            <w:pPr>
              <w:spacing w:after="0" w:line="256" w:lineRule="auto"/>
            </w:pPr>
            <w:r w:rsidRPr="000565B4">
              <w:rPr>
                <w:rFonts w:ascii="Verdana" w:eastAsia="Verdana" w:hAnsi="Verdana" w:cs="Verdana"/>
                <w:sz w:val="16"/>
                <w:szCs w:val="16"/>
              </w:rPr>
              <w:t xml:space="preserve">Gestor T1-15 de la Subdirección de Gestión Contractual  </w:t>
            </w:r>
          </w:p>
        </w:tc>
      </w:tr>
      <w:tr w:rsidR="000565B4" w:rsidRPr="000565B4" w14:paraId="639FFE8C" w14:textId="77777777" w:rsidTr="00486E91">
        <w:trPr>
          <w:trHeight w:val="389"/>
        </w:trPr>
        <w:tc>
          <w:tcPr>
            <w:tcW w:w="1276" w:type="dxa"/>
            <w:tcBorders>
              <w:top w:val="nil"/>
              <w:left w:val="nil"/>
              <w:bottom w:val="nil"/>
              <w:right w:val="nil"/>
            </w:tcBorders>
            <w:vAlign w:val="center"/>
          </w:tcPr>
          <w:p w14:paraId="158F4DAA"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Aprobó: </w:t>
            </w:r>
          </w:p>
        </w:tc>
        <w:tc>
          <w:tcPr>
            <w:tcW w:w="6095" w:type="dxa"/>
            <w:tcBorders>
              <w:top w:val="dotted" w:sz="6" w:space="0" w:color="7F7F7F"/>
              <w:left w:val="nil"/>
              <w:bottom w:val="dotted" w:sz="6" w:space="0" w:color="7F7F7F"/>
              <w:right w:val="nil"/>
            </w:tcBorders>
            <w:vAlign w:val="center"/>
          </w:tcPr>
          <w:p w14:paraId="35A32B54"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Carolina Quintero Gacharná</w:t>
            </w:r>
          </w:p>
          <w:p w14:paraId="4FC214AD" w14:textId="77777777" w:rsidR="000565B4" w:rsidRPr="000565B4" w:rsidRDefault="000565B4" w:rsidP="000565B4">
            <w:pPr>
              <w:spacing w:after="0" w:line="256" w:lineRule="auto"/>
              <w:rPr>
                <w:rFonts w:ascii="Verdana" w:eastAsia="Verdana" w:hAnsi="Verdana" w:cs="Verdana"/>
                <w:sz w:val="16"/>
                <w:szCs w:val="16"/>
              </w:rPr>
            </w:pPr>
            <w:r w:rsidRPr="000565B4">
              <w:rPr>
                <w:rFonts w:ascii="Verdana" w:eastAsia="Verdana" w:hAnsi="Verdana" w:cs="Verdana"/>
                <w:sz w:val="16"/>
                <w:szCs w:val="16"/>
              </w:rPr>
              <w:t>Subdirectora de Gestión Contractual ANCP – CCE</w:t>
            </w:r>
          </w:p>
        </w:tc>
      </w:tr>
    </w:tbl>
    <w:p w14:paraId="0BF52890" w14:textId="77777777" w:rsidR="000565B4" w:rsidRPr="000565B4" w:rsidRDefault="000565B4" w:rsidP="000565B4">
      <w:pPr>
        <w:spacing w:after="0" w:line="240" w:lineRule="auto"/>
        <w:jc w:val="both"/>
        <w:rPr>
          <w:rFonts w:ascii="Verdana" w:eastAsia="Verdana" w:hAnsi="Verdana" w:cs="Verdana"/>
        </w:rPr>
      </w:pPr>
    </w:p>
    <w:p w14:paraId="5721DEC6" w14:textId="04FAC3E2" w:rsidR="000565B4" w:rsidRPr="000565B4" w:rsidRDefault="000565B4" w:rsidP="000565B4">
      <w:pPr>
        <w:spacing w:after="0" w:line="240" w:lineRule="auto"/>
        <w:rPr>
          <w:rFonts w:ascii="Verdana" w:eastAsia="Verdana" w:hAnsi="Verdana" w:cs="Verdana"/>
        </w:rPr>
      </w:pPr>
      <w:r w:rsidRPr="000565B4">
        <w:rPr>
          <w:rFonts w:ascii="Verdana" w:eastAsia="Verdana" w:hAnsi="Verdana" w:cs="Verdana"/>
        </w:rPr>
        <w:t> </w:t>
      </w:r>
    </w:p>
    <w:p w14:paraId="44EEDC23" w14:textId="77777777" w:rsidR="00843DAC" w:rsidRPr="000565B4" w:rsidRDefault="00843DAC" w:rsidP="000565B4"/>
    <w:sectPr w:rsidR="00843DAC" w:rsidRPr="000565B4">
      <w:headerReference w:type="even" r:id="rId21"/>
      <w:headerReference w:type="default" r:id="rId22"/>
      <w:footerReference w:type="even" r:id="rId23"/>
      <w:footerReference w:type="default" r:id="rId24"/>
      <w:headerReference w:type="first" r:id="rId25"/>
      <w:footerReference w:type="first" r:id="rId26"/>
      <w:pgSz w:w="12240" w:h="15840"/>
      <w:pgMar w:top="1417"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E0486" w14:textId="77777777" w:rsidR="00EC2006" w:rsidRDefault="00EC2006">
      <w:pPr>
        <w:spacing w:after="0" w:line="240" w:lineRule="auto"/>
      </w:pPr>
      <w:r>
        <w:separator/>
      </w:r>
    </w:p>
  </w:endnote>
  <w:endnote w:type="continuationSeparator" w:id="0">
    <w:p w14:paraId="6A2A4F87" w14:textId="77777777" w:rsidR="00EC2006" w:rsidRDefault="00EC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AE54D69-F2A0-40DE-ADDF-DAB8B962A69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8EF7546-7136-43DB-A5F3-8F1FADA7C4B1}"/>
    <w:embedBold r:id="rId3" w:fontKey="{24F37429-0CA2-441E-A7B8-84D9DA1040DC}"/>
    <w:embedItalic r:id="rId4" w:fontKey="{232A0B24-A3DF-402F-91B2-0B99F5238431}"/>
  </w:font>
  <w:font w:name="Geom">
    <w:charset w:val="00"/>
    <w:family w:val="auto"/>
    <w:pitch w:val="default"/>
    <w:embedRegular r:id="rId5" w:fontKey="{14057A17-2CA0-48CE-8F7E-62014558A2DA}"/>
    <w:embedBold r:id="rId6" w:fontKey="{E944D142-22BD-4244-963F-4CADCE066423}"/>
  </w:font>
  <w:font w:name="Georgia">
    <w:panose1 w:val="02040502050405020303"/>
    <w:charset w:val="00"/>
    <w:family w:val="roman"/>
    <w:pitch w:val="variable"/>
    <w:sig w:usb0="00000287" w:usb1="00000000" w:usb2="00000000" w:usb3="00000000" w:csb0="0000009F" w:csb1="00000000"/>
    <w:embedItalic r:id="rId7" w:fontKey="{B4A89649-FC67-48D2-8A5C-02CD48FEDBE6}"/>
  </w:font>
  <w:font w:name="Verdana">
    <w:panose1 w:val="020B0604030504040204"/>
    <w:charset w:val="00"/>
    <w:family w:val="swiss"/>
    <w:pitch w:val="variable"/>
    <w:sig w:usb0="A00006FF" w:usb1="4000205B" w:usb2="00000010" w:usb3="00000000" w:csb0="0000019F" w:csb1="00000000"/>
    <w:embedRegular r:id="rId8" w:fontKey="{C273AD0A-2C18-4D06-8351-9DFABCD2F443}"/>
    <w:embedBold r:id="rId9" w:fontKey="{0CDC6B53-EBA6-4E42-B181-0A110EB7338B}"/>
    <w:embedItalic r:id="rId10" w:fontKey="{0161E26C-E919-43B0-AD72-39E46AB11511}"/>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1" w:fontKey="{FC34477B-0A99-4292-9199-FFD8AE45D764}"/>
  </w:font>
  <w:font w:name="Cambria">
    <w:panose1 w:val="02040503050406030204"/>
    <w:charset w:val="00"/>
    <w:family w:val="roman"/>
    <w:pitch w:val="variable"/>
    <w:sig w:usb0="E00006FF" w:usb1="420024FF" w:usb2="02000000" w:usb3="00000000" w:csb0="0000019F" w:csb1="00000000"/>
    <w:embedRegular r:id="rId12" w:fontKey="{0F93F1EC-9D45-47B2-B9B4-E4455C7683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9B75" w14:textId="77777777" w:rsidR="00A604B9" w:rsidRDefault="00A60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E154" w14:textId="77777777" w:rsidR="00843DAC" w:rsidRDefault="00843DAC">
    <w:pPr>
      <w:pBdr>
        <w:top w:val="nil"/>
        <w:left w:val="nil"/>
        <w:bottom w:val="nil"/>
        <w:right w:val="nil"/>
        <w:between w:val="nil"/>
      </w:pBdr>
      <w:tabs>
        <w:tab w:val="center" w:pos="4419"/>
        <w:tab w:val="right" w:pos="8838"/>
      </w:tabs>
      <w:spacing w:after="0" w:line="240" w:lineRule="auto"/>
      <w:rPr>
        <w:color w:val="000000"/>
      </w:rPr>
    </w:pPr>
  </w:p>
  <w:p w14:paraId="151E5778" w14:textId="77777777" w:rsidR="00843DAC" w:rsidRDefault="00CA0EDB">
    <w:pPr>
      <w:pBdr>
        <w:top w:val="single" w:sz="4" w:space="1" w:color="000000"/>
      </w:pBdr>
      <w:spacing w:after="0"/>
      <w:rPr>
        <w:rFonts w:ascii="Verdana" w:eastAsia="Verdana" w:hAnsi="Verdana" w:cs="Verdana"/>
        <w:b/>
        <w:bCs/>
        <w:sz w:val="18"/>
        <w:szCs w:val="18"/>
      </w:rPr>
    </w:pPr>
    <w:r>
      <w:rPr>
        <w:rFonts w:ascii="Verdana" w:eastAsia="Verdana" w:hAnsi="Verdana" w:cs="Verdana"/>
        <w:b/>
        <w:bCs/>
        <w:sz w:val="18"/>
        <w:szCs w:val="18"/>
      </w:rPr>
      <w:t xml:space="preserve">Agencia Nacional de Contratación Pública                                              pág. </w:t>
    </w:r>
    <w:r>
      <w:rPr>
        <w:rFonts w:ascii="Verdana" w:eastAsia="Verdana" w:hAnsi="Verdana" w:cs="Verdana"/>
        <w:b/>
        <w:bCs/>
        <w:sz w:val="16"/>
        <w:szCs w:val="16"/>
      </w:rPr>
      <w:fldChar w:fldCharType="begin"/>
    </w:r>
    <w:r>
      <w:rPr>
        <w:rFonts w:ascii="Verdana" w:eastAsia="Verdana" w:hAnsi="Verdana" w:cs="Verdana"/>
        <w:b/>
        <w:bCs/>
        <w:sz w:val="16"/>
        <w:szCs w:val="16"/>
      </w:rPr>
      <w:instrText>PAGE</w:instrText>
    </w:r>
    <w:r>
      <w:rPr>
        <w:rFonts w:ascii="Verdana" w:eastAsia="Verdana" w:hAnsi="Verdana" w:cs="Verdana"/>
        <w:b/>
        <w:bCs/>
        <w:sz w:val="16"/>
        <w:szCs w:val="16"/>
      </w:rPr>
      <w:fldChar w:fldCharType="separate"/>
    </w:r>
    <w:r w:rsidR="006A7B2B">
      <w:rPr>
        <w:rFonts w:ascii="Verdana" w:eastAsia="Verdana" w:hAnsi="Verdana" w:cs="Verdana"/>
        <w:b/>
        <w:bCs/>
        <w:noProof/>
        <w:sz w:val="16"/>
        <w:szCs w:val="16"/>
      </w:rPr>
      <w:t>1</w:t>
    </w:r>
    <w:r>
      <w:rPr>
        <w:rFonts w:ascii="Verdana" w:eastAsia="Verdana" w:hAnsi="Verdana" w:cs="Verdana"/>
        <w:b/>
        <w:bCs/>
        <w:sz w:val="16"/>
        <w:szCs w:val="16"/>
      </w:rPr>
      <w:fldChar w:fldCharType="end"/>
    </w:r>
    <w:r>
      <w:rPr>
        <w:rFonts w:ascii="Verdana" w:eastAsia="Verdana" w:hAnsi="Verdana" w:cs="Verdana"/>
        <w:b/>
        <w:bCs/>
        <w:sz w:val="18"/>
        <w:szCs w:val="18"/>
      </w:rPr>
      <w:t xml:space="preserve">              Colombia Compra Eficiente                                                            </w:t>
    </w:r>
  </w:p>
  <w:p w14:paraId="480E4520" w14:textId="77777777" w:rsidR="00843DAC" w:rsidRDefault="00CA0EDB">
    <w:pPr>
      <w:spacing w:after="0"/>
      <w:jc w:val="both"/>
      <w:rPr>
        <w:rFonts w:ascii="Verdana" w:eastAsia="Verdana" w:hAnsi="Verdana" w:cs="Verdana"/>
        <w:sz w:val="18"/>
        <w:szCs w:val="18"/>
      </w:rPr>
    </w:pPr>
    <w:r>
      <w:rPr>
        <w:rFonts w:ascii="Verdana" w:eastAsia="Verdana" w:hAnsi="Verdana" w:cs="Verdana"/>
        <w:sz w:val="18"/>
        <w:szCs w:val="18"/>
      </w:rPr>
      <w:t>Dirección: Carrera 7 # 26 – 20 - Bogotá, Colombia</w:t>
    </w:r>
  </w:p>
  <w:p w14:paraId="667EAEBF" w14:textId="77777777" w:rsidR="00843DAC" w:rsidRDefault="00CA0EDB">
    <w:pPr>
      <w:spacing w:after="0"/>
      <w:jc w:val="both"/>
      <w:rPr>
        <w:rFonts w:ascii="Verdana" w:eastAsia="Verdana" w:hAnsi="Verdana" w:cs="Verdana"/>
        <w:sz w:val="18"/>
        <w:szCs w:val="18"/>
      </w:rPr>
    </w:pPr>
    <w:r>
      <w:rPr>
        <w:rFonts w:ascii="Verdana" w:eastAsia="Verdana" w:hAnsi="Verdana" w:cs="Verdana"/>
        <w:sz w:val="18"/>
        <w:szCs w:val="18"/>
      </w:rPr>
      <w:t>Mesa de servicio: (+57) 601 7456788</w:t>
    </w:r>
  </w:p>
  <w:p w14:paraId="2502B23A" w14:textId="77777777" w:rsidR="00843DAC" w:rsidRDefault="00CA0EDB">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rPr>
    </w:pPr>
    <w:r>
      <w:rPr>
        <w:rFonts w:ascii="Verdana" w:eastAsia="Verdana" w:hAnsi="Verdana" w:cs="Verdana"/>
        <w:b/>
        <w:bCs/>
        <w:color w:val="000000"/>
        <w:sz w:val="18"/>
        <w:szCs w:val="18"/>
      </w:rPr>
      <w:t xml:space="preserve">Código: </w:t>
    </w:r>
    <w:r>
      <w:rPr>
        <w:rFonts w:ascii="Verdana" w:eastAsia="Verdana" w:hAnsi="Verdana" w:cs="Verdana"/>
        <w:color w:val="000000"/>
        <w:sz w:val="18"/>
        <w:szCs w:val="18"/>
      </w:rPr>
      <w:t xml:space="preserve">CCE-REC-FM-17 </w:t>
    </w:r>
    <w:r>
      <w:rPr>
        <w:rFonts w:ascii="Verdana" w:eastAsia="Verdana" w:hAnsi="Verdana" w:cs="Verdana"/>
        <w:b/>
        <w:bCs/>
        <w:color w:val="000000"/>
        <w:sz w:val="18"/>
        <w:szCs w:val="18"/>
      </w:rPr>
      <w:t xml:space="preserve">V: </w:t>
    </w:r>
    <w:r>
      <w:rPr>
        <w:rFonts w:ascii="Verdana" w:eastAsia="Verdana" w:hAnsi="Verdana" w:cs="Verdana"/>
        <w:sz w:val="18"/>
        <w:szCs w:val="18"/>
      </w:rPr>
      <w:t>03 Fecha: 21-10-2025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E7DF" w14:textId="77777777" w:rsidR="00A604B9" w:rsidRDefault="00A60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071C" w14:textId="77777777" w:rsidR="00EC2006" w:rsidRDefault="00EC2006">
      <w:pPr>
        <w:spacing w:after="0" w:line="240" w:lineRule="auto"/>
      </w:pPr>
      <w:r>
        <w:separator/>
      </w:r>
    </w:p>
  </w:footnote>
  <w:footnote w:type="continuationSeparator" w:id="0">
    <w:p w14:paraId="1E0A76D7" w14:textId="77777777" w:rsidR="00EC2006" w:rsidRDefault="00EC2006">
      <w:pPr>
        <w:spacing w:after="0" w:line="240" w:lineRule="auto"/>
      </w:pPr>
      <w:r>
        <w:continuationSeparator/>
      </w:r>
    </w:p>
  </w:footnote>
  <w:footnote w:id="1">
    <w:p w14:paraId="06FE785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CORTE CONSTITUCIONAL.</w:t>
      </w:r>
      <w:r w:rsidRPr="00F23306">
        <w:rPr>
          <w:rFonts w:ascii="Verdana" w:eastAsia="Verdana" w:hAnsi="Verdana" w:cs="Verdana"/>
          <w:color w:val="000000"/>
          <w:sz w:val="16"/>
          <w:szCs w:val="16"/>
        </w:rPr>
        <w:t xml:space="preserve"> Sentencia C-181 de 1997. M.P. Fabio Morón Díaz. Ver también las Sentencias C-540 de 2001, C-893 de 2003 y C-903 de 2008, entre otras.</w:t>
      </w:r>
    </w:p>
  </w:footnote>
  <w:footnote w:id="2">
    <w:p w14:paraId="6B5A8035"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C-1016 de 2012. M.P. Jorge Iván Palacio.</w:t>
      </w:r>
    </w:p>
  </w:footnote>
  <w:footnote w:id="3">
    <w:p w14:paraId="09F567B8"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w:t>
      </w:r>
      <w:r w:rsidRPr="00DE5412">
        <w:rPr>
          <w:rFonts w:ascii="Verdana" w:eastAsia="Verdana" w:hAnsi="Verdana" w:cs="Verdana"/>
          <w:color w:val="000000"/>
          <w:sz w:val="16"/>
          <w:szCs w:val="16"/>
        </w:rPr>
        <w:t>CONSEJO DE ESTADO.</w:t>
      </w:r>
      <w:r w:rsidRPr="00F23306">
        <w:rPr>
          <w:rFonts w:ascii="Verdana" w:eastAsia="Verdana" w:hAnsi="Verdana" w:cs="Verdana"/>
          <w:color w:val="000000"/>
          <w:sz w:val="16"/>
          <w:szCs w:val="16"/>
        </w:rPr>
        <w:t xml:space="preserve"> Sección Tercera. Subsección A. Sentencia del 13 de noviembre de 2013. Rad. 25.646. C.P. Mauricio Fajardo Gómez. </w:t>
      </w:r>
    </w:p>
  </w:footnote>
  <w:footnote w:id="4">
    <w:p w14:paraId="2698B81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5">
    <w:p w14:paraId="4BDA1CD2"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w:t>
      </w:r>
    </w:p>
  </w:footnote>
  <w:footnote w:id="6">
    <w:p w14:paraId="09908A6C"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C-780 de 2001. M.P. Jaime Córdoba Triviño.</w:t>
      </w:r>
    </w:p>
  </w:footnote>
  <w:footnote w:id="7">
    <w:p w14:paraId="091AF47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Ley 80 de 1993: “Artículo 8: 1o. Son inhábiles para participar en licitaciones o concursos y para celebrar contratos con las entidades estatales: </w:t>
      </w:r>
    </w:p>
    <w:p w14:paraId="6A20C7D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Las personas que se hallen inhabilitadas para contratar por la Constitución y las leyes. </w:t>
      </w:r>
    </w:p>
    <w:p w14:paraId="069FDB81"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Quienes participaron en las licitaciones o concursos o celebraron los contratos de que trata el literal anterior estando inhabilitados. </w:t>
      </w:r>
    </w:p>
    <w:p w14:paraId="3DB48728"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Quienes dieron lugar a la declaratoria de caducidad. </w:t>
      </w:r>
    </w:p>
    <w:p w14:paraId="51B1D23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Quienes en sentencia judicial hayan sido condenados a la pena accesoria de interdicción de derechos y funciones públicas y quienes hayan sido sancionados disciplinariamente con destitución. </w:t>
      </w:r>
    </w:p>
    <w:p w14:paraId="2DDA42CD"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Quienes sin justa causa se abstengan de suscribir el contrato estatal adjudicado. </w:t>
      </w:r>
    </w:p>
    <w:p w14:paraId="29417C81"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f) Los servidores públicos. </w:t>
      </w:r>
    </w:p>
    <w:p w14:paraId="50522605"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7A8980C1"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081D5E62"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i) Los socios de sociedades de personas a las cuales se haya declarado la caducidad, así como las sociedades de personas de las que aquellos formen parte con posterioridad a dicha declaratoria. </w:t>
      </w:r>
    </w:p>
    <w:p w14:paraId="69BA893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342F55AE"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16F6C55C"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 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13FE296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w:t>
      </w:r>
    </w:p>
    <w:p w14:paraId="1886F2C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2o. Tampoco podrán participar en licitaciones o concursos ni celebrar contratos estatales con la entidad respectiva: </w:t>
      </w:r>
    </w:p>
    <w:p w14:paraId="0C1C1256"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2BF82B82"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6AA9F1E4"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c) El cónyuge, compañero o compañera permanente del servidor público en los niveles directivo, asesor, ejecutivo, o de un miembro de la junta o consejo directivo, o de quien ejerza funciones de control interno o de control fiscal. </w:t>
      </w:r>
    </w:p>
    <w:p w14:paraId="14B1A59A"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7E2ABC64" w14:textId="77777777" w:rsidR="000565B4" w:rsidRPr="00F23306" w:rsidRDefault="000565B4" w:rsidP="000565B4">
      <w:pPr>
        <w:pBdr>
          <w:top w:val="nil"/>
          <w:left w:val="nil"/>
          <w:bottom w:val="nil"/>
          <w:right w:val="nil"/>
          <w:between w:val="nil"/>
        </w:pBdr>
        <w:spacing w:after="0" w:line="240" w:lineRule="auto"/>
        <w:jc w:val="both"/>
        <w:rPr>
          <w:rFonts w:ascii="Verdana" w:eastAsia="Verdana" w:hAnsi="Verdana" w:cs="Verdana"/>
          <w:color w:val="000000"/>
          <w:sz w:val="16"/>
          <w:szCs w:val="16"/>
        </w:rPr>
      </w:pPr>
      <w:r w:rsidRPr="00F23306">
        <w:rPr>
          <w:rFonts w:ascii="Verdana" w:eastAsia="Verdana" w:hAnsi="Verdana" w:cs="Verdana"/>
          <w:color w:val="000000"/>
          <w:sz w:val="16"/>
          <w:szCs w:val="16"/>
        </w:rPr>
        <w:t>  </w:t>
      </w:r>
      <w:r w:rsidRPr="00F23306">
        <w:rPr>
          <w:rFonts w:ascii="Verdana" w:eastAsia="Verdana" w:hAnsi="Verdana" w:cs="Verdana"/>
          <w:color w:val="000000"/>
          <w:sz w:val="16"/>
          <w:szCs w:val="16"/>
        </w:rPr>
        <w:tab/>
        <w:t>e) Los miembros de las juntas o consejos directivos. Esta incompatibilidad sólo se predica respecto de la entidad a la cual prestan sus servicios y de las del sector administrativo al que la misma esté adscrita o vinculada. </w:t>
      </w:r>
    </w:p>
    <w:p w14:paraId="488A320D"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eastAsia="Verdana" w:hAnsi="Verdana" w:cs="Verdana"/>
          <w:color w:val="000000"/>
          <w:sz w:val="16"/>
          <w:szCs w:val="16"/>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8">
    <w:p w14:paraId="78AF01F3"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Ibídem. p. 69.</w:t>
      </w:r>
    </w:p>
  </w:footnote>
  <w:footnote w:id="9">
    <w:p w14:paraId="6CEAB053"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T-1039 de 2006. M.P. Humberto Sierra Porto. La Corte Constitucional ha mantenido este criterio en las sentencias: C-903 de 2008. M.P. Jaime Araujo Rentería; C-101 de 2018. M.P. Gloria Stella Ortiz Delgado; entre otras. </w:t>
      </w:r>
    </w:p>
  </w:footnote>
  <w:footnote w:id="10">
    <w:p w14:paraId="027B5379"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30 de abril de 2015. Exp. 2251. C.P. Álvaro Namén Vargas.</w:t>
      </w:r>
    </w:p>
  </w:footnote>
  <w:footnote w:id="11">
    <w:p w14:paraId="503DEB0C"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A. Sentencia del 24 de junio de 2015. Exp. 40.635. C.P. Hernán Andrade Rincón (E).</w:t>
      </w:r>
    </w:p>
  </w:footnote>
  <w:footnote w:id="12">
    <w:p w14:paraId="726F1E00"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C. Sentencia del 22 de mayo de 2013. Rad. 24.057. C.P. Olga Mélida Valle De De La Hoz.</w:t>
      </w:r>
    </w:p>
  </w:footnote>
  <w:footnote w:id="13">
    <w:p w14:paraId="2BDED366"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Corte Constitucional. Sentencia C-415 de 1994. M.P. Eduardo Cifuentes Muñoz.</w:t>
      </w:r>
    </w:p>
  </w:footnote>
  <w:footnote w:id="14">
    <w:p w14:paraId="1E60AB07"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Sección Tercera. Subsección B. Sentencia del 12 de diciembre de 2014. Exp. 26496. C.P. Ramiro Pazos Guerrero. En similar sentido, la doctrina expresa que: “[…] las causales de inhabilidad e incompatibilidad resultan ser las que la ley de manera expresa señala, no siendo factible para las entidades estatales, crearlas en los pliegos de condiciones que elaboran (DAVILA VINUEZA, Luis Guillermo Régimen jurídico de la contratación estatal: aproximación crítica a Ley 80 de 1993. 3ª ed. Bogotá: Legis, 2016. p. 149.</w:t>
      </w:r>
    </w:p>
  </w:footnote>
  <w:footnote w:id="15">
    <w:p w14:paraId="7D8DDD24"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Consejo de Estado. Sala de Consulta y Servicio Civil. Concepto del 29 de abril de 1998. Rad. 1097. C.P. Augusto Trejos Jaramillo.</w:t>
      </w:r>
    </w:p>
  </w:footnote>
  <w:footnote w:id="16">
    <w:p w14:paraId="4669B7B9"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RAMÍREZ GRISALES, Richard. La cesión. Medellín: Librería Jurídica Sánchez, 2014. p. 41. </w:t>
      </w:r>
    </w:p>
  </w:footnote>
  <w:footnote w:id="17">
    <w:p w14:paraId="60BA019B" w14:textId="77777777" w:rsidR="000565B4" w:rsidRPr="00F23306"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Verdana" w:hAnsi="Verdana" w:cs="Verdana"/>
          <w:color w:val="000000"/>
          <w:sz w:val="16"/>
          <w:szCs w:val="16"/>
        </w:rPr>
        <w:t xml:space="preserve"> Los contratos estatales son </w:t>
      </w:r>
      <w:r w:rsidRPr="00DE5412">
        <w:rPr>
          <w:rFonts w:ascii="Verdana" w:eastAsia="Verdana" w:hAnsi="Verdana" w:cs="Verdana"/>
          <w:i/>
          <w:color w:val="000000"/>
          <w:sz w:val="16"/>
          <w:szCs w:val="16"/>
        </w:rPr>
        <w:t>intuito personae</w:t>
      </w:r>
      <w:r w:rsidRPr="00F23306">
        <w:rPr>
          <w:rFonts w:ascii="Verdana" w:eastAsia="Verdana" w:hAnsi="Verdana" w:cs="Verdana"/>
          <w:color w:val="000000"/>
          <w:sz w:val="16"/>
          <w:szCs w:val="16"/>
        </w:rPr>
        <w:t> y, en consecuencia, una vez celebrados no podrán cederse sin previa autorización escrita de la entidad contratante. </w:t>
      </w:r>
    </w:p>
  </w:footnote>
  <w:footnote w:id="18">
    <w:p w14:paraId="5ADC897F" w14:textId="77777777" w:rsidR="000565B4" w:rsidRPr="00F23306" w:rsidRDefault="000565B4" w:rsidP="000565B4">
      <w:pPr>
        <w:pStyle w:val="FootnoteText"/>
        <w:ind w:firstLine="708"/>
        <w:rPr>
          <w:rFonts w:ascii="Verdana" w:hAnsi="Verdana"/>
          <w:sz w:val="16"/>
          <w:szCs w:val="16"/>
        </w:rPr>
      </w:pPr>
      <w:r w:rsidRPr="00F23306">
        <w:rPr>
          <w:rStyle w:val="FootnoteReference"/>
          <w:rFonts w:ascii="Verdana" w:hAnsi="Verdana"/>
          <w:sz w:val="16"/>
          <w:szCs w:val="16"/>
        </w:rPr>
        <w:footnoteRef/>
      </w:r>
      <w:r w:rsidRPr="00F23306">
        <w:rPr>
          <w:rFonts w:ascii="Verdana" w:hAnsi="Verdana"/>
          <w:sz w:val="16"/>
          <w:szCs w:val="16"/>
        </w:rPr>
        <w:t xml:space="preserve"> Corte Constitucional. Sentencia C-221 de 1996. M.P. José Gregorio Hernández Galindo. </w:t>
      </w:r>
    </w:p>
  </w:footnote>
  <w:footnote w:id="19">
    <w:p w14:paraId="5993C672" w14:textId="77777777" w:rsidR="000565B4" w:rsidRPr="00F23306" w:rsidRDefault="000565B4" w:rsidP="000565B4">
      <w:pPr>
        <w:spacing w:after="0" w:line="240" w:lineRule="auto"/>
        <w:ind w:firstLine="708"/>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hAnsi="Verdana"/>
          <w:sz w:val="16"/>
          <w:szCs w:val="16"/>
        </w:rPr>
        <w:t xml:space="preserve"> </w:t>
      </w:r>
      <w:r w:rsidRPr="00F23306">
        <w:rPr>
          <w:rFonts w:ascii="Verdana" w:eastAsia="Verdana" w:hAnsi="Verdana" w:cs="Verdana"/>
          <w:sz w:val="16"/>
          <w:szCs w:val="16"/>
        </w:rPr>
        <w:t>Concepto C – 100 de 2024; Concepto C-1694 de 2025</w:t>
      </w:r>
    </w:p>
  </w:footnote>
  <w:footnote w:id="20">
    <w:p w14:paraId="1530E02E" w14:textId="77777777" w:rsidR="000565B4" w:rsidRPr="00F23306" w:rsidRDefault="000565B4" w:rsidP="000565B4">
      <w:pPr>
        <w:pBdr>
          <w:top w:val="nil"/>
          <w:left w:val="nil"/>
          <w:bottom w:val="nil"/>
          <w:right w:val="nil"/>
          <w:between w:val="nil"/>
        </w:pBdr>
        <w:spacing w:after="0" w:line="240" w:lineRule="auto"/>
        <w:ind w:firstLine="709"/>
        <w:jc w:val="both"/>
        <w:rPr>
          <w:rFonts w:ascii="Verdana" w:eastAsia="Verdana" w:hAnsi="Verdana" w:cs="Verdana"/>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sz w:val="16"/>
          <w:szCs w:val="16"/>
        </w:rPr>
        <w:t>ROPPO, Vincenzo. El contrato. Lima: Gaceta Jurídica, 2009. p. 547.</w:t>
      </w:r>
    </w:p>
  </w:footnote>
  <w:footnote w:id="21">
    <w:p w14:paraId="0F14F33F" w14:textId="77777777" w:rsidR="000565B4" w:rsidRPr="00F23306" w:rsidRDefault="000565B4" w:rsidP="000565B4">
      <w:pPr>
        <w:pBdr>
          <w:top w:val="nil"/>
          <w:left w:val="nil"/>
          <w:bottom w:val="nil"/>
          <w:right w:val="nil"/>
          <w:between w:val="nil"/>
        </w:pBdr>
        <w:spacing w:after="0" w:line="240" w:lineRule="auto"/>
        <w:ind w:firstLine="709"/>
        <w:jc w:val="both"/>
        <w:rPr>
          <w:rFonts w:ascii="Verdana" w:eastAsia="Verdana" w:hAnsi="Verdana" w:cs="Verdana"/>
          <w:color w:val="000000"/>
          <w:sz w:val="16"/>
          <w:szCs w:val="16"/>
        </w:rPr>
      </w:pPr>
      <w:r w:rsidRPr="00F23306">
        <w:rPr>
          <w:rFonts w:ascii="Verdana" w:hAnsi="Verdana"/>
          <w:sz w:val="16"/>
          <w:szCs w:val="16"/>
          <w:vertAlign w:val="superscript"/>
        </w:rPr>
        <w:footnoteRef/>
      </w:r>
      <w:r w:rsidRPr="00F23306">
        <w:rPr>
          <w:rFonts w:ascii="Verdana" w:eastAsia="Century Gothic" w:hAnsi="Verdana" w:cs="Century Gothic"/>
          <w:sz w:val="16"/>
          <w:szCs w:val="16"/>
        </w:rPr>
        <w:t xml:space="preserve"> </w:t>
      </w:r>
      <w:r w:rsidRPr="00F23306">
        <w:rPr>
          <w:rFonts w:ascii="Verdana" w:eastAsia="Verdana" w:hAnsi="Verdana" w:cs="Verdana"/>
          <w:i/>
          <w:iCs/>
          <w:sz w:val="16"/>
          <w:szCs w:val="16"/>
        </w:rPr>
        <w:t>Ibidem</w:t>
      </w:r>
      <w:r w:rsidRPr="00F23306">
        <w:rPr>
          <w:rFonts w:ascii="Verdana" w:eastAsia="Verdana" w:hAnsi="Verdana" w:cs="Verdana"/>
          <w:sz w:val="16"/>
          <w:szCs w:val="16"/>
        </w:rPr>
        <w:t>.</w:t>
      </w:r>
    </w:p>
  </w:footnote>
  <w:footnote w:id="22">
    <w:p w14:paraId="31C463A5" w14:textId="77777777" w:rsidR="000565B4" w:rsidRPr="00D964BC" w:rsidRDefault="000565B4" w:rsidP="000565B4">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color w:val="000000"/>
          <w:sz w:val="16"/>
          <w:szCs w:val="16"/>
        </w:rPr>
        <w:t xml:space="preserve">HINESTROSA, Fernando. Tratado de las obligaciones: concepto, estructura y vicisitudes. Tercera Edición. Bogotá: Universidad Externado de Colombia, 2007. Libro en formato EPUB. En contraste con la cesión de créditos, “La cesión de contrato […] al permitir la sustitución de una de las partes en el contrato que se ejecuta, valida al tercero cesionario para que adquiera los derechos y las obligaciones que correspondían al contratante cedente como efectos del contrato. Es decir, lo que en realidad se cede, es </w:t>
      </w:r>
      <w:r w:rsidRPr="00D964BC">
        <w:rPr>
          <w:rFonts w:ascii="Verdana" w:eastAsia="Verdana" w:hAnsi="Verdana" w:cs="Verdana"/>
          <w:sz w:val="16"/>
          <w:szCs w:val="16"/>
        </w:rPr>
        <w:t>mucho más que las posiciones o lados activos de las relaciones obligacionales. se cede también el lado pasivo, pues del contrato surgen como efecto obligaciones y derechos para las partes y la cesión de la posición contractual de una de ellas coloca al tercero cesionario en su lugar, en las mismas circunstancias frente al otro contratante” (ARRUBLA PAUCAR, Jaime Alberto. Contratos mercantiles: teoría general del negocio mercantil. Decimocuarta Edición. Bogotá: Legis, 2021. p. 251)</w:t>
      </w:r>
      <w:r w:rsidRPr="00D964BC">
        <w:rPr>
          <w:rFonts w:ascii="Verdana" w:eastAsia="Century Gothic" w:hAnsi="Verdana" w:cs="Century Gothic"/>
          <w:color w:val="000000"/>
          <w:sz w:val="16"/>
          <w:szCs w:val="16"/>
        </w:rPr>
        <w:t xml:space="preserve">.   </w:t>
      </w:r>
    </w:p>
  </w:footnote>
  <w:footnote w:id="23">
    <w:p w14:paraId="562F8DC7"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w:t>
      </w:r>
      <w:r w:rsidRPr="00D964BC">
        <w:rPr>
          <w:rFonts w:ascii="Verdana" w:eastAsia="Verdana" w:hAnsi="Verdana" w:cs="Verdana"/>
          <w:sz w:val="16"/>
          <w:szCs w:val="16"/>
        </w:rPr>
        <w:t>ESCOLA, Jorge. Tratado integral de los contratos administrativos. Volumen I. Buenos Aires: Depalma, 2012. p. 424. No en vano, “Quien contrata con la administración debe reunir condiciones previas, acreditadas por muy distintos medios, relativas a su capacidad técnica, financiera e incluso moral. De esas personas se ha seleccionado aquella que resulta la más conveniente para el caso, y esa persona no puede ser reemplazada por otra, por la sola decisión de ese cocontratante.</w:t>
      </w:r>
    </w:p>
    <w:p w14:paraId="795EE727"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eastAsia="Verdana" w:hAnsi="Verdana" w:cs="Verdana"/>
          <w:sz w:val="16"/>
          <w:szCs w:val="16"/>
        </w:rPr>
        <w:t xml:space="preserve">De ahí que el principio del cumplimiento personal de sus obligaciones por el cocontratante particular es una exigencia del contrato administrativo que resulta de su naturaleza, por lo que su aplicación es ineludible, aun en los casos en que no existen cláusulas expresas que impongan esa prestación personal o que prohíban la cesión o transferencia del contrato o la subcontratación”. </w:t>
      </w:r>
    </w:p>
  </w:footnote>
  <w:footnote w:id="24">
    <w:p w14:paraId="48D6B788"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MARIENHOFF, Miguel S. Tratado de derecho administrativo. Tomo IIIA. Cuarta Edición. Buenos Aires: Abeledo Perrot, 1998. p. 318. Énfasis dentro del texto.</w:t>
      </w:r>
    </w:p>
  </w:footnote>
  <w:footnote w:id="25">
    <w:p w14:paraId="704BB9B0"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RAMÍREZ GRISALES, Richard. La cesión. Serie: Las cláusulas del contrato estatal. Medellín: Centro de Estudios de Derecho Administrativo –CEDA– y Librería Jurídica Sánchez R., 2014. pp. 71-72.</w:t>
      </w:r>
    </w:p>
  </w:footnote>
  <w:footnote w:id="26">
    <w:p w14:paraId="241F9A9D" w14:textId="77777777" w:rsidR="000565B4" w:rsidRPr="00D964BC" w:rsidRDefault="000565B4" w:rsidP="000565B4">
      <w:pPr>
        <w:pBdr>
          <w:top w:val="nil"/>
          <w:left w:val="nil"/>
          <w:bottom w:val="nil"/>
          <w:right w:val="nil"/>
          <w:between w:val="nil"/>
        </w:pBdr>
        <w:spacing w:after="0" w:line="240" w:lineRule="auto"/>
        <w:ind w:firstLine="709"/>
        <w:jc w:val="both"/>
        <w:rPr>
          <w:rFonts w:ascii="Verdana" w:eastAsia="Century Gothic" w:hAnsi="Verdana" w:cs="Century Gothic"/>
          <w:color w:val="000000"/>
          <w:sz w:val="16"/>
          <w:szCs w:val="16"/>
        </w:rPr>
      </w:pPr>
      <w:r w:rsidRPr="00D964BC">
        <w:rPr>
          <w:rFonts w:ascii="Verdana" w:hAnsi="Verdana"/>
          <w:sz w:val="16"/>
          <w:szCs w:val="16"/>
          <w:vertAlign w:val="superscript"/>
        </w:rPr>
        <w:footnoteRef/>
      </w:r>
      <w:r w:rsidRPr="00D964BC">
        <w:rPr>
          <w:rFonts w:ascii="Verdana" w:eastAsia="Century Gothic" w:hAnsi="Verdana" w:cs="Century Gothic"/>
          <w:color w:val="000000"/>
          <w:sz w:val="16"/>
          <w:szCs w:val="16"/>
        </w:rPr>
        <w:t xml:space="preserve"> Consejo de Estado, Sección Tercera, Sentencia del 16 de marzo de 2015, Rad. 1999-03028, M.P. Jaime Orlando Santofimio Gamboa.</w:t>
      </w:r>
    </w:p>
  </w:footnote>
  <w:footnote w:id="27">
    <w:p w14:paraId="6B7B2E4F" w14:textId="77777777" w:rsidR="000565B4" w:rsidRPr="00D964BC" w:rsidRDefault="000565B4" w:rsidP="000565B4">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Corte Constitucional. Sentencia C-949 del 5 de septiembre de 2001. M.P. Clara Inés Vargas Hernández.  </w:t>
      </w:r>
    </w:p>
    <w:p w14:paraId="6FAC6C28" w14:textId="77777777" w:rsidR="000565B4" w:rsidRPr="00D964BC" w:rsidRDefault="000565B4" w:rsidP="000565B4">
      <w:pPr>
        <w:pBdr>
          <w:top w:val="nil"/>
          <w:left w:val="nil"/>
          <w:bottom w:val="nil"/>
          <w:right w:val="nil"/>
          <w:between w:val="nil"/>
        </w:pBdr>
        <w:spacing w:after="0" w:line="240" w:lineRule="auto"/>
        <w:ind w:firstLine="720"/>
        <w:jc w:val="both"/>
        <w:rPr>
          <w:rFonts w:ascii="Verdana" w:eastAsia="Verdana" w:hAnsi="Verdana" w:cs="Verdana"/>
          <w:color w:val="000000"/>
          <w:sz w:val="16"/>
          <w:szCs w:val="16"/>
        </w:rPr>
      </w:pPr>
    </w:p>
  </w:footnote>
  <w:footnote w:id="28">
    <w:p w14:paraId="44BE2441"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RAMÍREZ GRISALES, La cesión… Op. cit., pp.159-160. </w:t>
      </w:r>
    </w:p>
  </w:footnote>
  <w:footnote w:id="29">
    <w:p w14:paraId="4D81B6D7" w14:textId="77777777" w:rsidR="000565B4" w:rsidRPr="00D964BC" w:rsidRDefault="000565B4" w:rsidP="000565B4">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Colombia Compra Eficiente. Concepto C–059 de 2023. </w:t>
      </w:r>
    </w:p>
  </w:footnote>
  <w:footnote w:id="30">
    <w:p w14:paraId="04503F29" w14:textId="77777777" w:rsidR="000565B4" w:rsidRPr="00D964BC" w:rsidRDefault="000565B4" w:rsidP="000565B4">
      <w:pPr>
        <w:spacing w:after="0" w:line="240" w:lineRule="auto"/>
        <w:ind w:firstLine="708"/>
        <w:rPr>
          <w:rFonts w:ascii="Verdana" w:eastAsia="Verdana" w:hAnsi="Verdana" w:cs="Verdana"/>
          <w:sz w:val="16"/>
          <w:szCs w:val="16"/>
        </w:rPr>
      </w:pPr>
      <w:r w:rsidRPr="00D964BC">
        <w:rPr>
          <w:rFonts w:ascii="Verdana" w:hAnsi="Verdana"/>
          <w:sz w:val="16"/>
          <w:szCs w:val="16"/>
          <w:vertAlign w:val="superscript"/>
        </w:rPr>
        <w:footnoteRef/>
      </w:r>
      <w:r w:rsidRPr="00D964BC">
        <w:rPr>
          <w:rFonts w:ascii="Verdana" w:eastAsia="Verdana" w:hAnsi="Verdana" w:cs="Verdana"/>
          <w:sz w:val="16"/>
          <w:szCs w:val="16"/>
        </w:rPr>
        <w:t xml:space="preserve"> Consejo de Estado. Sala de Consulta y Servicio Civil. Concepto del 15 de mayo de 2018.C.P: Álvaro Namén Vargas. Radicación No. 11001-03-06-000-2017-00058-00 (2335). </w:t>
      </w:r>
    </w:p>
  </w:footnote>
  <w:footnote w:id="31">
    <w:p w14:paraId="1593AE56" w14:textId="77777777" w:rsidR="000565B4" w:rsidRPr="00D964BC" w:rsidRDefault="000565B4" w:rsidP="000565B4">
      <w:pPr>
        <w:pBdr>
          <w:top w:val="nil"/>
          <w:left w:val="nil"/>
          <w:bottom w:val="nil"/>
          <w:right w:val="nil"/>
          <w:between w:val="nil"/>
        </w:pBdr>
        <w:spacing w:after="0" w:line="240" w:lineRule="auto"/>
        <w:ind w:firstLine="708"/>
        <w:jc w:val="both"/>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Verdana" w:hAnsi="Verdana" w:cs="Verdana"/>
          <w:color w:val="000000"/>
          <w:sz w:val="16"/>
          <w:szCs w:val="16"/>
        </w:rPr>
        <w:t xml:space="preserve"> CONSEJO DE ESTADO. Sección Tercera. Subsección A. Sentencia del 9 de mayo de 2012. C.P. Mauricio Fajardo Gómez. Exp. 20968. </w:t>
      </w:r>
    </w:p>
  </w:footnote>
  <w:footnote w:id="32">
    <w:p w14:paraId="5D93D3AF" w14:textId="77777777" w:rsidR="000565B4" w:rsidRPr="00D964BC" w:rsidRDefault="000565B4" w:rsidP="000565B4">
      <w:pPr>
        <w:pBdr>
          <w:top w:val="nil"/>
          <w:left w:val="nil"/>
          <w:bottom w:val="nil"/>
          <w:right w:val="nil"/>
          <w:between w:val="nil"/>
        </w:pBdr>
        <w:spacing w:line="240" w:lineRule="auto"/>
        <w:ind w:firstLine="708"/>
        <w:rPr>
          <w:rFonts w:ascii="Verdana" w:eastAsia="Verdana" w:hAnsi="Verdana" w:cs="Verdana"/>
          <w:color w:val="000000"/>
          <w:sz w:val="16"/>
          <w:szCs w:val="16"/>
        </w:rPr>
      </w:pPr>
      <w:r w:rsidRPr="00D964BC">
        <w:rPr>
          <w:rFonts w:ascii="Verdana" w:hAnsi="Verdana"/>
          <w:sz w:val="16"/>
          <w:szCs w:val="16"/>
          <w:vertAlign w:val="superscript"/>
        </w:rPr>
        <w:footnoteRef/>
      </w:r>
      <w:r w:rsidRPr="00D964BC">
        <w:rPr>
          <w:rFonts w:ascii="Verdana" w:eastAsia="Times New Roman" w:hAnsi="Verdana" w:cs="Times New Roman"/>
          <w:color w:val="000000"/>
          <w:sz w:val="16"/>
          <w:szCs w:val="16"/>
        </w:rPr>
        <w:t xml:space="preserve"> </w:t>
      </w:r>
      <w:r w:rsidRPr="00D964BC">
        <w:rPr>
          <w:rFonts w:ascii="Verdana" w:eastAsia="Verdana" w:hAnsi="Verdana" w:cs="Verdana"/>
          <w:color w:val="000000"/>
          <w:sz w:val="16"/>
          <w:szCs w:val="16"/>
        </w:rPr>
        <w:t>C</w:t>
      </w:r>
      <w:r w:rsidRPr="00D964BC">
        <w:rPr>
          <w:rFonts w:ascii="Verdana" w:eastAsia="Verdana" w:hAnsi="Verdana" w:cs="Verdana"/>
          <w:sz w:val="16"/>
          <w:szCs w:val="16"/>
        </w:rPr>
        <w:t>onsejo de Estado.</w:t>
      </w:r>
      <w:r w:rsidRPr="00D964BC">
        <w:rPr>
          <w:rFonts w:ascii="Verdana" w:eastAsia="Verdana" w:hAnsi="Verdana" w:cs="Verdana"/>
          <w:color w:val="000000"/>
          <w:sz w:val="16"/>
          <w:szCs w:val="16"/>
        </w:rPr>
        <w:t xml:space="preserve"> Sección Tercera. Subsección C. Sentencia del 18 de junio de 2025. C</w:t>
      </w:r>
      <w:r w:rsidRPr="00D964BC">
        <w:rPr>
          <w:rFonts w:ascii="Verdana" w:eastAsia="Verdana" w:hAnsi="Verdana" w:cs="Verdana"/>
          <w:sz w:val="16"/>
          <w:szCs w:val="16"/>
        </w:rPr>
        <w:t>. P</w:t>
      </w:r>
      <w:r w:rsidRPr="00D964BC">
        <w:rPr>
          <w:rFonts w:ascii="Verdana" w:eastAsia="Verdana" w:hAnsi="Verdana" w:cs="Verdana"/>
          <w:color w:val="000000"/>
          <w:sz w:val="16"/>
          <w:szCs w:val="16"/>
        </w:rPr>
        <w:t xml:space="preserve">: Nicolás Yepes Corrales. Exp. 66396. </w:t>
      </w:r>
    </w:p>
    <w:p w14:paraId="0B2CD47E" w14:textId="77777777" w:rsidR="000565B4" w:rsidRPr="00D964BC" w:rsidRDefault="000565B4" w:rsidP="000565B4">
      <w:pPr>
        <w:pBdr>
          <w:top w:val="nil"/>
          <w:left w:val="nil"/>
          <w:bottom w:val="nil"/>
          <w:right w:val="nil"/>
          <w:between w:val="nil"/>
        </w:pBdr>
        <w:spacing w:after="0" w:line="240" w:lineRule="auto"/>
        <w:rPr>
          <w:rFonts w:ascii="Verdana" w:hAnsi="Verdana"/>
          <w:color w:val="000000"/>
          <w:sz w:val="16"/>
          <w:szCs w:val="16"/>
        </w:rPr>
      </w:pPr>
    </w:p>
  </w:footnote>
  <w:footnote w:id="33">
    <w:p w14:paraId="51E0992C" w14:textId="77777777" w:rsidR="000565B4" w:rsidRPr="00D964BC" w:rsidRDefault="000565B4" w:rsidP="000565B4">
      <w:pPr>
        <w:pStyle w:val="FootnoteText"/>
        <w:ind w:firstLine="708"/>
        <w:rPr>
          <w:rFonts w:ascii="Verdana" w:hAnsi="Verdana"/>
          <w:sz w:val="16"/>
          <w:szCs w:val="16"/>
        </w:rPr>
      </w:pPr>
      <w:r w:rsidRPr="00D964BC">
        <w:rPr>
          <w:rStyle w:val="FootnoteReference"/>
          <w:rFonts w:ascii="Verdana" w:hAnsi="Verdana"/>
          <w:sz w:val="16"/>
          <w:szCs w:val="16"/>
        </w:rPr>
        <w:footnoteRef/>
      </w:r>
      <w:r w:rsidRPr="00D964BC">
        <w:rPr>
          <w:rFonts w:ascii="Verdana" w:hAnsi="Verdana"/>
          <w:sz w:val="16"/>
          <w:szCs w:val="16"/>
        </w:rPr>
        <w:t xml:space="preserve"> EXPÓSITO VÉLEZ, Juan Carlos. Forma y contenido del contrato estatal. Bogotá: Universidad Externado de Colombia. 2013. pp. </w:t>
      </w:r>
      <w:r>
        <w:rPr>
          <w:rFonts w:ascii="Verdana" w:hAnsi="Verdana"/>
          <w:sz w:val="16"/>
          <w:szCs w:val="16"/>
        </w:rPr>
        <w:t>204-205.</w:t>
      </w:r>
    </w:p>
  </w:footnote>
  <w:footnote w:id="34">
    <w:p w14:paraId="30611E0D" w14:textId="77777777" w:rsidR="000565B4" w:rsidRPr="00D964BC" w:rsidRDefault="000565B4" w:rsidP="000565B4">
      <w:pPr>
        <w:pStyle w:val="FootnoteText"/>
        <w:ind w:firstLine="708"/>
        <w:rPr>
          <w:rFonts w:ascii="Verdana" w:hAnsi="Verdana"/>
          <w:sz w:val="16"/>
          <w:szCs w:val="16"/>
          <w:lang w:val="es-ES_tradnl"/>
        </w:rPr>
      </w:pPr>
      <w:r w:rsidRPr="00D964BC">
        <w:rPr>
          <w:rStyle w:val="FootnoteReference"/>
          <w:rFonts w:ascii="Verdana" w:hAnsi="Verdana"/>
          <w:sz w:val="16"/>
          <w:szCs w:val="16"/>
        </w:rPr>
        <w:footnoteRef/>
      </w:r>
      <w:r w:rsidRPr="00D964BC">
        <w:rPr>
          <w:rFonts w:ascii="Verdana" w:hAnsi="Verdana"/>
          <w:sz w:val="16"/>
          <w:szCs w:val="16"/>
        </w:rPr>
        <w:t xml:space="preserve"> </w:t>
      </w:r>
      <w:r w:rsidRPr="00D964BC">
        <w:rPr>
          <w:rFonts w:ascii="Verdana" w:hAnsi="Verdana"/>
          <w:sz w:val="16"/>
          <w:szCs w:val="16"/>
          <w:lang w:val="es-ES_tradnl"/>
        </w:rPr>
        <w:t xml:space="preserve">Ibid. </w:t>
      </w:r>
    </w:p>
  </w:footnote>
  <w:footnote w:id="35">
    <w:p w14:paraId="18CAB63C" w14:textId="77777777" w:rsidR="000565B4" w:rsidRPr="007E410B" w:rsidRDefault="000565B4" w:rsidP="000565B4">
      <w:pPr>
        <w:pStyle w:val="FootnoteText"/>
        <w:ind w:firstLine="708"/>
        <w:jc w:val="both"/>
        <w:rPr>
          <w:rFonts w:ascii="Verdana" w:hAnsi="Verdana"/>
          <w:sz w:val="16"/>
          <w:szCs w:val="16"/>
        </w:rPr>
      </w:pPr>
      <w:r w:rsidRPr="007E410B">
        <w:rPr>
          <w:rStyle w:val="FootnoteReference"/>
          <w:rFonts w:ascii="Verdana" w:hAnsi="Verdana"/>
          <w:sz w:val="16"/>
          <w:szCs w:val="16"/>
        </w:rPr>
        <w:footnoteRef/>
      </w:r>
      <w:r w:rsidRPr="007E410B">
        <w:rPr>
          <w:rFonts w:ascii="Verdana" w:hAnsi="Verdana"/>
          <w:sz w:val="16"/>
          <w:szCs w:val="16"/>
        </w:rPr>
        <w:t xml:space="preserve"> Sobre la configuración del vicio de falsa motivación, ver, entre otras: </w:t>
      </w:r>
      <w:r w:rsidRPr="00DE5412">
        <w:rPr>
          <w:rFonts w:ascii="Verdana" w:hAnsi="Verdana"/>
          <w:sz w:val="16"/>
          <w:szCs w:val="16"/>
        </w:rPr>
        <w:t>CONSEJO DE ESTADO</w:t>
      </w:r>
      <w:r w:rsidRPr="007E410B">
        <w:rPr>
          <w:rFonts w:ascii="Verdana" w:hAnsi="Verdana"/>
          <w:sz w:val="16"/>
          <w:szCs w:val="16"/>
        </w:rPr>
        <w:t>, Sección Cuarta, sentencia del 23 de junio de 2011, exp. 16.090, C.P. Hugo Fernando Bastidas Bárcenas</w:t>
      </w:r>
      <w:r w:rsidRPr="00DE5412">
        <w:rPr>
          <w:rFonts w:ascii="Verdana" w:hAnsi="Verdana"/>
          <w:sz w:val="16"/>
          <w:szCs w:val="16"/>
        </w:rPr>
        <w:t>; CONSEJO DE ESTADO</w:t>
      </w:r>
      <w:r w:rsidRPr="007E410B">
        <w:rPr>
          <w:rFonts w:ascii="Verdana" w:hAnsi="Verdana"/>
          <w:sz w:val="16"/>
          <w:szCs w:val="16"/>
        </w:rPr>
        <w:t xml:space="preserve">, Sección Tercera, Subsección A, sentencia del 21 de mayo de 2021, exp. 66.756, C.P. José Roberto Sáchica Méndez; y </w:t>
      </w:r>
      <w:r w:rsidRPr="00DE5412">
        <w:rPr>
          <w:rFonts w:ascii="Verdana" w:hAnsi="Verdana"/>
          <w:sz w:val="16"/>
          <w:szCs w:val="16"/>
        </w:rPr>
        <w:t>CONSEJO DE ESTADO</w:t>
      </w:r>
      <w:r w:rsidRPr="007E410B">
        <w:rPr>
          <w:rFonts w:ascii="Verdana" w:hAnsi="Verdana"/>
          <w:sz w:val="16"/>
          <w:szCs w:val="16"/>
        </w:rPr>
        <w:t>, Sección Tercera, Subsección C, sentencia del 8 de junio de 2022, exp. 67.690, C.P. Marta Nubia Velásquez Rico.</w:t>
      </w:r>
    </w:p>
  </w:footnote>
  <w:footnote w:id="36">
    <w:p w14:paraId="33BDE9A6" w14:textId="77777777" w:rsidR="000565B4" w:rsidRPr="007E410B" w:rsidRDefault="000565B4" w:rsidP="000565B4">
      <w:pPr>
        <w:pStyle w:val="FootnoteText"/>
        <w:jc w:val="both"/>
        <w:rPr>
          <w:rFonts w:ascii="Verdana" w:hAnsi="Verdana"/>
          <w:sz w:val="16"/>
          <w:szCs w:val="16"/>
        </w:rPr>
      </w:pPr>
    </w:p>
    <w:p w14:paraId="17B95495" w14:textId="77777777" w:rsidR="000565B4" w:rsidRPr="00DE5412" w:rsidRDefault="000565B4" w:rsidP="000565B4">
      <w:pPr>
        <w:pStyle w:val="FootnoteText"/>
        <w:ind w:firstLine="708"/>
        <w:jc w:val="both"/>
        <w:rPr>
          <w:rFonts w:ascii="Verdana" w:hAnsi="Verdana"/>
          <w:sz w:val="16"/>
          <w:szCs w:val="16"/>
        </w:rPr>
      </w:pPr>
      <w:r w:rsidRPr="007E410B">
        <w:rPr>
          <w:rStyle w:val="FootnoteReference"/>
          <w:rFonts w:ascii="Verdana" w:hAnsi="Verdana"/>
          <w:sz w:val="16"/>
          <w:szCs w:val="16"/>
        </w:rPr>
        <w:footnoteRef/>
      </w:r>
      <w:r w:rsidRPr="007E410B">
        <w:rPr>
          <w:rFonts w:ascii="Verdana" w:hAnsi="Verdana"/>
          <w:sz w:val="16"/>
          <w:szCs w:val="16"/>
        </w:rPr>
        <w:t xml:space="preserve"> En relación con los presupuestos para la declaratoria de caducidad del contrato estatal, ver, entre otras:</w:t>
      </w:r>
      <w:r w:rsidRPr="00DE5412">
        <w:rPr>
          <w:rFonts w:ascii="Verdana" w:hAnsi="Verdana"/>
          <w:sz w:val="16"/>
          <w:szCs w:val="16"/>
        </w:rPr>
        <w:t xml:space="preserve"> </w:t>
      </w:r>
      <w:r w:rsidRPr="007E410B">
        <w:rPr>
          <w:rFonts w:ascii="Verdana" w:hAnsi="Verdana"/>
          <w:sz w:val="16"/>
          <w:szCs w:val="16"/>
        </w:rPr>
        <w:t xml:space="preserve">CONSEJO DE ESTADO, Sección Tercera, sentencia del 30 de enero de 2013, exp. 20.342, C.P. Mauricio Fajardo Gómez; CONSEJO DE ESTADO, Sección Tercera, Subsección B, sentencia del 26 de julio de 2021, rad. 47001-23-31-000-2011-00119-01, C.P. María Adriana Marín; y CONSEJO DE ESTADO, Sección Tercera, Subsección C, sentencia del 8 de junio de 2022, exp. 67.690, C.P. Marta Nubia Velásquez Rico. </w:t>
      </w:r>
    </w:p>
    <w:p w14:paraId="3BEE9259" w14:textId="77777777" w:rsidR="000565B4" w:rsidRPr="007E410B" w:rsidRDefault="000565B4" w:rsidP="000565B4">
      <w:pPr>
        <w:pStyle w:val="FootnoteText"/>
        <w:ind w:firstLine="708"/>
        <w:jc w:val="both"/>
        <w:rPr>
          <w:rFonts w:ascii="Verdana" w:hAnsi="Verdana"/>
          <w:sz w:val="16"/>
          <w:szCs w:val="16"/>
        </w:rPr>
      </w:pPr>
    </w:p>
  </w:footnote>
  <w:footnote w:id="37">
    <w:p w14:paraId="4A713F57" w14:textId="77777777" w:rsidR="000565B4" w:rsidRPr="007E410B" w:rsidRDefault="000565B4" w:rsidP="000565B4">
      <w:pPr>
        <w:pStyle w:val="FootnoteText"/>
        <w:ind w:firstLine="708"/>
        <w:jc w:val="both"/>
        <w:rPr>
          <w:rFonts w:ascii="Verdana" w:hAnsi="Verdana"/>
          <w:sz w:val="16"/>
          <w:szCs w:val="16"/>
        </w:rPr>
      </w:pPr>
      <w:r w:rsidRPr="007E410B">
        <w:rPr>
          <w:rStyle w:val="FootnoteReference"/>
          <w:rFonts w:ascii="Verdana" w:hAnsi="Verdana"/>
          <w:sz w:val="16"/>
          <w:szCs w:val="16"/>
        </w:rPr>
        <w:footnoteRef/>
      </w:r>
      <w:r w:rsidRPr="007E410B">
        <w:rPr>
          <w:rFonts w:ascii="Verdana" w:hAnsi="Verdana"/>
          <w:sz w:val="16"/>
          <w:szCs w:val="16"/>
        </w:rPr>
        <w:t xml:space="preserve"> En cuanto al principio de legalidad y a la interpretación restrictiva de las potestades excepcionales en la contratación estatal, ver, entre otras: CONSEJO DE ESTADO, Sección Tercera, sentencia del 20 de octubre de 2005, exp. 14.579, C.P. Germán Rodríguez Villamizar; y CONSEJO DE ESTADO, Sala de Consulta y Servicio Civil, Concepto del 6 de abril de 2000, rad. 1.230, C.P. Augusto Trejos Jaramillo, conforme a los cuales el ejercicio de las prerrogativas exorbitantes de la Administración exige habilitación legal expresa y las causales que autorizan la terminación unilateral del contrato estatal son de carácter taxativo, por lo que no admiten interpretación extensiva ni aplicación analógica.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8E90" w14:textId="0090D04E" w:rsidR="00A604B9" w:rsidRDefault="00A604B9">
    <w:pPr>
      <w:pStyle w:val="Header"/>
    </w:pPr>
    <w:r>
      <w:rPr>
        <w:noProof/>
      </w:rPr>
      <w:pict w14:anchorId="2C2AC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69657" o:spid="_x0000_s1026" type="#_x0000_t136" style="position:absolute;margin-left:0;margin-top:0;width:551.1pt;height:71.85pt;rotation:315;z-index:-251653120;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6CCB" w14:textId="0C787E55" w:rsidR="00843DAC" w:rsidRDefault="00A604B9">
    <w:pPr>
      <w:pBdr>
        <w:top w:val="nil"/>
        <w:left w:val="nil"/>
        <w:bottom w:val="nil"/>
        <w:right w:val="nil"/>
        <w:between w:val="nil"/>
      </w:pBdr>
      <w:tabs>
        <w:tab w:val="center" w:pos="4419"/>
        <w:tab w:val="right" w:pos="8838"/>
      </w:tabs>
      <w:spacing w:after="0" w:line="120" w:lineRule="auto"/>
      <w:rPr>
        <w:color w:val="000000"/>
      </w:rPr>
    </w:pPr>
    <w:r>
      <w:rPr>
        <w:noProof/>
      </w:rPr>
      <w:pict w14:anchorId="594A2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69658" o:spid="_x0000_s1027" type="#_x0000_t136" style="position:absolute;margin-left:0;margin-top:0;width:551.1pt;height:71.85pt;rotation:315;z-index:-251651072;mso-position-horizontal:center;mso-position-horizontal-relative:margin;mso-position-vertical:center;mso-position-vertical-relative:margin" o:allowincell="f" fillcolor="silver" stroked="f">
          <v:fill opacity=".5"/>
          <v:textpath style="font-family:&quot;Calibri&quot;;font-size:1pt" string="www.contratacionenlinea.co"/>
        </v:shape>
      </w:pict>
    </w:r>
    <w:r w:rsidR="00CA0EDB">
      <w:rPr>
        <w:rFonts w:ascii="Geom" w:eastAsia="Geom" w:hAnsi="Geom" w:cs="Geom"/>
        <w:b/>
        <w:bCs/>
        <w:noProof/>
        <w:color w:val="002060"/>
        <w:sz w:val="24"/>
        <w:szCs w:val="24"/>
      </w:rPr>
      <w:drawing>
        <wp:anchor distT="0" distB="0" distL="114300" distR="114300" simplePos="0" relativeHeight="251658240" behindDoc="0" locked="0" layoutInCell="1" hidden="0" allowOverlap="1" wp14:anchorId="50DA7FEB" wp14:editId="696A39C1">
          <wp:simplePos x="0" y="0"/>
          <wp:positionH relativeFrom="margin">
            <wp:posOffset>8420100</wp:posOffset>
          </wp:positionH>
          <wp:positionV relativeFrom="margin">
            <wp:posOffset>-1377948</wp:posOffset>
          </wp:positionV>
          <wp:extent cx="665480" cy="30988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5480" cy="3098800"/>
                  </a:xfrm>
                  <a:prstGeom prst="rect">
                    <a:avLst/>
                  </a:prstGeom>
                  <a:ln/>
                </pic:spPr>
              </pic:pic>
            </a:graphicData>
          </a:graphic>
        </wp:anchor>
      </w:drawing>
    </w:r>
    <w:r w:rsidR="00CA0EDB">
      <w:rPr>
        <w:noProof/>
      </w:rPr>
      <w:drawing>
        <wp:anchor distT="0" distB="0" distL="0" distR="0" simplePos="0" relativeHeight="251659264" behindDoc="1" locked="0" layoutInCell="1" hidden="0" allowOverlap="1" wp14:anchorId="2B3683B8" wp14:editId="6568052E">
          <wp:simplePos x="0" y="0"/>
          <wp:positionH relativeFrom="column">
            <wp:posOffset>1844039</wp:posOffset>
          </wp:positionH>
          <wp:positionV relativeFrom="paragraph">
            <wp:posOffset>-256384</wp:posOffset>
          </wp:positionV>
          <wp:extent cx="1924050" cy="856004"/>
          <wp:effectExtent l="0" t="0" r="0" b="0"/>
          <wp:wrapNone/>
          <wp:docPr id="2" name="image2.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Interfaz de usuario gráfica&#10;&#10;Descripción generada automáticamente"/>
                  <pic:cNvPicPr preferRelativeResize="0"/>
                </pic:nvPicPr>
                <pic:blipFill>
                  <a:blip r:embed="rId2"/>
                  <a:srcRect/>
                  <a:stretch>
                    <a:fillRect/>
                  </a:stretch>
                </pic:blipFill>
                <pic:spPr>
                  <a:xfrm>
                    <a:off x="0" y="0"/>
                    <a:ext cx="1924050" cy="856004"/>
                  </a:xfrm>
                  <a:prstGeom prst="rect">
                    <a:avLst/>
                  </a:prstGeom>
                  <a:ln/>
                </pic:spPr>
              </pic:pic>
            </a:graphicData>
          </a:graphic>
        </wp:anchor>
      </w:drawing>
    </w:r>
  </w:p>
  <w:p w14:paraId="58E8822F" w14:textId="77777777" w:rsidR="00843DAC" w:rsidRDefault="00843DAC">
    <w:pPr>
      <w:pBdr>
        <w:top w:val="nil"/>
        <w:left w:val="nil"/>
        <w:bottom w:val="nil"/>
        <w:right w:val="nil"/>
        <w:between w:val="nil"/>
      </w:pBdr>
      <w:tabs>
        <w:tab w:val="center" w:pos="4419"/>
        <w:tab w:val="right" w:pos="8838"/>
      </w:tabs>
      <w:spacing w:after="0" w:line="240" w:lineRule="auto"/>
      <w:rPr>
        <w:color w:val="000000"/>
      </w:rPr>
    </w:pPr>
  </w:p>
  <w:p w14:paraId="6AD72821" w14:textId="77777777" w:rsidR="00843DAC" w:rsidRDefault="00843DAC">
    <w:pPr>
      <w:spacing w:after="0" w:line="120" w:lineRule="auto"/>
      <w:rPr>
        <w:rFonts w:ascii="Century Gothic" w:eastAsia="Century Gothic" w:hAnsi="Century Gothic" w:cs="Century Gothic"/>
        <w:sz w:val="16"/>
        <w:szCs w:val="16"/>
      </w:rPr>
    </w:pPr>
  </w:p>
  <w:p w14:paraId="5B2B58C5" w14:textId="77777777" w:rsidR="00843DAC" w:rsidRDefault="00843DAC">
    <w:pPr>
      <w:spacing w:after="0" w:line="240" w:lineRule="auto"/>
      <w:rPr>
        <w:rFonts w:ascii="Verdana" w:eastAsia="Verdana" w:hAnsi="Verdana" w:cs="Verdana"/>
        <w:sz w:val="24"/>
        <w:szCs w:val="24"/>
      </w:rPr>
    </w:pPr>
  </w:p>
  <w:p w14:paraId="28F9753B" w14:textId="77777777" w:rsidR="00843DAC" w:rsidRDefault="00843DAC">
    <w:pPr>
      <w:spacing w:after="0" w:line="240" w:lineRule="auto"/>
      <w:rPr>
        <w:rFonts w:ascii="Verdana" w:eastAsia="Verdana" w:hAnsi="Verdana" w:cs="Verdana"/>
        <w:sz w:val="24"/>
        <w:szCs w:val="24"/>
      </w:rPr>
    </w:pPr>
  </w:p>
  <w:p w14:paraId="05130EFC" w14:textId="77777777" w:rsidR="00843DAC" w:rsidRDefault="00CA0EDB">
    <w:pPr>
      <w:spacing w:after="0" w:line="480" w:lineRule="auto"/>
      <w:rPr>
        <w:rFonts w:ascii="Verdana" w:eastAsia="Verdana" w:hAnsi="Verdana" w:cs="Verdana"/>
        <w:b/>
        <w:bCs/>
        <w:sz w:val="24"/>
        <w:szCs w:val="24"/>
      </w:rPr>
    </w:pPr>
    <w:r>
      <w:rPr>
        <w:rFonts w:ascii="Verdana" w:eastAsia="Verdana" w:hAnsi="Verdana" w:cs="Verdana"/>
        <w:b/>
        <w:bCs/>
        <w:sz w:val="24"/>
        <w:szCs w:val="24"/>
      </w:rPr>
      <w:t>FORMATO DE RESPUESTA PQRSD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4247" w14:textId="397A4720" w:rsidR="00A604B9" w:rsidRDefault="00A604B9">
    <w:pPr>
      <w:pStyle w:val="Header"/>
    </w:pPr>
    <w:r>
      <w:rPr>
        <w:noProof/>
      </w:rPr>
      <w:pict w14:anchorId="3A85C8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69656" o:spid="_x0000_s1025" type="#_x0000_t136" style="position:absolute;margin-left:0;margin-top:0;width:551.1pt;height:71.85pt;rotation:315;z-index:-251655168;mso-position-horizontal:center;mso-position-horizontal-relative:margin;mso-position-vertical:center;mso-position-vertical-relative:margin" o:allowincell="f" fillcolor="silver" stroked="f">
          <v:fill opacity=".5"/>
          <v:textpath style="font-family:&quot;Calibri&quot;;font-size:1pt" string="www.contratacionenlinea.c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732"/>
    <w:multiLevelType w:val="multilevel"/>
    <w:tmpl w:val="706074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B471867"/>
    <w:multiLevelType w:val="multilevel"/>
    <w:tmpl w:val="9E14F608"/>
    <w:lvl w:ilvl="0">
      <w:start w:val="1"/>
      <w:numFmt w:val="bullet"/>
      <w:lvlText w:val="●"/>
      <w:lvlJc w:val="left"/>
      <w:pPr>
        <w:ind w:left="785" w:hanging="360"/>
      </w:pPr>
      <w:rPr>
        <w:rFonts w:ascii="Noto Sans Symbols" w:eastAsia="Noto Sans Symbols" w:hAnsi="Noto Sans Symbols" w:cs="Noto Sans Symbols"/>
        <w:color w:val="000000"/>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 w15:restartNumberingAfterBreak="0">
    <w:nsid w:val="1E9E3F36"/>
    <w:multiLevelType w:val="hybridMultilevel"/>
    <w:tmpl w:val="9132CD72"/>
    <w:lvl w:ilvl="0" w:tplc="1CCE837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4605003"/>
    <w:multiLevelType w:val="multilevel"/>
    <w:tmpl w:val="790408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67442087">
    <w:abstractNumId w:val="3"/>
  </w:num>
  <w:num w:numId="2" w16cid:durableId="1227230317">
    <w:abstractNumId w:val="1"/>
  </w:num>
  <w:num w:numId="3" w16cid:durableId="659309883">
    <w:abstractNumId w:val="0"/>
  </w:num>
  <w:num w:numId="4" w16cid:durableId="2107188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AC"/>
    <w:rsid w:val="0000494B"/>
    <w:rsid w:val="0001324F"/>
    <w:rsid w:val="00014FC4"/>
    <w:rsid w:val="00015385"/>
    <w:rsid w:val="00015BA5"/>
    <w:rsid w:val="00034DC2"/>
    <w:rsid w:val="0003537D"/>
    <w:rsid w:val="000565B4"/>
    <w:rsid w:val="00057103"/>
    <w:rsid w:val="00086199"/>
    <w:rsid w:val="000A41BF"/>
    <w:rsid w:val="000B182B"/>
    <w:rsid w:val="000B27F2"/>
    <w:rsid w:val="000D1B48"/>
    <w:rsid w:val="000F3222"/>
    <w:rsid w:val="000F52F3"/>
    <w:rsid w:val="0011143B"/>
    <w:rsid w:val="00126698"/>
    <w:rsid w:val="0016425C"/>
    <w:rsid w:val="001E4738"/>
    <w:rsid w:val="001E6AE5"/>
    <w:rsid w:val="00222386"/>
    <w:rsid w:val="00222E04"/>
    <w:rsid w:val="0022517D"/>
    <w:rsid w:val="00261AF5"/>
    <w:rsid w:val="00262A24"/>
    <w:rsid w:val="00271E8D"/>
    <w:rsid w:val="00272D62"/>
    <w:rsid w:val="002875AA"/>
    <w:rsid w:val="00291BFB"/>
    <w:rsid w:val="002A0808"/>
    <w:rsid w:val="002A2897"/>
    <w:rsid w:val="002D14B9"/>
    <w:rsid w:val="002D2153"/>
    <w:rsid w:val="002E3583"/>
    <w:rsid w:val="0030214F"/>
    <w:rsid w:val="00321D9F"/>
    <w:rsid w:val="00327462"/>
    <w:rsid w:val="00327AC8"/>
    <w:rsid w:val="003427B5"/>
    <w:rsid w:val="00350A9F"/>
    <w:rsid w:val="003812C8"/>
    <w:rsid w:val="003821A6"/>
    <w:rsid w:val="00385265"/>
    <w:rsid w:val="003856C6"/>
    <w:rsid w:val="00385D74"/>
    <w:rsid w:val="00390154"/>
    <w:rsid w:val="003B0957"/>
    <w:rsid w:val="003B1E23"/>
    <w:rsid w:val="003B38FA"/>
    <w:rsid w:val="003C4B86"/>
    <w:rsid w:val="003D32F9"/>
    <w:rsid w:val="003E04FD"/>
    <w:rsid w:val="003E316B"/>
    <w:rsid w:val="003E77FB"/>
    <w:rsid w:val="003E7FD4"/>
    <w:rsid w:val="00411AB2"/>
    <w:rsid w:val="0043205B"/>
    <w:rsid w:val="004451C2"/>
    <w:rsid w:val="00470DC2"/>
    <w:rsid w:val="00473195"/>
    <w:rsid w:val="0047426F"/>
    <w:rsid w:val="00477480"/>
    <w:rsid w:val="00480EEF"/>
    <w:rsid w:val="004A072D"/>
    <w:rsid w:val="004D46D3"/>
    <w:rsid w:val="0050257A"/>
    <w:rsid w:val="00510412"/>
    <w:rsid w:val="005232CA"/>
    <w:rsid w:val="005279D5"/>
    <w:rsid w:val="00557BDA"/>
    <w:rsid w:val="00587C15"/>
    <w:rsid w:val="00592043"/>
    <w:rsid w:val="00594178"/>
    <w:rsid w:val="0062331C"/>
    <w:rsid w:val="006A7B2B"/>
    <w:rsid w:val="006C6B3F"/>
    <w:rsid w:val="006D0E1F"/>
    <w:rsid w:val="006F35B1"/>
    <w:rsid w:val="00726B2E"/>
    <w:rsid w:val="00750B60"/>
    <w:rsid w:val="00751D38"/>
    <w:rsid w:val="00752B93"/>
    <w:rsid w:val="007754E3"/>
    <w:rsid w:val="007A2AE6"/>
    <w:rsid w:val="007C064A"/>
    <w:rsid w:val="00810B59"/>
    <w:rsid w:val="00811026"/>
    <w:rsid w:val="00840DF0"/>
    <w:rsid w:val="00843DAC"/>
    <w:rsid w:val="008512AA"/>
    <w:rsid w:val="0085493A"/>
    <w:rsid w:val="00861126"/>
    <w:rsid w:val="00872DA4"/>
    <w:rsid w:val="008A6781"/>
    <w:rsid w:val="008A7C8A"/>
    <w:rsid w:val="008B2A23"/>
    <w:rsid w:val="008B5F92"/>
    <w:rsid w:val="008B6D1F"/>
    <w:rsid w:val="008E2943"/>
    <w:rsid w:val="00925909"/>
    <w:rsid w:val="00962DC5"/>
    <w:rsid w:val="0097651A"/>
    <w:rsid w:val="0099078E"/>
    <w:rsid w:val="009937E2"/>
    <w:rsid w:val="009A044C"/>
    <w:rsid w:val="009B614C"/>
    <w:rsid w:val="009D1B9D"/>
    <w:rsid w:val="00A01487"/>
    <w:rsid w:val="00A604B9"/>
    <w:rsid w:val="00A64102"/>
    <w:rsid w:val="00A72869"/>
    <w:rsid w:val="00A86750"/>
    <w:rsid w:val="00A87B65"/>
    <w:rsid w:val="00A919EB"/>
    <w:rsid w:val="00AB0195"/>
    <w:rsid w:val="00AD1D84"/>
    <w:rsid w:val="00B06D4E"/>
    <w:rsid w:val="00B142D1"/>
    <w:rsid w:val="00B26AEF"/>
    <w:rsid w:val="00B35AD3"/>
    <w:rsid w:val="00B62BE7"/>
    <w:rsid w:val="00B74B07"/>
    <w:rsid w:val="00B80C4F"/>
    <w:rsid w:val="00B956FC"/>
    <w:rsid w:val="00BA6B60"/>
    <w:rsid w:val="00BB2DF9"/>
    <w:rsid w:val="00BB734C"/>
    <w:rsid w:val="00BC0E84"/>
    <w:rsid w:val="00BE229C"/>
    <w:rsid w:val="00C15824"/>
    <w:rsid w:val="00C30F11"/>
    <w:rsid w:val="00C4001F"/>
    <w:rsid w:val="00C84353"/>
    <w:rsid w:val="00C90DD6"/>
    <w:rsid w:val="00C95CB0"/>
    <w:rsid w:val="00C95DD6"/>
    <w:rsid w:val="00CA0EDB"/>
    <w:rsid w:val="00CD4F3A"/>
    <w:rsid w:val="00CE23CC"/>
    <w:rsid w:val="00D102AC"/>
    <w:rsid w:val="00D1175F"/>
    <w:rsid w:val="00D14375"/>
    <w:rsid w:val="00D46A92"/>
    <w:rsid w:val="00D51A28"/>
    <w:rsid w:val="00D76462"/>
    <w:rsid w:val="00D81923"/>
    <w:rsid w:val="00D964BC"/>
    <w:rsid w:val="00E1743D"/>
    <w:rsid w:val="00E17CB2"/>
    <w:rsid w:val="00E23338"/>
    <w:rsid w:val="00E34E8E"/>
    <w:rsid w:val="00E47A7F"/>
    <w:rsid w:val="00E5559A"/>
    <w:rsid w:val="00E75187"/>
    <w:rsid w:val="00E945C9"/>
    <w:rsid w:val="00EA790B"/>
    <w:rsid w:val="00EC2006"/>
    <w:rsid w:val="00ED50A7"/>
    <w:rsid w:val="00ED6335"/>
    <w:rsid w:val="00F1675F"/>
    <w:rsid w:val="00F23306"/>
    <w:rsid w:val="00F424DE"/>
    <w:rsid w:val="00F42CB5"/>
    <w:rsid w:val="00F660C5"/>
    <w:rsid w:val="00F8084F"/>
    <w:rsid w:val="00F87E22"/>
    <w:rsid w:val="00FB59C8"/>
    <w:rsid w:val="00FD4A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F7F69"/>
  <w15:docId w15:val="{B608B1AF-286C-9442-9FB9-539B64C6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9D"/>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rFonts w:ascii="Geom" w:eastAsia="Geom" w:hAnsi="Geom" w:cs="Geom"/>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0" w:type="dxa"/>
        <w:bottom w:w="0" w:type="dxa"/>
        <w:right w:w="0"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57BDA"/>
    <w:pPr>
      <w:ind w:left="720"/>
      <w:contextualSpacing/>
    </w:pPr>
  </w:style>
  <w:style w:type="paragraph" w:styleId="FootnoteText">
    <w:name w:val="footnote text"/>
    <w:basedOn w:val="Normal"/>
    <w:link w:val="FootnoteTextChar"/>
    <w:uiPriority w:val="99"/>
    <w:semiHidden/>
    <w:unhideWhenUsed/>
    <w:rsid w:val="00F167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675F"/>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F1675F"/>
    <w:rPr>
      <w:vertAlign w:val="superscript"/>
    </w:rPr>
  </w:style>
  <w:style w:type="paragraph" w:styleId="BodyText">
    <w:name w:val="Body Text"/>
    <w:basedOn w:val="Normal"/>
    <w:link w:val="BodyTextChar"/>
    <w:uiPriority w:val="1"/>
    <w:qFormat/>
    <w:rsid w:val="0011143B"/>
    <w:pPr>
      <w:widowControl w:val="0"/>
      <w:autoSpaceDE w:val="0"/>
      <w:autoSpaceDN w:val="0"/>
      <w:spacing w:after="0" w:line="240" w:lineRule="auto"/>
    </w:pPr>
    <w:rPr>
      <w:rFonts w:ascii="Verdana" w:eastAsia="Verdana" w:hAnsi="Verdana" w:cs="Verdana"/>
      <w:lang w:val="es-ES" w:eastAsia="en-US"/>
    </w:rPr>
  </w:style>
  <w:style w:type="character" w:customStyle="1" w:styleId="BodyTextChar">
    <w:name w:val="Body Text Char"/>
    <w:basedOn w:val="DefaultParagraphFont"/>
    <w:link w:val="BodyText"/>
    <w:uiPriority w:val="1"/>
    <w:rsid w:val="0011143B"/>
    <w:rPr>
      <w:rFonts w:ascii="Verdana" w:eastAsia="Verdana" w:hAnsi="Verdana" w:cs="Verdana"/>
      <w:lang w:val="es-ES" w:eastAsia="en-US"/>
    </w:rPr>
  </w:style>
  <w:style w:type="paragraph" w:styleId="Revision">
    <w:name w:val="Revision"/>
    <w:hidden/>
    <w:uiPriority w:val="99"/>
    <w:semiHidden/>
    <w:rsid w:val="00262A24"/>
    <w:pPr>
      <w:spacing w:after="0" w:line="240" w:lineRule="auto"/>
    </w:pPr>
  </w:style>
  <w:style w:type="paragraph" w:styleId="NormalWeb">
    <w:name w:val="Normal (Web)"/>
    <w:basedOn w:val="Normal"/>
    <w:uiPriority w:val="99"/>
    <w:semiHidden/>
    <w:unhideWhenUsed/>
    <w:rsid w:val="00594178"/>
    <w:rPr>
      <w:rFonts w:ascii="Times New Roman" w:hAnsi="Times New Roman" w:cs="Times New Roman"/>
      <w:sz w:val="24"/>
      <w:szCs w:val="24"/>
    </w:rPr>
  </w:style>
  <w:style w:type="paragraph" w:customStyle="1" w:styleId="Appelnotedebasde">
    <w:name w:val="Appel note de bas de..."/>
    <w:basedOn w:val="Normal"/>
    <w:link w:val="FootnoteReference"/>
    <w:uiPriority w:val="99"/>
    <w:rsid w:val="000D1B48"/>
    <w:pPr>
      <w:spacing w:line="240" w:lineRule="exact"/>
    </w:pPr>
    <w:rPr>
      <w:vertAlign w:val="superscript"/>
    </w:rPr>
  </w:style>
  <w:style w:type="paragraph" w:styleId="Header">
    <w:name w:val="header"/>
    <w:basedOn w:val="Normal"/>
    <w:link w:val="HeaderChar"/>
    <w:uiPriority w:val="99"/>
    <w:unhideWhenUsed/>
    <w:rsid w:val="00A60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4B9"/>
  </w:style>
  <w:style w:type="paragraph" w:styleId="Footer">
    <w:name w:val="footer"/>
    <w:basedOn w:val="Normal"/>
    <w:link w:val="FooterChar"/>
    <w:uiPriority w:val="99"/>
    <w:unhideWhenUsed/>
    <w:rsid w:val="00A60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mailto:ventanilladeradicacion@colombiacompra.gov.co"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olombiacompra.gov.co/normativa-y-relatoria/documentos-tipo"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ormacionvirtual.colombiacompra.gov.co/mod/page/view.php?id=3718"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hrqkWZrQnE0ULO6sP8F/XWcwQ==">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5C5C23-F728-4138-9D77-C4F509B714D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3981143-74FB-6341-B424-71CE589C8FF8}">
  <ds:schemaRefs>
    <ds:schemaRef ds:uri="http://schemas.openxmlformats.org/officeDocument/2006/bibliography"/>
  </ds:schemaRefs>
</ds:datastoreItem>
</file>

<file path=customXml/itemProps4.xml><?xml version="1.0" encoding="utf-8"?>
<ds:datastoreItem xmlns:ds="http://schemas.openxmlformats.org/officeDocument/2006/customXml" ds:itemID="{61BE7636-05B8-4144-92B0-E12F923E268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5.xml><?xml version="1.0" encoding="utf-8"?>
<ds:datastoreItem xmlns:ds="http://schemas.openxmlformats.org/officeDocument/2006/customXml" ds:itemID="{E841B4D8-EC5E-4E63-84EC-D0FA01ECD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51</Pages>
  <Words>18141</Words>
  <Characters>103409</Characters>
  <Application>Microsoft Office Word</Application>
  <DocSecurity>0</DocSecurity>
  <Lines>861</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Sanchez</dc:creator>
  <cp:lastModifiedBy>Contratación en Línea</cp:lastModifiedBy>
  <cp:revision>13</cp:revision>
  <dcterms:created xsi:type="dcterms:W3CDTF">2026-07-24T18:07:00Z</dcterms:created>
  <dcterms:modified xsi:type="dcterms:W3CDTF">2026-08-04T01:37:00Z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MediaServiceImageTags</vt:lpwstr>
  </property>
</Properties>
</file>