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CEDC" w14:textId="77777777" w:rsidR="005C0AEA" w:rsidRDefault="00904AD4" w:rsidP="005C0AEA">
      <w:pPr>
        <w:spacing w:after="0" w:line="240" w:lineRule="auto"/>
        <w:contextualSpacing/>
        <w:jc w:val="both"/>
        <w:rPr>
          <w:rFonts w:ascii="Verdana" w:eastAsia="Calibri" w:hAnsi="Verdana" w:cs="Arial"/>
          <w:b/>
          <w:lang w:val="es-MX" w:eastAsia="es-MX"/>
        </w:rPr>
      </w:pPr>
      <w:bookmarkStart w:id="0" w:name="_Hlk143780582"/>
      <w:bookmarkStart w:id="1" w:name="_Hlk214366482"/>
      <w:bookmarkStart w:id="2" w:name="_Hlk214633544"/>
      <w:r w:rsidRPr="00904AD4">
        <w:rPr>
          <w:rFonts w:ascii="Verdana" w:eastAsia="Calibri" w:hAnsi="Verdana" w:cs="Arial"/>
          <w:b/>
          <w:lang w:val="es-MX" w:eastAsia="es-MX"/>
        </w:rPr>
        <w:t xml:space="preserve">LEY DE GARANTÍAS ELECTORALES – Naturaleza Jurídica </w:t>
      </w:r>
    </w:p>
    <w:p w14:paraId="4A030FA3" w14:textId="77777777" w:rsidR="005C0AEA" w:rsidRDefault="005C0AEA" w:rsidP="005C0AEA">
      <w:pPr>
        <w:spacing w:after="0" w:line="240" w:lineRule="auto"/>
        <w:contextualSpacing/>
        <w:jc w:val="both"/>
        <w:rPr>
          <w:rFonts w:ascii="Verdana" w:eastAsia="Calibri" w:hAnsi="Verdana" w:cs="Arial"/>
          <w:b/>
          <w:lang w:val="es-MX" w:eastAsia="es-MX"/>
        </w:rPr>
      </w:pPr>
    </w:p>
    <w:p w14:paraId="7F2A6669" w14:textId="690398A0" w:rsidR="00904AD4" w:rsidRPr="005C0AEA" w:rsidRDefault="00DC3470" w:rsidP="005C0AEA">
      <w:pPr>
        <w:spacing w:after="0" w:line="240" w:lineRule="auto"/>
        <w:contextualSpacing/>
        <w:jc w:val="both"/>
        <w:rPr>
          <w:rFonts w:ascii="Verdana" w:eastAsia="Calibri" w:hAnsi="Verdana" w:cs="Arial"/>
          <w:b/>
          <w:lang w:val="es-MX" w:eastAsia="es-MX"/>
        </w:rPr>
      </w:pPr>
      <w:r w:rsidRPr="00DC3470">
        <w:rPr>
          <w:rFonts w:ascii="Verdana" w:eastAsia="Times New Roman" w:hAnsi="Verdana" w:cs="Arial"/>
          <w:bCs/>
          <w:sz w:val="20"/>
          <w:szCs w:val="20"/>
          <w:lang w:eastAsia="es-CO"/>
        </w:rPr>
        <w:t>Esta ley tiene como propósito evitar cualquier tipo de arbitrariedad, de ventaja injustificada, de uso irregular de los recursos del Estado en las campañas o falta de garantías en la elección presidencial. En esta medida, introduce limitaciones para realizar nombramientos, postulaciones, contrataciones o cualquier otro tipo de actividad que implique destinación de recursos públicos bajo el devenir propio de las entidades estatales.</w:t>
      </w:r>
    </w:p>
    <w:p w14:paraId="039D5701" w14:textId="77777777" w:rsidR="00904AD4" w:rsidRPr="00904AD4" w:rsidRDefault="00904AD4" w:rsidP="00904AD4">
      <w:pPr>
        <w:spacing w:after="0" w:line="240" w:lineRule="auto"/>
        <w:contextualSpacing/>
        <w:jc w:val="both"/>
        <w:rPr>
          <w:rFonts w:ascii="Verdana" w:eastAsia="Calibri" w:hAnsi="Verdana" w:cs="Arial"/>
          <w:b/>
          <w:lang w:val="es-MX" w:eastAsia="es-MX"/>
        </w:rPr>
      </w:pPr>
    </w:p>
    <w:p w14:paraId="050282F3" w14:textId="77777777" w:rsidR="005C0AEA" w:rsidRDefault="00904AD4" w:rsidP="005C0AEA">
      <w:pPr>
        <w:spacing w:after="0" w:line="240" w:lineRule="auto"/>
        <w:contextualSpacing/>
        <w:jc w:val="both"/>
        <w:rPr>
          <w:rFonts w:ascii="Verdana" w:eastAsia="Calibri" w:hAnsi="Verdana" w:cs="Arial"/>
          <w:b/>
          <w:lang w:val="es-MX" w:eastAsia="es-MX"/>
        </w:rPr>
      </w:pPr>
      <w:r w:rsidRPr="00904AD4">
        <w:rPr>
          <w:rFonts w:ascii="Verdana" w:eastAsia="Calibri" w:hAnsi="Verdana" w:cs="Arial"/>
          <w:b/>
          <w:lang w:val="es-MX" w:eastAsia="es-MX"/>
        </w:rPr>
        <w:t xml:space="preserve">LEY DE GARANTÍAS ELECTORALES – Prohibiciones </w:t>
      </w:r>
    </w:p>
    <w:p w14:paraId="0C66E29E" w14:textId="77777777" w:rsidR="005C0AEA" w:rsidRDefault="005C0AEA" w:rsidP="005C0AEA">
      <w:pPr>
        <w:spacing w:after="0" w:line="240" w:lineRule="auto"/>
        <w:contextualSpacing/>
        <w:jc w:val="both"/>
        <w:rPr>
          <w:rFonts w:ascii="Verdana" w:eastAsia="Calibri" w:hAnsi="Verdana" w:cs="Arial"/>
          <w:b/>
          <w:lang w:val="es-MX" w:eastAsia="es-MX"/>
        </w:rPr>
      </w:pPr>
    </w:p>
    <w:p w14:paraId="4F048C58" w14:textId="4C66520F" w:rsidR="00DC3470" w:rsidRPr="005C0AEA" w:rsidRDefault="00DC3470" w:rsidP="005C0AEA">
      <w:pPr>
        <w:spacing w:after="0" w:line="240" w:lineRule="auto"/>
        <w:contextualSpacing/>
        <w:jc w:val="both"/>
        <w:rPr>
          <w:rFonts w:ascii="Verdana" w:eastAsia="Calibri" w:hAnsi="Verdana" w:cs="Arial"/>
          <w:b/>
          <w:lang w:val="es-MX" w:eastAsia="es-MX"/>
        </w:rPr>
      </w:pPr>
      <w:r>
        <w:rPr>
          <w:rFonts w:ascii="Verdana" w:eastAsia="Arial" w:hAnsi="Verdana" w:cs="Arial"/>
          <w:sz w:val="20"/>
          <w:szCs w:val="20"/>
          <w:lang w:val="es-ES" w:eastAsia="es-ES" w:bidi="es-ES"/>
        </w:rPr>
        <w:t xml:space="preserve">[…] </w:t>
      </w:r>
      <w:r w:rsidRPr="00DC3470">
        <w:rPr>
          <w:rFonts w:ascii="Verdana" w:eastAsia="Arial" w:hAnsi="Verdana" w:cs="Arial"/>
          <w:sz w:val="20"/>
          <w:szCs w:val="20"/>
          <w:lang w:val="es-ES" w:eastAsia="es-ES" w:bidi="es-ES"/>
        </w:rPr>
        <w:t xml:space="preserve">la Ley de Garantías Electorales fijó una serie de regulaciones y prohibiciones dirigidas a los servidores públicos. Así, con la finalidad de preservar la igualdad entre los candidatos en las elecciones, aumentó las garantías en materia de contratación, de forma que no exista siquiera sospecha de que, por ese medio, en los periodos previos a la contienda electoral, se altere las condiciones de igualdad entre los candidatos. </w:t>
      </w:r>
    </w:p>
    <w:p w14:paraId="018EDEDD" w14:textId="77777777" w:rsidR="00DC3470" w:rsidRDefault="00DC3470" w:rsidP="005C0AEA">
      <w:pPr>
        <w:spacing w:after="0" w:line="240" w:lineRule="auto"/>
        <w:jc w:val="both"/>
        <w:rPr>
          <w:rFonts w:ascii="Verdana" w:eastAsia="Arial" w:hAnsi="Verdana" w:cs="Arial"/>
          <w:sz w:val="20"/>
          <w:szCs w:val="20"/>
          <w:lang w:val="es-ES" w:eastAsia="es-ES" w:bidi="es-ES"/>
        </w:rPr>
      </w:pPr>
    </w:p>
    <w:p w14:paraId="7C88F983" w14:textId="2A32FFDF" w:rsidR="00DC3470" w:rsidRPr="00DC3470" w:rsidRDefault="00DC3470" w:rsidP="005C0AEA">
      <w:pPr>
        <w:spacing w:after="0" w:line="240" w:lineRule="auto"/>
        <w:jc w:val="both"/>
        <w:rPr>
          <w:rFonts w:ascii="Verdana" w:eastAsia="Arial" w:hAnsi="Verdana" w:cs="Arial"/>
          <w:sz w:val="20"/>
          <w:szCs w:val="20"/>
          <w:lang w:val="es-ES" w:eastAsia="es-ES" w:bidi="es-ES"/>
        </w:rPr>
      </w:pPr>
      <w:r w:rsidRPr="00DC3470">
        <w:rPr>
          <w:rFonts w:ascii="Verdana" w:eastAsia="Arial" w:hAnsi="Verdana" w:cs="Arial"/>
          <w:sz w:val="20"/>
          <w:szCs w:val="20"/>
          <w:lang w:val="es-ES" w:eastAsia="es-ES" w:bidi="es-ES"/>
        </w:rPr>
        <w:t>Específicamente, las restricciones consagradas en la citada ley se dirigen a dos (2) tipos de campañas electorales claramente diferenciadas: las presidenciales y las demás que se adelanten para la elección de los demás cargos de elección popular, tanto a nivel nacional como a nivel territorial.</w:t>
      </w:r>
    </w:p>
    <w:p w14:paraId="1CD8E629" w14:textId="77777777" w:rsidR="00DC3470" w:rsidRDefault="00DC3470" w:rsidP="005C0AEA">
      <w:pPr>
        <w:spacing w:after="0" w:line="240" w:lineRule="auto"/>
        <w:jc w:val="both"/>
        <w:rPr>
          <w:rFonts w:ascii="Verdana" w:eastAsia="Calibri" w:hAnsi="Verdana" w:cs="Arial"/>
          <w:sz w:val="20"/>
          <w:szCs w:val="20"/>
        </w:rPr>
      </w:pPr>
    </w:p>
    <w:p w14:paraId="2DD905DC" w14:textId="480285FD" w:rsidR="00DC3470" w:rsidRPr="00DC3470" w:rsidRDefault="00DC3470" w:rsidP="005C0AEA">
      <w:pPr>
        <w:spacing w:after="0" w:line="240" w:lineRule="auto"/>
        <w:jc w:val="both"/>
        <w:rPr>
          <w:rFonts w:ascii="Verdana" w:eastAsia="Calibri" w:hAnsi="Verdana" w:cs="Arial"/>
          <w:sz w:val="20"/>
          <w:szCs w:val="20"/>
        </w:rPr>
      </w:pPr>
      <w:r w:rsidRPr="00DC3470">
        <w:rPr>
          <w:rFonts w:ascii="Verdana" w:eastAsia="Calibri" w:hAnsi="Verdana" w:cs="Arial"/>
          <w:sz w:val="20"/>
          <w:szCs w:val="20"/>
        </w:rPr>
        <w:t>Por un lado, el artículo 33 de la Ley 996 de 2005 prohíbe “</w:t>
      </w:r>
      <w:r w:rsidRPr="00DC3470">
        <w:rPr>
          <w:rFonts w:ascii="Verdana" w:eastAsia="Calibri" w:hAnsi="Verdana" w:cs="Arial"/>
          <w:bCs/>
          <w:sz w:val="20"/>
          <w:szCs w:val="20"/>
        </w:rPr>
        <w:t xml:space="preserve">(…) </w:t>
      </w:r>
      <w:r w:rsidRPr="00DC3470">
        <w:rPr>
          <w:rFonts w:ascii="Verdana" w:eastAsia="Calibri" w:hAnsi="Verdana" w:cs="Arial"/>
          <w:sz w:val="20"/>
          <w:szCs w:val="20"/>
        </w:rPr>
        <w:t>la contratación directa por parte de todos los entes del Estado</w:t>
      </w:r>
      <w:r w:rsidRPr="00DC3470">
        <w:rPr>
          <w:rFonts w:ascii="Verdana" w:eastAsia="Calibri" w:hAnsi="Verdana" w:cs="Arial"/>
          <w:bCs/>
          <w:sz w:val="20"/>
          <w:szCs w:val="20"/>
        </w:rPr>
        <w:t>”</w:t>
      </w:r>
      <w:r w:rsidRPr="00DC3470">
        <w:rPr>
          <w:rFonts w:ascii="Verdana" w:eastAsia="Calibri" w:hAnsi="Verdana" w:cs="Arial"/>
          <w:sz w:val="20"/>
          <w:szCs w:val="20"/>
        </w:rPr>
        <w:t xml:space="preserve"> durante los cuatro (4) meses anteriores a las elecciones presidenciales, salvo </w:t>
      </w:r>
      <w:r w:rsidRPr="00DC3470">
        <w:rPr>
          <w:rFonts w:ascii="Verdana" w:eastAsia="Calibri" w:hAnsi="Verdana" w:cs="Arial"/>
          <w:bCs/>
          <w:sz w:val="20"/>
          <w:szCs w:val="20"/>
        </w:rPr>
        <w:t xml:space="preserve">“[…] </w:t>
      </w:r>
      <w:r w:rsidRPr="00DC3470">
        <w:rPr>
          <w:rFonts w:ascii="Verdana" w:eastAsia="Calibri" w:hAnsi="Verdana" w:cs="Arial"/>
          <w:sz w:val="20"/>
          <w:szCs w:val="20"/>
        </w:rPr>
        <w:t>lo referente a la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atentados, acciones terroristas, desastres naturales o casos de fuerza mayor, y los que deban realizar las entidades sanitarias y hospitalarias</w:t>
      </w:r>
      <w:r w:rsidRPr="00DC3470">
        <w:rPr>
          <w:rFonts w:ascii="Verdana" w:eastAsia="Calibri" w:hAnsi="Verdana" w:cs="Arial"/>
          <w:bCs/>
          <w:sz w:val="20"/>
          <w:szCs w:val="20"/>
        </w:rPr>
        <w:t>”</w:t>
      </w:r>
      <w:r w:rsidRPr="00DC3470">
        <w:rPr>
          <w:rFonts w:ascii="Verdana" w:eastAsia="Calibri" w:hAnsi="Verdana" w:cs="Arial"/>
          <w:sz w:val="20"/>
          <w:szCs w:val="20"/>
        </w:rPr>
        <w:t>.</w:t>
      </w:r>
    </w:p>
    <w:p w14:paraId="293E9E53" w14:textId="77777777" w:rsidR="00DC3470" w:rsidRDefault="00DC3470" w:rsidP="005C0AEA">
      <w:pPr>
        <w:widowControl w:val="0"/>
        <w:autoSpaceDE w:val="0"/>
        <w:autoSpaceDN w:val="0"/>
        <w:spacing w:after="0" w:line="240" w:lineRule="auto"/>
        <w:jc w:val="both"/>
        <w:rPr>
          <w:rFonts w:ascii="Verdana" w:eastAsia="Calibri" w:hAnsi="Verdana" w:cs="Arial"/>
          <w:sz w:val="20"/>
          <w:szCs w:val="20"/>
        </w:rPr>
      </w:pPr>
    </w:p>
    <w:p w14:paraId="60143CC0" w14:textId="77777777" w:rsidR="005C0AEA" w:rsidRDefault="00DC3470" w:rsidP="005C0AEA">
      <w:pPr>
        <w:widowControl w:val="0"/>
        <w:autoSpaceDE w:val="0"/>
        <w:autoSpaceDN w:val="0"/>
        <w:spacing w:after="0" w:line="240" w:lineRule="auto"/>
        <w:jc w:val="both"/>
        <w:rPr>
          <w:rFonts w:ascii="Verdana" w:eastAsia="Arial" w:hAnsi="Verdana" w:cs="Arial"/>
          <w:sz w:val="20"/>
          <w:szCs w:val="20"/>
          <w:lang w:val="es-ES" w:eastAsia="es-ES" w:bidi="es-ES"/>
        </w:rPr>
      </w:pPr>
      <w:r w:rsidRPr="00DC3470">
        <w:rPr>
          <w:rFonts w:ascii="Verdana" w:eastAsia="Calibri" w:hAnsi="Verdana" w:cs="Arial"/>
          <w:sz w:val="20"/>
          <w:szCs w:val="20"/>
        </w:rPr>
        <w:t xml:space="preserve">Por otro lado, el parágrafo del artículo 38 de la Ley 996 de 2005 prevé una restricción, aplicable respecto de cualquier tipo de contienda electoral, que prohíbe a los gobernadores, alcaldes municipales o distritales, secretarios, gerentes y directores de entidades descentralizadas del orden municipal, departamental o distrital </w:t>
      </w:r>
      <w:r w:rsidRPr="00DC3470">
        <w:rPr>
          <w:rFonts w:ascii="Verdana" w:eastAsia="Calibri" w:hAnsi="Verdana" w:cs="Arial"/>
          <w:bCs/>
          <w:sz w:val="20"/>
          <w:szCs w:val="20"/>
        </w:rPr>
        <w:t xml:space="preserve">“(…) </w:t>
      </w:r>
      <w:r w:rsidRPr="00DC3470">
        <w:rPr>
          <w:rFonts w:ascii="Verdana" w:eastAsia="Calibri" w:hAnsi="Verdana" w:cs="Arial"/>
          <w:sz w:val="20"/>
          <w:szCs w:val="20"/>
        </w:rPr>
        <w:t>celebrar convenios interadministrativos para la ejecución de recursos públicos, ni participar, promover y destinar recursos públicos de las entidades a su cargo, como tampoco de las que participen como miembros de sus juntas directivas, en o para reuniones de carácter proselitista</w:t>
      </w:r>
      <w:r w:rsidRPr="00DC3470">
        <w:rPr>
          <w:rFonts w:ascii="Verdana" w:eastAsia="Calibri" w:hAnsi="Verdana" w:cs="Arial"/>
          <w:bCs/>
          <w:sz w:val="20"/>
          <w:szCs w:val="20"/>
        </w:rPr>
        <w:t>”</w:t>
      </w:r>
      <w:r w:rsidRPr="00DC3470">
        <w:rPr>
          <w:rFonts w:ascii="Verdana" w:eastAsia="Calibri" w:hAnsi="Verdana" w:cs="Arial"/>
          <w:sz w:val="20"/>
          <w:szCs w:val="20"/>
        </w:rPr>
        <w:t>.</w:t>
      </w:r>
      <w:r w:rsidRPr="00DC3470">
        <w:rPr>
          <w:rFonts w:ascii="Verdana" w:eastAsia="Arial" w:hAnsi="Verdana" w:cs="Arial"/>
          <w:sz w:val="20"/>
          <w:szCs w:val="20"/>
          <w:lang w:val="es-ES" w:eastAsia="es-ES" w:bidi="es-ES"/>
        </w:rPr>
        <w:t xml:space="preserve"> </w:t>
      </w:r>
    </w:p>
    <w:p w14:paraId="4E472C48" w14:textId="77777777" w:rsidR="005C0AEA" w:rsidRDefault="005C0AEA" w:rsidP="005C0AEA">
      <w:pPr>
        <w:widowControl w:val="0"/>
        <w:autoSpaceDE w:val="0"/>
        <w:autoSpaceDN w:val="0"/>
        <w:spacing w:after="0" w:line="240" w:lineRule="auto"/>
        <w:jc w:val="both"/>
        <w:rPr>
          <w:rFonts w:ascii="Verdana" w:eastAsia="Arial" w:hAnsi="Verdana" w:cs="Arial"/>
          <w:sz w:val="20"/>
          <w:szCs w:val="20"/>
          <w:lang w:val="es-ES" w:eastAsia="es-ES" w:bidi="es-ES"/>
        </w:rPr>
      </w:pPr>
    </w:p>
    <w:p w14:paraId="7EA3303E" w14:textId="77777777" w:rsidR="005C0AEA" w:rsidRDefault="00904AD4" w:rsidP="005C0AEA">
      <w:pPr>
        <w:widowControl w:val="0"/>
        <w:autoSpaceDE w:val="0"/>
        <w:autoSpaceDN w:val="0"/>
        <w:spacing w:after="0" w:line="240" w:lineRule="auto"/>
        <w:jc w:val="both"/>
        <w:rPr>
          <w:rFonts w:ascii="Verdana" w:eastAsia="Arial" w:hAnsi="Verdana" w:cs="Arial"/>
          <w:sz w:val="20"/>
          <w:szCs w:val="20"/>
          <w:lang w:val="es-MX" w:eastAsia="es-ES" w:bidi="es-ES"/>
        </w:rPr>
      </w:pPr>
      <w:r w:rsidRPr="00904AD4">
        <w:rPr>
          <w:rFonts w:ascii="Verdana" w:eastAsia="Calibri" w:hAnsi="Verdana" w:cs="Arial"/>
          <w:b/>
          <w:lang w:val="es-MX"/>
        </w:rPr>
        <w:t xml:space="preserve">LEY DE GARANTÍAS ELECTORALES ─ Prohibición artículo 33 ‒ Contratación directa ‒ Alcance </w:t>
      </w:r>
    </w:p>
    <w:p w14:paraId="7986669F" w14:textId="77777777" w:rsidR="005C0AEA" w:rsidRDefault="005C0AEA" w:rsidP="005C0AEA">
      <w:pPr>
        <w:widowControl w:val="0"/>
        <w:autoSpaceDE w:val="0"/>
        <w:autoSpaceDN w:val="0"/>
        <w:spacing w:after="0" w:line="240" w:lineRule="auto"/>
        <w:jc w:val="both"/>
        <w:rPr>
          <w:rFonts w:ascii="Verdana" w:eastAsia="Arial" w:hAnsi="Verdana" w:cs="Arial"/>
          <w:sz w:val="20"/>
          <w:szCs w:val="20"/>
          <w:lang w:val="es-MX" w:eastAsia="es-ES" w:bidi="es-ES"/>
        </w:rPr>
      </w:pPr>
    </w:p>
    <w:p w14:paraId="6F14EE78" w14:textId="77777777" w:rsidR="005C0AEA" w:rsidRDefault="00DC3470" w:rsidP="005C0AEA">
      <w:pPr>
        <w:widowControl w:val="0"/>
        <w:autoSpaceDE w:val="0"/>
        <w:autoSpaceDN w:val="0"/>
        <w:spacing w:after="0" w:line="240" w:lineRule="auto"/>
        <w:jc w:val="both"/>
        <w:rPr>
          <w:rFonts w:ascii="Verdana" w:eastAsia="Arial" w:hAnsi="Verdana" w:cs="Arial"/>
          <w:sz w:val="20"/>
          <w:szCs w:val="20"/>
          <w:lang w:eastAsia="es-ES" w:bidi="es-ES"/>
        </w:rPr>
      </w:pPr>
      <w:r w:rsidRPr="005C0AEA">
        <w:rPr>
          <w:rFonts w:ascii="Verdana" w:hAnsi="Verdana" w:cs="Arial"/>
          <w:bCs/>
          <w:sz w:val="20"/>
          <w:szCs w:val="20"/>
          <w:lang w:eastAsia="x-none"/>
        </w:rPr>
        <w:t xml:space="preserve">El ámbito material de la prohibición contenida en el artículo 33 de la ley 996 de 2005 está delimitado por la expresión </w:t>
      </w:r>
      <w:r w:rsidRPr="005C0AEA">
        <w:rPr>
          <w:rFonts w:ascii="Verdana" w:eastAsia="Calibri" w:hAnsi="Verdana" w:cs="Arial"/>
          <w:bCs/>
          <w:i/>
          <w:iCs/>
          <w:sz w:val="20"/>
          <w:szCs w:val="20"/>
        </w:rPr>
        <w:t>“</w:t>
      </w:r>
      <w:r w:rsidRPr="005C0AEA">
        <w:rPr>
          <w:rFonts w:ascii="Verdana" w:hAnsi="Verdana" w:cs="Arial"/>
          <w:bCs/>
          <w:i/>
          <w:iCs/>
          <w:sz w:val="20"/>
          <w:szCs w:val="20"/>
          <w:lang w:eastAsia="x-none"/>
        </w:rPr>
        <w:t>queda prohibida la contratación directa</w:t>
      </w:r>
      <w:r w:rsidRPr="005C0AEA">
        <w:rPr>
          <w:rFonts w:ascii="Verdana" w:hAnsi="Verdana" w:cs="Arial"/>
          <w:sz w:val="20"/>
          <w:szCs w:val="20"/>
        </w:rPr>
        <w:t>”</w:t>
      </w:r>
      <w:r w:rsidRPr="005C0AEA">
        <w:rPr>
          <w:rFonts w:ascii="Verdana" w:hAnsi="Verdana" w:cs="Arial"/>
          <w:bCs/>
          <w:sz w:val="20"/>
          <w:szCs w:val="20"/>
          <w:lang w:eastAsia="x-none"/>
        </w:rPr>
        <w:t>.</w:t>
      </w:r>
    </w:p>
    <w:p w14:paraId="4EDB1081" w14:textId="77777777" w:rsidR="005C0AEA" w:rsidRDefault="00904AD4" w:rsidP="005C0AEA">
      <w:pPr>
        <w:widowControl w:val="0"/>
        <w:autoSpaceDE w:val="0"/>
        <w:autoSpaceDN w:val="0"/>
        <w:spacing w:after="0" w:line="240" w:lineRule="auto"/>
        <w:jc w:val="both"/>
        <w:rPr>
          <w:rFonts w:ascii="Verdana" w:eastAsia="Arial" w:hAnsi="Verdana" w:cs="Arial"/>
          <w:sz w:val="20"/>
          <w:szCs w:val="20"/>
          <w:lang w:eastAsia="es-ES" w:bidi="es-ES"/>
        </w:rPr>
      </w:pPr>
      <w:r w:rsidRPr="00904AD4">
        <w:rPr>
          <w:rFonts w:ascii="Verdana" w:eastAsia="Times New Roman" w:hAnsi="Verdana" w:cs="Arial"/>
          <w:b/>
          <w:lang w:eastAsia="es-CO"/>
        </w:rPr>
        <w:t xml:space="preserve">LEY DE GARANTÍAS ELECTORALES </w:t>
      </w:r>
      <w:r w:rsidRPr="00904AD4">
        <w:rPr>
          <w:rFonts w:ascii="Verdana" w:eastAsia="Calibri" w:hAnsi="Verdana" w:cs="Arial"/>
          <w:b/>
          <w:lang w:val="es-MX"/>
        </w:rPr>
        <w:t xml:space="preserve">─ Prohibición artículo 33 ‒ </w:t>
      </w:r>
      <w:r w:rsidRPr="00904AD4">
        <w:rPr>
          <w:rFonts w:ascii="Verdana" w:eastAsia="Times New Roman" w:hAnsi="Verdana" w:cs="Arial"/>
          <w:b/>
          <w:lang w:eastAsia="es-CO"/>
        </w:rPr>
        <w:t xml:space="preserve">Excepciones </w:t>
      </w:r>
    </w:p>
    <w:p w14:paraId="511495B8" w14:textId="77777777" w:rsidR="005C0AEA" w:rsidRDefault="005C0AEA" w:rsidP="005C0AEA">
      <w:pPr>
        <w:widowControl w:val="0"/>
        <w:autoSpaceDE w:val="0"/>
        <w:autoSpaceDN w:val="0"/>
        <w:spacing w:after="0" w:line="240" w:lineRule="auto"/>
        <w:jc w:val="both"/>
        <w:rPr>
          <w:rFonts w:ascii="Verdana" w:eastAsia="Arial" w:hAnsi="Verdana" w:cs="Arial"/>
          <w:sz w:val="20"/>
          <w:szCs w:val="20"/>
          <w:lang w:eastAsia="es-ES" w:bidi="es-ES"/>
        </w:rPr>
      </w:pPr>
    </w:p>
    <w:p w14:paraId="542F4E0A" w14:textId="77777777" w:rsidR="00CE0712" w:rsidRDefault="005C0AEA" w:rsidP="00CE0712">
      <w:pPr>
        <w:widowControl w:val="0"/>
        <w:autoSpaceDE w:val="0"/>
        <w:autoSpaceDN w:val="0"/>
        <w:spacing w:after="0" w:line="240" w:lineRule="auto"/>
        <w:jc w:val="both"/>
        <w:rPr>
          <w:rFonts w:ascii="Verdana" w:eastAsia="Arial" w:hAnsi="Verdana" w:cs="Arial"/>
          <w:sz w:val="20"/>
          <w:szCs w:val="20"/>
          <w:lang w:eastAsia="es-ES" w:bidi="es-ES"/>
        </w:rPr>
      </w:pPr>
      <w:r w:rsidRPr="005C0AEA">
        <w:rPr>
          <w:rFonts w:ascii="Verdana" w:hAnsi="Verdana" w:cs="Arial"/>
          <w:sz w:val="20"/>
          <w:szCs w:val="20"/>
          <w:lang w:eastAsia="x-none"/>
        </w:rPr>
        <w:t xml:space="preserve">[…] la prohibición del artículo 33 de la Ley de Garantías Electorales se refiere a </w:t>
      </w:r>
      <w:r w:rsidRPr="005C0AEA">
        <w:rPr>
          <w:rFonts w:ascii="Verdana" w:hAnsi="Verdana" w:cs="Arial"/>
          <w:sz w:val="20"/>
          <w:szCs w:val="20"/>
          <w:lang w:eastAsia="en-GB"/>
        </w:rPr>
        <w:t>“</w:t>
      </w:r>
      <w:r w:rsidRPr="005C0AEA">
        <w:rPr>
          <w:rFonts w:ascii="Verdana" w:hAnsi="Verdana" w:cs="Arial"/>
          <w:sz w:val="20"/>
          <w:szCs w:val="20"/>
          <w:lang w:eastAsia="x-none"/>
        </w:rPr>
        <w:t>cualquier sistema que no implique convocatoria pública y posibilidad de pluralidad de oferentes</w:t>
      </w:r>
      <w:r w:rsidRPr="005C0AEA">
        <w:rPr>
          <w:rFonts w:ascii="Verdana" w:hAnsi="Verdana" w:cs="Arial"/>
          <w:sz w:val="20"/>
          <w:szCs w:val="20"/>
          <w:lang w:eastAsia="en-GB"/>
        </w:rPr>
        <w:t>”</w:t>
      </w:r>
      <w:r w:rsidRPr="005C0AEA">
        <w:rPr>
          <w:rFonts w:ascii="Verdana" w:hAnsi="Verdana" w:cs="Arial"/>
          <w:sz w:val="20"/>
          <w:szCs w:val="20"/>
          <w:lang w:eastAsia="x-none"/>
        </w:rPr>
        <w:t>, por lo que excluye las demás modalidades de contratación previstas en la Ley 1150 de 2007.</w:t>
      </w:r>
    </w:p>
    <w:p w14:paraId="4BB7FEED" w14:textId="77777777" w:rsidR="00CE0712" w:rsidRDefault="00CE0712" w:rsidP="00CE0712">
      <w:pPr>
        <w:widowControl w:val="0"/>
        <w:autoSpaceDE w:val="0"/>
        <w:autoSpaceDN w:val="0"/>
        <w:spacing w:after="0" w:line="240" w:lineRule="auto"/>
        <w:jc w:val="both"/>
        <w:rPr>
          <w:rFonts w:ascii="Verdana" w:eastAsia="Arial" w:hAnsi="Verdana" w:cs="Arial"/>
          <w:sz w:val="20"/>
          <w:szCs w:val="20"/>
          <w:lang w:eastAsia="es-ES" w:bidi="es-ES"/>
        </w:rPr>
      </w:pPr>
    </w:p>
    <w:p w14:paraId="1D662B06" w14:textId="77777777" w:rsidR="00CE0712" w:rsidRDefault="00904AD4" w:rsidP="00CE0712">
      <w:pPr>
        <w:widowControl w:val="0"/>
        <w:autoSpaceDE w:val="0"/>
        <w:autoSpaceDN w:val="0"/>
        <w:spacing w:after="0" w:line="240" w:lineRule="auto"/>
        <w:jc w:val="both"/>
        <w:rPr>
          <w:rFonts w:ascii="Verdana" w:eastAsia="Arial" w:hAnsi="Verdana" w:cs="Arial"/>
          <w:sz w:val="20"/>
          <w:szCs w:val="20"/>
          <w:lang w:eastAsia="es-ES" w:bidi="es-ES"/>
        </w:rPr>
      </w:pPr>
      <w:r w:rsidRPr="00904AD4">
        <w:rPr>
          <w:rFonts w:ascii="Verdana" w:eastAsia="Times New Roman" w:hAnsi="Verdana" w:cs="Arial"/>
          <w:b/>
          <w:lang w:eastAsia="es-CO"/>
        </w:rPr>
        <w:t xml:space="preserve">LEY DE GARANTÍAS ELECTORALES ‒ </w:t>
      </w:r>
      <w:r w:rsidRPr="00904AD4">
        <w:rPr>
          <w:rFonts w:ascii="Verdana" w:eastAsia="Times New Roman" w:hAnsi="Verdana" w:cs="Arial"/>
          <w:b/>
          <w:lang w:val="es-ES" w:eastAsia="es-CO"/>
        </w:rPr>
        <w:t xml:space="preserve">Prohibición del artículo 33 </w:t>
      </w:r>
      <w:r w:rsidRPr="00904AD4">
        <w:rPr>
          <w:rFonts w:ascii="Verdana" w:eastAsia="Times New Roman" w:hAnsi="Verdana" w:cs="Arial"/>
          <w:b/>
          <w:lang w:eastAsia="es-CO"/>
        </w:rPr>
        <w:t xml:space="preserve">‒ Destinatarios </w:t>
      </w:r>
    </w:p>
    <w:p w14:paraId="0D306648" w14:textId="77777777" w:rsidR="00CE0712" w:rsidRDefault="00CE0712" w:rsidP="00CE0712">
      <w:pPr>
        <w:widowControl w:val="0"/>
        <w:autoSpaceDE w:val="0"/>
        <w:autoSpaceDN w:val="0"/>
        <w:spacing w:after="0" w:line="240" w:lineRule="auto"/>
        <w:jc w:val="both"/>
        <w:rPr>
          <w:rFonts w:ascii="Verdana" w:eastAsia="Arial" w:hAnsi="Verdana" w:cs="Arial"/>
          <w:sz w:val="20"/>
          <w:szCs w:val="20"/>
          <w:lang w:eastAsia="es-ES" w:bidi="es-ES"/>
        </w:rPr>
      </w:pPr>
    </w:p>
    <w:p w14:paraId="01AF12D6" w14:textId="77777777" w:rsidR="00CE0712" w:rsidRDefault="005C0AEA" w:rsidP="00CE0712">
      <w:pPr>
        <w:widowControl w:val="0"/>
        <w:autoSpaceDE w:val="0"/>
        <w:autoSpaceDN w:val="0"/>
        <w:spacing w:after="0" w:line="240" w:lineRule="auto"/>
        <w:jc w:val="both"/>
        <w:rPr>
          <w:rFonts w:ascii="Verdana" w:eastAsia="Arial" w:hAnsi="Verdana" w:cs="Arial"/>
          <w:sz w:val="20"/>
          <w:szCs w:val="20"/>
          <w:lang w:val="es-ES" w:eastAsia="es-ES" w:bidi="es-ES"/>
        </w:rPr>
      </w:pPr>
      <w:r w:rsidRPr="005C0AEA">
        <w:rPr>
          <w:rFonts w:ascii="Verdana" w:hAnsi="Verdana" w:cs="Arial"/>
          <w:color w:val="000000" w:themeColor="text1"/>
          <w:sz w:val="20"/>
          <w:szCs w:val="20"/>
          <w:lang w:val="es-MX"/>
        </w:rPr>
        <w:t>Ahora bien, en relación con los destinatarios de las restricciones, el artículo 33 de la Ley 996 de 2005 los señala expresamente, en el sentido de que son “</w:t>
      </w:r>
      <w:r w:rsidRPr="005C0AEA">
        <w:rPr>
          <w:rFonts w:ascii="Verdana" w:hAnsi="Verdana" w:cs="Arial"/>
          <w:i/>
          <w:color w:val="000000" w:themeColor="text1"/>
          <w:sz w:val="20"/>
          <w:szCs w:val="20"/>
          <w:lang w:val="es-MX"/>
        </w:rPr>
        <w:t>todos los entes del Estado</w:t>
      </w:r>
      <w:r w:rsidRPr="005C0AEA">
        <w:rPr>
          <w:rFonts w:ascii="Verdana" w:hAnsi="Verdana" w:cs="Arial"/>
          <w:color w:val="000000" w:themeColor="text1"/>
          <w:sz w:val="20"/>
          <w:szCs w:val="20"/>
          <w:lang w:val="es-MX"/>
        </w:rPr>
        <w:t xml:space="preserve">”, expresión que contempla a los diferentes organismos o entidades autorizadas por la ley para suscribir contratos. En efecto, tal como lo ha sostenido el Consejo de Estado, el vocablo” todos” utilizado por el legislador comprende a la totalidad de los entes del Estado, sin distinción del régimen jurídico, forma de organización o naturaleza, su pertenencia a una u otra rama del poder público o su autonomía, e incluso si las entidades estatales tienen régimen especial de contratación y están exceptuadas del ámbito de aplicación del Estatuto General de Contratación de la Administración Pública. </w:t>
      </w:r>
    </w:p>
    <w:p w14:paraId="20C3241B" w14:textId="77777777" w:rsidR="00CE0712" w:rsidRDefault="00CE0712" w:rsidP="00CE0712">
      <w:pPr>
        <w:widowControl w:val="0"/>
        <w:autoSpaceDE w:val="0"/>
        <w:autoSpaceDN w:val="0"/>
        <w:spacing w:after="0" w:line="240" w:lineRule="auto"/>
        <w:jc w:val="both"/>
        <w:rPr>
          <w:rFonts w:ascii="Verdana" w:eastAsia="Arial" w:hAnsi="Verdana" w:cs="Arial"/>
          <w:sz w:val="20"/>
          <w:szCs w:val="20"/>
          <w:lang w:val="es-ES" w:eastAsia="es-ES" w:bidi="es-ES"/>
        </w:rPr>
      </w:pPr>
    </w:p>
    <w:p w14:paraId="67E7173C" w14:textId="77777777" w:rsidR="00CE0712" w:rsidRDefault="00904AD4" w:rsidP="00CE0712">
      <w:pPr>
        <w:widowControl w:val="0"/>
        <w:autoSpaceDE w:val="0"/>
        <w:autoSpaceDN w:val="0"/>
        <w:spacing w:after="0" w:line="240" w:lineRule="auto"/>
        <w:jc w:val="both"/>
        <w:rPr>
          <w:rFonts w:ascii="Verdana" w:eastAsia="Arial" w:hAnsi="Verdana" w:cs="Arial"/>
          <w:sz w:val="20"/>
          <w:szCs w:val="20"/>
          <w:lang w:val="es-ES" w:eastAsia="es-ES" w:bidi="es-ES"/>
        </w:rPr>
      </w:pPr>
      <w:r w:rsidRPr="00904AD4">
        <w:rPr>
          <w:rFonts w:ascii="Verdana" w:eastAsia="Times New Roman" w:hAnsi="Verdana" w:cs="Arial"/>
          <w:b/>
          <w:lang w:val="es-ES" w:eastAsia="es-CO" w:bidi="es-ES"/>
        </w:rPr>
        <w:t xml:space="preserve">EMPRESAS INDUSTRIALES Y COMERCIALES DEL ESTADO </w:t>
      </w:r>
      <w:r w:rsidRPr="00904AD4">
        <w:rPr>
          <w:rFonts w:ascii="Verdana" w:eastAsia="Calibri" w:hAnsi="Verdana" w:cs="Arial"/>
          <w:b/>
          <w:lang w:val="es-ES" w:eastAsia="es-MX"/>
        </w:rPr>
        <w:t xml:space="preserve">‒ Ley de garantías electorales </w:t>
      </w:r>
    </w:p>
    <w:p w14:paraId="0BA94F06" w14:textId="77777777" w:rsidR="00CE0712" w:rsidRDefault="00CE0712" w:rsidP="00CE0712">
      <w:pPr>
        <w:widowControl w:val="0"/>
        <w:autoSpaceDE w:val="0"/>
        <w:autoSpaceDN w:val="0"/>
        <w:spacing w:after="0" w:line="240" w:lineRule="auto"/>
        <w:jc w:val="both"/>
        <w:rPr>
          <w:rFonts w:ascii="Verdana" w:eastAsia="Arial" w:hAnsi="Verdana" w:cs="Arial"/>
          <w:sz w:val="20"/>
          <w:szCs w:val="20"/>
          <w:lang w:val="es-ES" w:eastAsia="es-ES" w:bidi="es-ES"/>
        </w:rPr>
      </w:pPr>
    </w:p>
    <w:p w14:paraId="12951B89" w14:textId="277341A0" w:rsidR="005C0AEA" w:rsidRPr="00CE0712" w:rsidRDefault="005C0AEA" w:rsidP="00CE0712">
      <w:pPr>
        <w:widowControl w:val="0"/>
        <w:autoSpaceDE w:val="0"/>
        <w:autoSpaceDN w:val="0"/>
        <w:spacing w:after="0" w:line="240" w:lineRule="auto"/>
        <w:jc w:val="both"/>
        <w:rPr>
          <w:rFonts w:ascii="Verdana" w:eastAsia="Arial" w:hAnsi="Verdana" w:cs="Arial"/>
          <w:sz w:val="20"/>
          <w:szCs w:val="20"/>
          <w:lang w:val="es-ES" w:eastAsia="es-ES" w:bidi="es-ES"/>
        </w:rPr>
      </w:pPr>
      <w:r w:rsidRPr="005C0AEA">
        <w:rPr>
          <w:rFonts w:ascii="Verdana" w:eastAsia="Calibri" w:hAnsi="Verdana" w:cs="Arial"/>
          <w:bCs/>
          <w:sz w:val="20"/>
          <w:szCs w:val="20"/>
          <w:lang w:val="es-ES" w:eastAsia="es-MX"/>
        </w:rPr>
        <w:t xml:space="preserve">[…] </w:t>
      </w:r>
      <w:r w:rsidRPr="005C0AEA">
        <w:rPr>
          <w:rFonts w:ascii="Verdana" w:hAnsi="Verdana" w:cs="Arial"/>
          <w:bCs/>
          <w:color w:val="000000" w:themeColor="text1"/>
          <w:sz w:val="20"/>
          <w:szCs w:val="20"/>
          <w:lang w:val="es-MX"/>
        </w:rPr>
        <w:t>“</w:t>
      </w:r>
      <w:r w:rsidRPr="005C0AEA">
        <w:rPr>
          <w:rFonts w:ascii="Verdana" w:hAnsi="Verdana" w:cs="Arial"/>
          <w:color w:val="000000" w:themeColor="text1"/>
          <w:sz w:val="20"/>
          <w:szCs w:val="20"/>
          <w:lang w:val="es-MX"/>
        </w:rPr>
        <w:t>Las restricciones de la Ley de Garantías en materia de contratación directa y celebración de convenios interadministrativos, se aplican a las empresas industriales y comerciales del Estado y a las Sociedades de Economía Mixta, salvo cuando la celebración de un convenio interadministrativo sea ordenada, para ambas partes, por el Legislador.</w:t>
      </w:r>
    </w:p>
    <w:p w14:paraId="56C44EC3" w14:textId="77777777" w:rsidR="005C0AEA" w:rsidRPr="005C0AEA" w:rsidRDefault="005C0AEA" w:rsidP="005C0AEA">
      <w:pPr>
        <w:spacing w:after="0" w:line="240" w:lineRule="auto"/>
        <w:contextualSpacing/>
        <w:jc w:val="both"/>
        <w:rPr>
          <w:rFonts w:ascii="Verdana" w:hAnsi="Verdana" w:cs="Arial"/>
          <w:color w:val="000000" w:themeColor="text1"/>
          <w:sz w:val="20"/>
          <w:szCs w:val="20"/>
          <w:lang w:val="es-MX"/>
        </w:rPr>
      </w:pPr>
    </w:p>
    <w:p w14:paraId="09C4FAC6" w14:textId="491C4DAD" w:rsidR="005C0AEA" w:rsidRPr="005C0AEA" w:rsidRDefault="005C0AEA" w:rsidP="005C0AEA">
      <w:pPr>
        <w:spacing w:after="0" w:line="240" w:lineRule="auto"/>
        <w:jc w:val="both"/>
        <w:rPr>
          <w:rFonts w:ascii="Verdana" w:hAnsi="Verdana" w:cs="Arial"/>
          <w:color w:val="000000" w:themeColor="text1"/>
          <w:sz w:val="20"/>
          <w:szCs w:val="20"/>
          <w:lang w:eastAsia="es-CO"/>
        </w:rPr>
      </w:pPr>
      <w:r w:rsidRPr="005C0AEA">
        <w:rPr>
          <w:rFonts w:ascii="Verdana" w:eastAsia="Calibri" w:hAnsi="Verdana" w:cs="Arial"/>
          <w:bCs/>
          <w:sz w:val="20"/>
          <w:szCs w:val="20"/>
          <w:lang w:val="es-ES" w:eastAsia="es-MX"/>
        </w:rPr>
        <w:t>[...]</w:t>
      </w:r>
      <w:r w:rsidRPr="005C0AEA">
        <w:rPr>
          <w:rFonts w:ascii="Verdana" w:eastAsia="Calibri" w:hAnsi="Verdana" w:cs="Arial"/>
          <w:b/>
          <w:sz w:val="20"/>
          <w:szCs w:val="20"/>
          <w:lang w:val="es-ES" w:eastAsia="es-MX"/>
        </w:rPr>
        <w:t xml:space="preserve"> </w:t>
      </w:r>
      <w:r w:rsidRPr="005C0AEA">
        <w:rPr>
          <w:rFonts w:ascii="Verdana" w:hAnsi="Verdana" w:cs="Arial"/>
          <w:color w:val="000000" w:themeColor="text1"/>
          <w:sz w:val="20"/>
          <w:szCs w:val="20"/>
          <w:lang w:val="es-MX"/>
        </w:rPr>
        <w:t>De acuerdo con estos pronunciamientos de la Sala de Consulta y Servicio Civil del Consejo de Estado, la prohibición de la contratación directa también aplica frente a las entidades exceptuadas del Estatuto General de Contratación de la Administración Pública y que se rigen en materia contractual por el derecho privado. Sin embargo, señaló que algunas de estas entidades, como sucede con las empresas de servicios públicos domiciliarios, los establecimientos de crédito, las sociedades de servicios financieros y las entidades aseguradoras no pueden adquirir los suministros de bienes y servicios necesarios para la realización de su actividad por contratación directa, sino por mecanismos competitivos que impliquen convocatoria pública y la posibilidad de la existencia de pluralidad de oferentes, pero indicó que en estos casos “Las empresas no pueden dejar de entregar los servicios públicos a su cargo a nuevas personas, ni dejar de renovar los contratos existentes, pues significaría la parálisis de una actividad propia de la administración, que incluso podría desconocer los derechos fundamentales”.</w:t>
      </w:r>
      <w:r w:rsidRPr="005C0AEA">
        <w:rPr>
          <w:rFonts w:ascii="Verdana" w:hAnsi="Verdana" w:cs="Arial"/>
          <w:color w:val="000000" w:themeColor="text1"/>
          <w:sz w:val="20"/>
          <w:szCs w:val="20"/>
          <w:lang w:eastAsia="es-CO"/>
        </w:rPr>
        <w:t xml:space="preserve"> </w:t>
      </w:r>
    </w:p>
    <w:p w14:paraId="64D544A9" w14:textId="77777777" w:rsidR="005C0AEA" w:rsidRPr="005C0AEA" w:rsidRDefault="005C0AEA" w:rsidP="005C0AEA">
      <w:pPr>
        <w:spacing w:after="0" w:line="240" w:lineRule="auto"/>
        <w:ind w:firstLine="709"/>
        <w:jc w:val="both"/>
        <w:rPr>
          <w:rFonts w:ascii="Verdana" w:hAnsi="Verdana" w:cs="Arial"/>
          <w:color w:val="000000" w:themeColor="text1"/>
          <w:sz w:val="20"/>
          <w:szCs w:val="20"/>
          <w:lang w:eastAsia="es-CO"/>
        </w:rPr>
      </w:pPr>
    </w:p>
    <w:p w14:paraId="583D7E08" w14:textId="77777777" w:rsidR="00CE0712" w:rsidRDefault="005C0AEA" w:rsidP="00CE0712">
      <w:pPr>
        <w:spacing w:after="0" w:line="240" w:lineRule="auto"/>
        <w:jc w:val="both"/>
        <w:rPr>
          <w:rFonts w:ascii="Verdana" w:hAnsi="Verdana" w:cs="Arial"/>
          <w:color w:val="000000" w:themeColor="text1"/>
          <w:sz w:val="20"/>
          <w:szCs w:val="20"/>
          <w:lang w:eastAsia="es-CO"/>
        </w:rPr>
      </w:pPr>
      <w:r w:rsidRPr="005C0AEA">
        <w:rPr>
          <w:rFonts w:ascii="Verdana" w:hAnsi="Verdana" w:cs="Arial"/>
          <w:color w:val="000000" w:themeColor="text1"/>
          <w:sz w:val="20"/>
          <w:szCs w:val="20"/>
          <w:lang w:eastAsia="es-CO"/>
        </w:rPr>
        <w:t>Sin perjuicio de estos pronunciamientos de la Sala de Consulta y Servicio Civil</w:t>
      </w:r>
      <w:r w:rsidRPr="005C0AEA">
        <w:rPr>
          <w:rFonts w:ascii="Verdana" w:hAnsi="Verdana" w:cs="Arial"/>
          <w:color w:val="000000" w:themeColor="text1"/>
          <w:sz w:val="20"/>
          <w:szCs w:val="20"/>
          <w:lang w:val="es-MX"/>
        </w:rPr>
        <w:t xml:space="preserve">, como la ha señalado esa misma Corporación, la restricción prevista en la Ley 996 de 2005 </w:t>
      </w:r>
      <w:r w:rsidRPr="005C0AEA">
        <w:rPr>
          <w:rFonts w:ascii="Verdana" w:hAnsi="Verdana" w:cs="Arial"/>
          <w:bCs/>
          <w:color w:val="000000" w:themeColor="text1"/>
          <w:sz w:val="20"/>
          <w:szCs w:val="20"/>
          <w:lang w:val="es-MX" w:eastAsia="x-none"/>
        </w:rPr>
        <w:t xml:space="preserve">cobija a cualquier entidad pública independiente del régimen jurídico, que pueda mediante la contratación directa romper el equilibrio entre los candidatos en desarrollo de las elecciones presidenciales. </w:t>
      </w:r>
      <w:r w:rsidRPr="005C0AEA">
        <w:rPr>
          <w:rFonts w:ascii="Verdana" w:hAnsi="Verdana" w:cs="Arial"/>
          <w:color w:val="000000" w:themeColor="text1"/>
          <w:sz w:val="20"/>
          <w:szCs w:val="20"/>
          <w:lang w:eastAsia="es-CO"/>
        </w:rPr>
        <w:t xml:space="preserve">En este sentido, respecto a su consulta, es pertinente señalar que las empresas industriales y comerciales del Estado en vigencia de la Ley de Garantías </w:t>
      </w:r>
      <w:r w:rsidRPr="005C0AEA">
        <w:rPr>
          <w:rFonts w:ascii="Verdana" w:hAnsi="Verdana" w:cs="Arial"/>
          <w:color w:val="000000" w:themeColor="text1"/>
          <w:sz w:val="20"/>
          <w:szCs w:val="20"/>
          <w:lang w:eastAsia="es-CO"/>
        </w:rPr>
        <w:lastRenderedPageBreak/>
        <w:t xml:space="preserve">Electorales no podrán hacer contrataciones bajo la modalidad de contratación directa, </w:t>
      </w:r>
      <w:r w:rsidRPr="005C0AEA">
        <w:rPr>
          <w:rFonts w:ascii="Verdana" w:hAnsi="Verdana" w:cs="Arial"/>
          <w:color w:val="000000" w:themeColor="text1"/>
          <w:sz w:val="20"/>
          <w:szCs w:val="20"/>
          <w:lang w:val="es-MX"/>
        </w:rPr>
        <w:t xml:space="preserve">sino por mecanismos competitivos que impliquen convocatoria pública y la posibilidad de la existencia de pluralidad de oferentes. </w:t>
      </w:r>
    </w:p>
    <w:p w14:paraId="39CC07D9" w14:textId="77777777" w:rsidR="00CE0712" w:rsidRDefault="00CE0712" w:rsidP="00CE0712">
      <w:pPr>
        <w:spacing w:after="0" w:line="240" w:lineRule="auto"/>
        <w:jc w:val="both"/>
        <w:rPr>
          <w:rFonts w:ascii="Verdana" w:hAnsi="Verdana" w:cs="Arial"/>
          <w:color w:val="000000" w:themeColor="text1"/>
          <w:sz w:val="20"/>
          <w:szCs w:val="20"/>
          <w:lang w:eastAsia="es-CO"/>
        </w:rPr>
      </w:pPr>
    </w:p>
    <w:p w14:paraId="7FFA6D6D" w14:textId="4A18F06B" w:rsidR="005C0AEA" w:rsidRPr="00CE0712" w:rsidRDefault="005C0AEA" w:rsidP="00CE0712">
      <w:pPr>
        <w:spacing w:after="0" w:line="240" w:lineRule="auto"/>
        <w:jc w:val="both"/>
        <w:rPr>
          <w:rFonts w:ascii="Verdana" w:hAnsi="Verdana" w:cs="Arial"/>
          <w:color w:val="000000" w:themeColor="text1"/>
          <w:sz w:val="20"/>
          <w:szCs w:val="20"/>
          <w:lang w:eastAsia="es-CO"/>
        </w:rPr>
      </w:pPr>
      <w:r w:rsidRPr="005C0AEA">
        <w:rPr>
          <w:rFonts w:ascii="Verdana" w:hAnsi="Verdana" w:cs="Arial"/>
          <w:color w:val="000000" w:themeColor="text1"/>
          <w:sz w:val="20"/>
          <w:szCs w:val="20"/>
          <w:lang w:val="es-MX"/>
        </w:rPr>
        <w:t xml:space="preserve">Tampoco existe un supuesto de exoneración a la prohibición por tener un régimen especial de los actos o contratos, pues, la posibilidad de que los entes del Estado utilicen la contratación con fines políticos, esto es, con la intención de influir a los electores y alterar la voluntad popular en las contiendas electorales, puede presentarse tanto en la contratación regulada por la Ley 80 de 1993 como en la regida por normas especiales. </w:t>
      </w:r>
    </w:p>
    <w:p w14:paraId="4544F6BE" w14:textId="77777777" w:rsidR="005C0AEA" w:rsidRPr="005C0AEA" w:rsidRDefault="005C0AEA" w:rsidP="005C0AEA">
      <w:pPr>
        <w:spacing w:after="0" w:line="240" w:lineRule="auto"/>
        <w:ind w:firstLine="709"/>
        <w:jc w:val="both"/>
        <w:rPr>
          <w:rFonts w:ascii="Verdana" w:hAnsi="Verdana" w:cs="Arial"/>
          <w:color w:val="000000" w:themeColor="text1"/>
          <w:sz w:val="20"/>
          <w:szCs w:val="20"/>
          <w:lang w:val="es-MX"/>
        </w:rPr>
      </w:pPr>
    </w:p>
    <w:p w14:paraId="01BAB284" w14:textId="77777777" w:rsidR="005C0AEA" w:rsidRPr="005C0AEA" w:rsidRDefault="005C0AEA" w:rsidP="005C0AEA">
      <w:pPr>
        <w:widowControl w:val="0"/>
        <w:autoSpaceDE w:val="0"/>
        <w:autoSpaceDN w:val="0"/>
        <w:spacing w:after="0" w:line="240" w:lineRule="auto"/>
        <w:jc w:val="both"/>
        <w:rPr>
          <w:rFonts w:ascii="Verdana" w:eastAsia="Times New Roman" w:hAnsi="Verdana" w:cs="Arial"/>
          <w:bCs/>
          <w:sz w:val="20"/>
          <w:szCs w:val="20"/>
          <w:lang w:val="es-ES" w:eastAsia="es-CO" w:bidi="es-ES"/>
        </w:rPr>
      </w:pPr>
      <w:r w:rsidRPr="005C0AEA">
        <w:rPr>
          <w:rFonts w:ascii="Verdana" w:eastAsia="Times New Roman" w:hAnsi="Verdana" w:cs="Arial"/>
          <w:bCs/>
          <w:sz w:val="20"/>
          <w:szCs w:val="20"/>
          <w:lang w:val="es-ES" w:eastAsia="es-CO" w:bidi="es-ES"/>
        </w:rPr>
        <w:t xml:space="preserve">Ahora bien, las entidades públicas, de acuerdo con el inciso final del artículo 33 de la Ley 996 de 2005 –Ley de Garantías Electorales–, y previo análisis de la naturaleza de las actividades que adelantan, podrán realizar procedimientos de selección directa en períodos previos a la contienda electoral por la Presidencia, cuando el contrato a celebrar se enmarquen dentro de algunas de las excepciones consagradas en dicha disposición, esto es: i) la defensa y seguridad del Estado; ii) los contratos de crédito público; iii) los requeridos para cubrir las emergencias educativas, sanitarias y desastres; iv) los utilizados para la reconstrucción de vías, puentes, carreteras, infraestructura energética y de comunicaciones, en caso de que hayan sido objeto de atentados, acciones terroristas, desastres naturales o casos de fuerza mayor; y, v) los que deban realizar las entidades sanitarias y hospitalarias. En todo caso, </w:t>
      </w:r>
      <w:r w:rsidRPr="005C0AEA">
        <w:rPr>
          <w:rFonts w:ascii="Verdana" w:hAnsi="Verdana" w:cs="Arial"/>
          <w:bCs/>
          <w:sz w:val="20"/>
          <w:szCs w:val="20"/>
          <w:lang w:eastAsia="x-none"/>
        </w:rPr>
        <w:t xml:space="preserve">se aclara que, la planeación, los estudios técnicos, jurídicos y económicos, que debe preceder la celebración de cada contrato, y que determinan su viabilidad desde tales perspectivas, son asuntos que competen a las entidades estatales que adelantan los procesos de contratación respectivos, con el apoyo de sus funcionarios y órganos asesores.   </w:t>
      </w:r>
      <w:r w:rsidRPr="005C0AEA">
        <w:rPr>
          <w:rFonts w:ascii="Verdana" w:eastAsia="Times New Roman" w:hAnsi="Verdana" w:cs="Arial"/>
          <w:bCs/>
          <w:sz w:val="20"/>
          <w:szCs w:val="20"/>
          <w:lang w:val="es-ES" w:eastAsia="es-CO" w:bidi="es-ES"/>
        </w:rPr>
        <w:t xml:space="preserve"> </w:t>
      </w:r>
    </w:p>
    <w:p w14:paraId="7745D337" w14:textId="725F1D1C" w:rsidR="005C0AEA" w:rsidRPr="00904AD4" w:rsidRDefault="005C0AEA" w:rsidP="00904AD4">
      <w:pPr>
        <w:spacing w:after="0" w:line="240" w:lineRule="auto"/>
        <w:contextualSpacing/>
        <w:jc w:val="both"/>
        <w:rPr>
          <w:rFonts w:ascii="Verdana" w:eastAsia="Calibri" w:hAnsi="Verdana" w:cs="Arial"/>
          <w:b/>
          <w:lang w:val="es-ES" w:eastAsia="es-MX"/>
        </w:rPr>
      </w:pPr>
    </w:p>
    <w:p w14:paraId="33D7AAA5" w14:textId="77777777" w:rsidR="00904AD4" w:rsidRDefault="00904AD4" w:rsidP="00904AD4">
      <w:pPr>
        <w:spacing w:after="0" w:line="240" w:lineRule="auto"/>
        <w:jc w:val="right"/>
        <w:rPr>
          <w:rFonts w:ascii="Verdana" w:eastAsia="Calibri" w:hAnsi="Verdana" w:cs="Arial"/>
          <w:lang w:val="es-ES" w:eastAsia="es-ES"/>
        </w:rPr>
      </w:pPr>
    </w:p>
    <w:p w14:paraId="54D9FBD5" w14:textId="77777777" w:rsidR="005C0AEA" w:rsidRDefault="005C0AEA" w:rsidP="00904AD4">
      <w:pPr>
        <w:spacing w:after="0" w:line="240" w:lineRule="auto"/>
        <w:jc w:val="right"/>
        <w:rPr>
          <w:rFonts w:ascii="Verdana" w:eastAsia="Calibri" w:hAnsi="Verdana" w:cs="Arial"/>
          <w:lang w:val="es-ES" w:eastAsia="es-ES"/>
        </w:rPr>
      </w:pPr>
    </w:p>
    <w:p w14:paraId="6EC7A1A0" w14:textId="77777777" w:rsidR="00CE0712" w:rsidRDefault="00CE0712" w:rsidP="00904AD4">
      <w:pPr>
        <w:spacing w:after="0" w:line="240" w:lineRule="auto"/>
        <w:jc w:val="right"/>
        <w:rPr>
          <w:rFonts w:ascii="Verdana" w:eastAsia="Calibri" w:hAnsi="Verdana" w:cs="Arial"/>
          <w:lang w:val="es-ES" w:eastAsia="es-ES"/>
        </w:rPr>
      </w:pPr>
    </w:p>
    <w:p w14:paraId="6C1CD2DA" w14:textId="77777777" w:rsidR="00CE0712" w:rsidRDefault="00CE0712" w:rsidP="00904AD4">
      <w:pPr>
        <w:spacing w:after="0" w:line="240" w:lineRule="auto"/>
        <w:jc w:val="right"/>
        <w:rPr>
          <w:rFonts w:ascii="Verdana" w:eastAsia="Calibri" w:hAnsi="Verdana" w:cs="Arial"/>
          <w:lang w:val="es-ES" w:eastAsia="es-ES"/>
        </w:rPr>
      </w:pPr>
    </w:p>
    <w:p w14:paraId="180B2F76" w14:textId="77777777" w:rsidR="00CE0712" w:rsidRDefault="00CE0712" w:rsidP="00904AD4">
      <w:pPr>
        <w:spacing w:after="0" w:line="240" w:lineRule="auto"/>
        <w:jc w:val="right"/>
        <w:rPr>
          <w:rFonts w:ascii="Verdana" w:eastAsia="Calibri" w:hAnsi="Verdana" w:cs="Arial"/>
          <w:lang w:val="es-ES" w:eastAsia="es-ES"/>
        </w:rPr>
      </w:pPr>
    </w:p>
    <w:p w14:paraId="1E35A990" w14:textId="77777777" w:rsidR="00575AC1" w:rsidRDefault="00575AC1" w:rsidP="00904AD4">
      <w:pPr>
        <w:spacing w:after="0" w:line="240" w:lineRule="auto"/>
        <w:jc w:val="right"/>
        <w:rPr>
          <w:rFonts w:ascii="Verdana" w:eastAsia="Calibri" w:hAnsi="Verdana" w:cs="Arial"/>
          <w:lang w:val="es-ES" w:eastAsia="es-ES"/>
        </w:rPr>
      </w:pPr>
    </w:p>
    <w:p w14:paraId="7EEF1AEC" w14:textId="77777777" w:rsidR="00575AC1" w:rsidRDefault="00575AC1" w:rsidP="00904AD4">
      <w:pPr>
        <w:spacing w:after="0" w:line="240" w:lineRule="auto"/>
        <w:jc w:val="right"/>
        <w:rPr>
          <w:rFonts w:ascii="Verdana" w:eastAsia="Calibri" w:hAnsi="Verdana" w:cs="Arial"/>
          <w:lang w:val="es-ES" w:eastAsia="es-ES"/>
        </w:rPr>
      </w:pPr>
    </w:p>
    <w:p w14:paraId="419A639F" w14:textId="77777777" w:rsidR="00575AC1" w:rsidRDefault="00575AC1" w:rsidP="00904AD4">
      <w:pPr>
        <w:spacing w:after="0" w:line="240" w:lineRule="auto"/>
        <w:jc w:val="right"/>
        <w:rPr>
          <w:rFonts w:ascii="Verdana" w:eastAsia="Calibri" w:hAnsi="Verdana" w:cs="Arial"/>
          <w:lang w:val="es-ES" w:eastAsia="es-ES"/>
        </w:rPr>
      </w:pPr>
    </w:p>
    <w:p w14:paraId="434E1B4C" w14:textId="77777777" w:rsidR="00575AC1" w:rsidRDefault="00575AC1" w:rsidP="00904AD4">
      <w:pPr>
        <w:spacing w:after="0" w:line="240" w:lineRule="auto"/>
        <w:jc w:val="right"/>
        <w:rPr>
          <w:rFonts w:ascii="Verdana" w:eastAsia="Calibri" w:hAnsi="Verdana" w:cs="Arial"/>
          <w:lang w:val="es-ES" w:eastAsia="es-ES"/>
        </w:rPr>
      </w:pPr>
    </w:p>
    <w:p w14:paraId="3572AFF9" w14:textId="77777777" w:rsidR="00575AC1" w:rsidRDefault="00575AC1" w:rsidP="00904AD4">
      <w:pPr>
        <w:spacing w:after="0" w:line="240" w:lineRule="auto"/>
        <w:jc w:val="right"/>
        <w:rPr>
          <w:rFonts w:ascii="Verdana" w:eastAsia="Calibri" w:hAnsi="Verdana" w:cs="Arial"/>
          <w:lang w:val="es-ES" w:eastAsia="es-ES"/>
        </w:rPr>
      </w:pPr>
    </w:p>
    <w:p w14:paraId="20CC09CB" w14:textId="77777777" w:rsidR="00575AC1" w:rsidRDefault="00575AC1" w:rsidP="00904AD4">
      <w:pPr>
        <w:spacing w:after="0" w:line="240" w:lineRule="auto"/>
        <w:jc w:val="right"/>
        <w:rPr>
          <w:rFonts w:ascii="Verdana" w:eastAsia="Calibri" w:hAnsi="Verdana" w:cs="Arial"/>
          <w:lang w:val="es-ES" w:eastAsia="es-ES"/>
        </w:rPr>
      </w:pPr>
    </w:p>
    <w:p w14:paraId="7D596C09" w14:textId="77777777" w:rsidR="00575AC1" w:rsidRDefault="00575AC1" w:rsidP="00904AD4">
      <w:pPr>
        <w:spacing w:after="0" w:line="240" w:lineRule="auto"/>
        <w:jc w:val="right"/>
        <w:rPr>
          <w:rFonts w:ascii="Verdana" w:eastAsia="Calibri" w:hAnsi="Verdana" w:cs="Arial"/>
          <w:lang w:val="es-ES" w:eastAsia="es-ES"/>
        </w:rPr>
      </w:pPr>
    </w:p>
    <w:p w14:paraId="135AC1D8" w14:textId="77777777" w:rsidR="00575AC1" w:rsidRDefault="00575AC1" w:rsidP="00904AD4">
      <w:pPr>
        <w:spacing w:after="0" w:line="240" w:lineRule="auto"/>
        <w:jc w:val="right"/>
        <w:rPr>
          <w:rFonts w:ascii="Verdana" w:eastAsia="Calibri" w:hAnsi="Verdana" w:cs="Arial"/>
          <w:lang w:val="es-ES" w:eastAsia="es-ES"/>
        </w:rPr>
      </w:pPr>
    </w:p>
    <w:p w14:paraId="5DFCDE44" w14:textId="77777777" w:rsidR="00575AC1" w:rsidRDefault="00575AC1" w:rsidP="00904AD4">
      <w:pPr>
        <w:spacing w:after="0" w:line="240" w:lineRule="auto"/>
        <w:jc w:val="right"/>
        <w:rPr>
          <w:rFonts w:ascii="Verdana" w:eastAsia="Calibri" w:hAnsi="Verdana" w:cs="Arial"/>
          <w:lang w:val="es-ES" w:eastAsia="es-ES"/>
        </w:rPr>
      </w:pPr>
    </w:p>
    <w:p w14:paraId="2E0781AA" w14:textId="77777777" w:rsidR="00CE0712" w:rsidRDefault="00CE0712" w:rsidP="00904AD4">
      <w:pPr>
        <w:spacing w:after="0" w:line="240" w:lineRule="auto"/>
        <w:jc w:val="right"/>
        <w:rPr>
          <w:rFonts w:ascii="Verdana" w:eastAsia="Calibri" w:hAnsi="Verdana" w:cs="Arial"/>
          <w:lang w:val="es-ES" w:eastAsia="es-ES"/>
        </w:rPr>
      </w:pPr>
    </w:p>
    <w:p w14:paraId="1330386A" w14:textId="77777777" w:rsidR="00CE0712" w:rsidRDefault="00CE0712" w:rsidP="00904AD4">
      <w:pPr>
        <w:spacing w:after="0" w:line="240" w:lineRule="auto"/>
        <w:jc w:val="right"/>
        <w:rPr>
          <w:rFonts w:ascii="Verdana" w:eastAsia="Calibri" w:hAnsi="Verdana" w:cs="Arial"/>
          <w:lang w:val="es-ES" w:eastAsia="es-ES"/>
        </w:rPr>
      </w:pPr>
    </w:p>
    <w:p w14:paraId="5E030C10" w14:textId="77777777" w:rsidR="00CE0712" w:rsidRPr="00904AD4" w:rsidRDefault="00CE0712" w:rsidP="00904AD4">
      <w:pPr>
        <w:spacing w:after="0" w:line="240" w:lineRule="auto"/>
        <w:jc w:val="right"/>
        <w:rPr>
          <w:rFonts w:ascii="Verdana" w:eastAsia="Calibri" w:hAnsi="Verdana" w:cs="Arial"/>
          <w:lang w:val="es-ES" w:eastAsia="es-ES"/>
        </w:rPr>
      </w:pPr>
    </w:p>
    <w:p w14:paraId="4A0FFE27" w14:textId="77777777" w:rsidR="00904AD4" w:rsidRDefault="00904AD4" w:rsidP="00904AD4">
      <w:pPr>
        <w:spacing w:after="0" w:line="240" w:lineRule="auto"/>
        <w:jc w:val="right"/>
        <w:rPr>
          <w:rFonts w:ascii="Verdana" w:eastAsia="Calibri" w:hAnsi="Verdana" w:cs="Arial"/>
          <w:lang w:eastAsia="es-ES"/>
        </w:rPr>
      </w:pPr>
    </w:p>
    <w:p w14:paraId="78168DD2" w14:textId="73BA3855" w:rsidR="00904AD4" w:rsidRDefault="00904AD4" w:rsidP="00904AD4">
      <w:pPr>
        <w:spacing w:after="0" w:line="240" w:lineRule="auto"/>
        <w:jc w:val="right"/>
        <w:rPr>
          <w:rFonts w:ascii="Verdana" w:eastAsia="Calibri" w:hAnsi="Verdana" w:cs="Arial"/>
          <w:lang w:eastAsia="es-ES"/>
        </w:rPr>
      </w:pPr>
      <w:r w:rsidRPr="00904AD4">
        <w:rPr>
          <w:rFonts w:ascii="Verdana" w:eastAsia="Calibri" w:hAnsi="Verdana" w:cs="Arial"/>
          <w:noProof/>
          <w:lang w:eastAsia="es-ES"/>
        </w:rPr>
        <w:lastRenderedPageBreak/>
        <w:drawing>
          <wp:inline distT="0" distB="0" distL="0" distR="0" wp14:anchorId="094D8C9D" wp14:editId="1CDA7D33">
            <wp:extent cx="2330450" cy="726316"/>
            <wp:effectExtent l="0" t="0" r="0" b="0"/>
            <wp:docPr id="1934748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48164" name=""/>
                    <pic:cNvPicPr/>
                  </pic:nvPicPr>
                  <pic:blipFill>
                    <a:blip r:embed="rId10"/>
                    <a:stretch>
                      <a:fillRect/>
                    </a:stretch>
                  </pic:blipFill>
                  <pic:spPr>
                    <a:xfrm>
                      <a:off x="0" y="0"/>
                      <a:ext cx="2355202" cy="734030"/>
                    </a:xfrm>
                    <a:prstGeom prst="rect">
                      <a:avLst/>
                    </a:prstGeom>
                  </pic:spPr>
                </pic:pic>
              </a:graphicData>
            </a:graphic>
          </wp:inline>
        </w:drawing>
      </w:r>
    </w:p>
    <w:p w14:paraId="5E0ACCF1" w14:textId="197351D1" w:rsidR="00103317" w:rsidRDefault="00103317" w:rsidP="00103317">
      <w:pPr>
        <w:spacing w:after="0" w:line="240" w:lineRule="auto"/>
        <w:jc w:val="both"/>
        <w:rPr>
          <w:rFonts w:ascii="Verdana" w:eastAsia="Calibri" w:hAnsi="Verdana" w:cs="Arial"/>
          <w:lang w:eastAsia="es-ES"/>
        </w:rPr>
      </w:pPr>
      <w:r w:rsidRPr="005644FE">
        <w:rPr>
          <w:rFonts w:ascii="Verdana" w:eastAsia="Calibri" w:hAnsi="Verdana" w:cs="Arial"/>
          <w:lang w:eastAsia="es-ES"/>
        </w:rPr>
        <w:t>Señor</w:t>
      </w:r>
      <w:r>
        <w:rPr>
          <w:rFonts w:ascii="Verdana" w:eastAsia="Calibri" w:hAnsi="Verdana" w:cs="Arial"/>
          <w:lang w:eastAsia="es-ES"/>
        </w:rPr>
        <w:t>a</w:t>
      </w:r>
    </w:p>
    <w:p w14:paraId="36CE73EB" w14:textId="4C2A5BC0" w:rsidR="00103317" w:rsidRPr="00791871" w:rsidRDefault="00575AC1" w:rsidP="00103317">
      <w:pPr>
        <w:spacing w:after="0" w:line="240" w:lineRule="auto"/>
        <w:jc w:val="both"/>
        <w:rPr>
          <w:rFonts w:ascii="Verdana" w:hAnsi="Verdana"/>
        </w:rPr>
      </w:pPr>
      <w:r>
        <w:rPr>
          <w:rFonts w:ascii="Verdana" w:eastAsia="Calibri" w:hAnsi="Verdana" w:cs="Arial"/>
          <w:b/>
          <w:bCs/>
          <w:lang w:eastAsia="es-ES"/>
        </w:rPr>
        <w:t>XXXXX</w:t>
      </w:r>
    </w:p>
    <w:p w14:paraId="2941C8C7" w14:textId="77777777" w:rsidR="00103317" w:rsidRPr="00791871" w:rsidRDefault="00103317" w:rsidP="00103317">
      <w:pPr>
        <w:spacing w:after="0" w:line="240" w:lineRule="auto"/>
        <w:jc w:val="both"/>
        <w:rPr>
          <w:rFonts w:ascii="Verdana" w:eastAsia="Calibri" w:hAnsi="Verdana" w:cs="Arial"/>
          <w:b/>
          <w:bCs/>
          <w:color w:val="000000"/>
          <w:lang w:eastAsia="es-ES_tradnl"/>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5670"/>
      </w:tblGrid>
      <w:tr w:rsidR="00103317" w:rsidRPr="005644FE" w14:paraId="29663EEC" w14:textId="77777777" w:rsidTr="009979FD">
        <w:trPr>
          <w:trHeight w:val="162"/>
        </w:trPr>
        <w:tc>
          <w:tcPr>
            <w:tcW w:w="3119" w:type="dxa"/>
          </w:tcPr>
          <w:p w14:paraId="5BC03BEE" w14:textId="77777777" w:rsidR="00103317" w:rsidRPr="00791871" w:rsidRDefault="00103317" w:rsidP="009979FD">
            <w:pPr>
              <w:jc w:val="both"/>
              <w:rPr>
                <w:rFonts w:ascii="Verdana" w:eastAsia="Calibri" w:hAnsi="Verdana" w:cs="Arial"/>
                <w:b/>
                <w:bCs/>
                <w:color w:val="7030A0"/>
                <w:lang w:eastAsia="es-ES_tradnl"/>
              </w:rPr>
            </w:pPr>
          </w:p>
        </w:tc>
        <w:tc>
          <w:tcPr>
            <w:tcW w:w="5670" w:type="dxa"/>
          </w:tcPr>
          <w:p w14:paraId="78C7F7CB" w14:textId="77777777" w:rsidR="00103317" w:rsidRPr="005644FE" w:rsidRDefault="00103317" w:rsidP="009979FD">
            <w:pPr>
              <w:jc w:val="both"/>
              <w:rPr>
                <w:rFonts w:ascii="Verdana" w:eastAsia="Calibri" w:hAnsi="Verdana" w:cs="Arial"/>
                <w:b/>
                <w:bCs/>
                <w:lang w:eastAsia="es-ES"/>
              </w:rPr>
            </w:pPr>
            <w:r w:rsidRPr="005644FE">
              <w:rPr>
                <w:rFonts w:ascii="Verdana" w:eastAsia="Calibri" w:hAnsi="Verdana" w:cs="Arial"/>
                <w:b/>
                <w:bCs/>
                <w:lang w:eastAsia="es-ES"/>
              </w:rPr>
              <w:t>Concepto C-1</w:t>
            </w:r>
            <w:r>
              <w:rPr>
                <w:rFonts w:ascii="Verdana" w:eastAsia="Calibri" w:hAnsi="Verdana" w:cs="Arial"/>
                <w:b/>
                <w:bCs/>
                <w:lang w:eastAsia="es-ES"/>
              </w:rPr>
              <w:t>619</w:t>
            </w:r>
            <w:r w:rsidRPr="005644FE">
              <w:rPr>
                <w:rFonts w:ascii="Verdana" w:eastAsia="Calibri" w:hAnsi="Verdana" w:cs="Arial"/>
                <w:b/>
                <w:bCs/>
                <w:lang w:eastAsia="es-ES"/>
              </w:rPr>
              <w:t xml:space="preserve"> de 2025</w:t>
            </w:r>
          </w:p>
          <w:p w14:paraId="2A7A1AE3" w14:textId="77777777" w:rsidR="00103317" w:rsidRPr="005644FE" w:rsidRDefault="00103317" w:rsidP="009979FD">
            <w:pPr>
              <w:jc w:val="both"/>
              <w:rPr>
                <w:rFonts w:ascii="Verdana" w:eastAsia="Calibri" w:hAnsi="Verdana" w:cs="Arial"/>
                <w:b/>
                <w:bCs/>
                <w:color w:val="7030A0"/>
                <w:lang w:eastAsia="es-ES"/>
              </w:rPr>
            </w:pPr>
          </w:p>
        </w:tc>
      </w:tr>
      <w:tr w:rsidR="00103317" w:rsidRPr="005644FE" w14:paraId="162812C6" w14:textId="77777777" w:rsidTr="009979FD">
        <w:trPr>
          <w:trHeight w:val="884"/>
        </w:trPr>
        <w:tc>
          <w:tcPr>
            <w:tcW w:w="3119" w:type="dxa"/>
          </w:tcPr>
          <w:p w14:paraId="5288B003" w14:textId="77777777" w:rsidR="00103317" w:rsidRPr="005644FE" w:rsidRDefault="00103317" w:rsidP="009979FD">
            <w:pPr>
              <w:jc w:val="both"/>
              <w:rPr>
                <w:rFonts w:ascii="Verdana" w:eastAsia="Calibri" w:hAnsi="Verdana" w:cs="Arial"/>
                <w:color w:val="000000"/>
                <w:lang w:eastAsia="es-ES_tradnl"/>
              </w:rPr>
            </w:pPr>
            <w:r w:rsidRPr="005644FE">
              <w:rPr>
                <w:rFonts w:ascii="Verdana" w:eastAsia="Calibri" w:hAnsi="Verdana" w:cs="Arial"/>
                <w:b/>
                <w:color w:val="000000"/>
                <w:lang w:eastAsia="es-ES_tradnl"/>
              </w:rPr>
              <w:t>Temas:</w:t>
            </w:r>
            <w:r w:rsidRPr="005644FE">
              <w:rPr>
                <w:rFonts w:ascii="Verdana" w:eastAsia="Calibri" w:hAnsi="Verdana" w:cs="Arial"/>
                <w:color w:val="000000"/>
                <w:lang w:eastAsia="es-ES_tradnl"/>
              </w:rPr>
              <w:t xml:space="preserve">                   </w:t>
            </w:r>
          </w:p>
        </w:tc>
        <w:tc>
          <w:tcPr>
            <w:tcW w:w="5670" w:type="dxa"/>
          </w:tcPr>
          <w:p w14:paraId="60D5397B" w14:textId="74041EFF" w:rsidR="00103317" w:rsidRPr="00F04657" w:rsidRDefault="00103317" w:rsidP="009979FD">
            <w:pPr>
              <w:contextualSpacing/>
              <w:jc w:val="both"/>
              <w:rPr>
                <w:rFonts w:ascii="Verdana" w:eastAsia="Calibri" w:hAnsi="Verdana" w:cs="Arial"/>
                <w:bCs/>
                <w:lang w:val="es-ES" w:eastAsia="es-MX"/>
              </w:rPr>
            </w:pPr>
            <w:r w:rsidRPr="00F04657">
              <w:rPr>
                <w:rFonts w:ascii="Verdana" w:eastAsia="Calibri" w:hAnsi="Verdana" w:cs="Arial"/>
                <w:bCs/>
                <w:lang w:val="es-MX" w:eastAsia="es-MX"/>
              </w:rPr>
              <w:t xml:space="preserve">LEY DE GARANTÍAS ELECTORALES – Naturaleza Jurídica / LEY DE GARANTÍAS ELECTORALES –  / </w:t>
            </w:r>
            <w:r w:rsidRPr="00F04657">
              <w:rPr>
                <w:rFonts w:ascii="Verdana" w:eastAsia="Calibri" w:hAnsi="Verdana" w:cs="Arial"/>
                <w:bCs/>
                <w:lang w:val="es-MX"/>
              </w:rPr>
              <w:t xml:space="preserve">LEY DE GARANTÍAS ELECTORALES ─ Prohibición artículo 33 ‒ Contratación directa ‒ Alcance / </w:t>
            </w:r>
            <w:r w:rsidRPr="00F04657">
              <w:rPr>
                <w:rFonts w:ascii="Verdana" w:eastAsia="Times New Roman" w:hAnsi="Verdana" w:cs="Arial"/>
                <w:bCs/>
                <w:lang w:eastAsia="es-CO"/>
              </w:rPr>
              <w:t xml:space="preserve">LEY DE GARANTÍAS ELECTORALES </w:t>
            </w:r>
            <w:r w:rsidRPr="00F04657">
              <w:rPr>
                <w:rFonts w:ascii="Verdana" w:eastAsia="Calibri" w:hAnsi="Verdana" w:cs="Arial"/>
                <w:bCs/>
                <w:lang w:val="es-MX"/>
              </w:rPr>
              <w:t xml:space="preserve">─ Prohibición artículo 33 ‒ </w:t>
            </w:r>
            <w:r w:rsidRPr="00F04657">
              <w:rPr>
                <w:rFonts w:ascii="Verdana" w:eastAsia="Times New Roman" w:hAnsi="Verdana" w:cs="Arial"/>
                <w:bCs/>
                <w:lang w:eastAsia="es-CO"/>
              </w:rPr>
              <w:t xml:space="preserve">Excepciones / LEY DE GARANTÍAS ELECTORALES ‒ </w:t>
            </w:r>
            <w:r w:rsidRPr="00F04657">
              <w:rPr>
                <w:rFonts w:ascii="Verdana" w:eastAsia="Times New Roman" w:hAnsi="Verdana" w:cs="Arial"/>
                <w:bCs/>
                <w:lang w:val="es-ES" w:eastAsia="es-CO"/>
              </w:rPr>
              <w:t xml:space="preserve">Prohibición del artículo 33 </w:t>
            </w:r>
            <w:r w:rsidRPr="00F04657">
              <w:rPr>
                <w:rFonts w:ascii="Verdana" w:eastAsia="Times New Roman" w:hAnsi="Verdana" w:cs="Arial"/>
                <w:bCs/>
                <w:lang w:eastAsia="es-CO"/>
              </w:rPr>
              <w:t xml:space="preserve">‒ Destinatarios / </w:t>
            </w:r>
            <w:r w:rsidRPr="00F04657">
              <w:rPr>
                <w:rFonts w:ascii="Verdana" w:eastAsia="Times New Roman" w:hAnsi="Verdana" w:cs="Arial"/>
                <w:bCs/>
                <w:lang w:val="es-ES" w:eastAsia="es-CO" w:bidi="es-ES"/>
              </w:rPr>
              <w:t xml:space="preserve">EMPRESAS INDUSTRIALES Y COMERCIALES DEL ESTADO </w:t>
            </w:r>
            <w:r w:rsidRPr="00F04657">
              <w:rPr>
                <w:rFonts w:ascii="Verdana" w:eastAsia="Calibri" w:hAnsi="Verdana" w:cs="Arial"/>
                <w:bCs/>
                <w:lang w:val="es-ES" w:eastAsia="es-MX"/>
              </w:rPr>
              <w:t xml:space="preserve">‒ Ley de garantías electorales </w:t>
            </w:r>
          </w:p>
          <w:p w14:paraId="6F0B0E14" w14:textId="77777777" w:rsidR="00103317" w:rsidRPr="00F04657" w:rsidRDefault="00103317" w:rsidP="009979FD">
            <w:pPr>
              <w:contextualSpacing/>
              <w:jc w:val="both"/>
              <w:rPr>
                <w:rFonts w:ascii="Verdana" w:eastAsia="Calibri" w:hAnsi="Verdana" w:cs="Arial"/>
                <w:color w:val="000000" w:themeColor="text1"/>
                <w:szCs w:val="24"/>
                <w:lang w:val="es-ES" w:eastAsia="es-ES_tradnl"/>
              </w:rPr>
            </w:pPr>
          </w:p>
        </w:tc>
      </w:tr>
      <w:tr w:rsidR="00103317" w:rsidRPr="005644FE" w14:paraId="5F2E8989" w14:textId="77777777" w:rsidTr="009979FD">
        <w:tc>
          <w:tcPr>
            <w:tcW w:w="3119" w:type="dxa"/>
          </w:tcPr>
          <w:p w14:paraId="1A64F300" w14:textId="77777777" w:rsidR="00103317" w:rsidRPr="005644FE" w:rsidRDefault="00103317" w:rsidP="009979FD">
            <w:pPr>
              <w:jc w:val="both"/>
              <w:rPr>
                <w:rFonts w:ascii="Verdana" w:eastAsia="Calibri" w:hAnsi="Verdana" w:cs="Arial"/>
                <w:b/>
                <w:lang w:eastAsia="es-ES_tradnl"/>
              </w:rPr>
            </w:pPr>
            <w:r w:rsidRPr="005644FE">
              <w:rPr>
                <w:rFonts w:ascii="Verdana" w:eastAsia="Calibri" w:hAnsi="Verdana" w:cs="Arial"/>
                <w:b/>
                <w:lang w:eastAsia="es-ES_tradnl"/>
              </w:rPr>
              <w:t>Radicación:</w:t>
            </w:r>
            <w:r w:rsidRPr="005644FE">
              <w:rPr>
                <w:rFonts w:ascii="Verdana" w:eastAsia="Calibri" w:hAnsi="Verdana" w:cs="Arial"/>
                <w:lang w:eastAsia="es-ES_tradnl"/>
              </w:rPr>
              <w:t xml:space="preserve">               </w:t>
            </w:r>
          </w:p>
        </w:tc>
        <w:tc>
          <w:tcPr>
            <w:tcW w:w="5670" w:type="dxa"/>
          </w:tcPr>
          <w:p w14:paraId="2DCAFBE7" w14:textId="77777777" w:rsidR="00103317" w:rsidRPr="00F04657" w:rsidRDefault="00103317" w:rsidP="009979FD">
            <w:pPr>
              <w:jc w:val="both"/>
              <w:rPr>
                <w:rFonts w:ascii="Verdana" w:eastAsia="Calibri" w:hAnsi="Verdana" w:cs="Arial"/>
                <w:lang w:eastAsia="es-ES_tradnl"/>
              </w:rPr>
            </w:pPr>
            <w:r w:rsidRPr="005644FE">
              <w:rPr>
                <w:rFonts w:ascii="Verdana" w:eastAsia="Calibri" w:hAnsi="Verdana" w:cs="Arial"/>
                <w:lang w:eastAsia="es-ES_tradnl"/>
              </w:rPr>
              <w:t>Respuesta a consulta con radicado</w:t>
            </w:r>
            <w:r>
              <w:rPr>
                <w:rFonts w:ascii="Verdana" w:eastAsia="Calibri" w:hAnsi="Verdana" w:cs="Arial"/>
                <w:lang w:eastAsia="es-ES_tradnl"/>
              </w:rPr>
              <w:t xml:space="preserve"> </w:t>
            </w:r>
            <w:r>
              <w:rPr>
                <w:rFonts w:ascii="Verdana" w:hAnsi="Verdana" w:cs="Calibri"/>
                <w:color w:val="000000"/>
              </w:rPr>
              <w:t>1_2025_11_04_012360</w:t>
            </w:r>
            <w:r w:rsidRPr="005644FE">
              <w:rPr>
                <w:rFonts w:ascii="Verdana" w:eastAsia="Calibri" w:hAnsi="Verdana" w:cs="Arial"/>
                <w:lang w:eastAsia="es-ES_tradnl"/>
              </w:rPr>
              <w:t xml:space="preserve"> </w:t>
            </w:r>
          </w:p>
        </w:tc>
      </w:tr>
    </w:tbl>
    <w:p w14:paraId="175F2497" w14:textId="77777777" w:rsidR="00103317" w:rsidRPr="005644FE" w:rsidRDefault="00103317" w:rsidP="00103317">
      <w:pPr>
        <w:spacing w:after="0" w:line="276" w:lineRule="auto"/>
        <w:jc w:val="both"/>
        <w:rPr>
          <w:rFonts w:ascii="Verdana" w:eastAsia="Calibri" w:hAnsi="Verdana" w:cs="Arial"/>
          <w:lang w:eastAsia="es-ES_tradnl"/>
        </w:rPr>
      </w:pPr>
    </w:p>
    <w:p w14:paraId="380B63D6" w14:textId="1FF31C1F" w:rsidR="00103317" w:rsidRPr="005644FE" w:rsidRDefault="00103317" w:rsidP="00103317">
      <w:pPr>
        <w:spacing w:after="0" w:line="276" w:lineRule="auto"/>
        <w:jc w:val="both"/>
        <w:rPr>
          <w:rFonts w:ascii="Verdana" w:eastAsia="Calibri" w:hAnsi="Verdana" w:cs="Arial"/>
          <w:lang w:eastAsia="es-ES"/>
        </w:rPr>
      </w:pPr>
      <w:r w:rsidRPr="005644FE">
        <w:rPr>
          <w:rFonts w:ascii="Verdana" w:eastAsia="Calibri" w:hAnsi="Verdana" w:cs="Arial"/>
          <w:lang w:eastAsia="es-ES"/>
        </w:rPr>
        <w:t>Estimad</w:t>
      </w:r>
      <w:r>
        <w:rPr>
          <w:rFonts w:ascii="Verdana" w:eastAsia="Calibri" w:hAnsi="Verdana" w:cs="Arial"/>
          <w:lang w:eastAsia="es-ES"/>
        </w:rPr>
        <w:t xml:space="preserve">a señora </w:t>
      </w:r>
      <w:r w:rsidR="00575AC1">
        <w:rPr>
          <w:rFonts w:ascii="Verdana" w:eastAsia="Calibri" w:hAnsi="Verdana" w:cs="Arial"/>
          <w:lang w:eastAsia="es-ES"/>
        </w:rPr>
        <w:t>XXXXX</w:t>
      </w:r>
      <w:r w:rsidRPr="005644FE">
        <w:rPr>
          <w:rFonts w:ascii="Verdana" w:eastAsia="Calibri" w:hAnsi="Verdana" w:cs="Arial"/>
          <w:lang w:eastAsia="es-ES"/>
        </w:rPr>
        <w:t>:</w:t>
      </w:r>
    </w:p>
    <w:p w14:paraId="2801DE50" w14:textId="77777777" w:rsidR="00103317" w:rsidRPr="00E02524" w:rsidRDefault="00103317" w:rsidP="00103317">
      <w:pPr>
        <w:spacing w:after="0"/>
        <w:jc w:val="both"/>
        <w:rPr>
          <w:rFonts w:ascii="Verdana" w:hAnsi="Verdana"/>
          <w:lang w:val="es-MX"/>
        </w:rPr>
      </w:pPr>
    </w:p>
    <w:p w14:paraId="6ABA672C" w14:textId="77777777" w:rsidR="00103317" w:rsidRDefault="00103317" w:rsidP="00103317">
      <w:pPr>
        <w:spacing w:after="120" w:line="276" w:lineRule="auto"/>
        <w:jc w:val="both"/>
        <w:rPr>
          <w:rFonts w:ascii="Verdana" w:hAnsi="Verdana"/>
        </w:rPr>
      </w:pPr>
      <w:r w:rsidRPr="00E02524">
        <w:rPr>
          <w:rFonts w:ascii="Verdana" w:hAnsi="Verdana"/>
        </w:rPr>
        <w:t xml:space="preserve">La Agencia Nacional de Contratación Pública – Colombia Compra Eficiente –, en ejercicio de las competencias otorgadas </w:t>
      </w:r>
      <w:r w:rsidRPr="005644FE">
        <w:rPr>
          <w:rFonts w:ascii="Verdana" w:eastAsia="Calibri" w:hAnsi="Verdana" w:cs="Arial"/>
          <w:lang w:eastAsia="es-ES"/>
        </w:rPr>
        <w:t>por los artículos 3, numeral 5º, y 11, numeral 8º, del Decreto Ley 4170 de 2011</w:t>
      </w:r>
      <w:r>
        <w:rPr>
          <w:rFonts w:ascii="Verdana" w:eastAsia="Calibri" w:hAnsi="Verdana" w:cs="Arial"/>
          <w:lang w:eastAsia="es-ES"/>
        </w:rPr>
        <w:t>,</w:t>
      </w:r>
      <w:r w:rsidRPr="00595C9B">
        <w:rPr>
          <w:rFonts w:ascii="Verdana" w:hAnsi="Verdana" w:cs="Arial"/>
        </w:rPr>
        <w:t xml:space="preserve"> </w:t>
      </w:r>
      <w:r w:rsidRPr="005644FE">
        <w:rPr>
          <w:rFonts w:ascii="Verdana" w:hAnsi="Verdana" w:cs="Arial"/>
        </w:rPr>
        <w:t>así como lo establecido en el artículo 4 de la Resolución 1707 de 2018 expedida por esta Entidad</w:t>
      </w:r>
      <w:r w:rsidRPr="00E02524">
        <w:rPr>
          <w:rFonts w:ascii="Verdana" w:hAnsi="Verdana"/>
        </w:rPr>
        <w:t xml:space="preserve"> y</w:t>
      </w:r>
      <w:r>
        <w:rPr>
          <w:rFonts w:ascii="Verdana" w:hAnsi="Verdana"/>
        </w:rPr>
        <w:t>,</w:t>
      </w:r>
      <w:r w:rsidRPr="00E02524">
        <w:rPr>
          <w:rFonts w:ascii="Verdana" w:hAnsi="Verdana"/>
        </w:rPr>
        <w:t xml:space="preserve"> de conformidad con las modalidades del derecho de petición contempladas en la Ley 1755 de 2015</w:t>
      </w:r>
      <w:r>
        <w:rPr>
          <w:rFonts w:ascii="Verdana" w:hAnsi="Verdana"/>
        </w:rPr>
        <w:t xml:space="preserve"> y en </w:t>
      </w:r>
      <w:r w:rsidRPr="00E02524">
        <w:rPr>
          <w:rFonts w:ascii="Verdana" w:hAnsi="Verdana"/>
        </w:rPr>
        <w:t xml:space="preserve">la resolución </w:t>
      </w:r>
      <w:r w:rsidRPr="00E02524">
        <w:rPr>
          <w:rFonts w:ascii="Verdana" w:eastAsia="Times New Roman" w:hAnsi="Verdana" w:cs="Segoe UI"/>
          <w:lang w:eastAsia="es-CO"/>
        </w:rPr>
        <w:t xml:space="preserve">N° 469 del 2025 </w:t>
      </w:r>
      <w:r w:rsidRPr="00E02524">
        <w:rPr>
          <w:rFonts w:ascii="Verdana" w:hAnsi="Verdana"/>
        </w:rPr>
        <w:t xml:space="preserve">expedida por esta Agencia, </w:t>
      </w:r>
      <w:r w:rsidRPr="005644FE">
        <w:rPr>
          <w:rFonts w:ascii="Verdana" w:eastAsia="Calibri" w:hAnsi="Verdana" w:cs="Arial"/>
          <w:lang w:eastAsia="es-ES"/>
        </w:rPr>
        <w:t xml:space="preserve">responde su solicitud de consulta de fecha </w:t>
      </w:r>
      <w:r>
        <w:rPr>
          <w:rFonts w:ascii="Verdana" w:eastAsia="Calibri" w:hAnsi="Verdana" w:cs="Arial"/>
          <w:lang w:eastAsia="es-ES"/>
        </w:rPr>
        <w:t>4 de noviembre</w:t>
      </w:r>
      <w:r w:rsidRPr="005644FE">
        <w:rPr>
          <w:rFonts w:ascii="Verdana" w:eastAsia="Calibri" w:hAnsi="Verdana" w:cs="Arial"/>
          <w:lang w:eastAsia="es-ES"/>
        </w:rPr>
        <w:t xml:space="preserve"> de 2025</w:t>
      </w:r>
      <w:r>
        <w:rPr>
          <w:rFonts w:ascii="Verdana" w:eastAsia="Calibri" w:hAnsi="Verdana" w:cs="Arial"/>
          <w:lang w:eastAsia="es-ES"/>
        </w:rPr>
        <w:t>,</w:t>
      </w:r>
      <w:r w:rsidRPr="005644FE">
        <w:rPr>
          <w:rFonts w:ascii="Verdana" w:eastAsia="Calibri" w:hAnsi="Verdana" w:cs="Arial"/>
          <w:lang w:eastAsia="es-ES"/>
        </w:rPr>
        <w:t xml:space="preserve"> en la cual manifiesta lo siguiente:</w:t>
      </w:r>
    </w:p>
    <w:p w14:paraId="0C14E119" w14:textId="77777777" w:rsidR="00103317" w:rsidRDefault="00103317" w:rsidP="00103317">
      <w:pPr>
        <w:spacing w:after="0"/>
        <w:jc w:val="both"/>
        <w:rPr>
          <w:rFonts w:ascii="Verdana" w:hAnsi="Verdana"/>
        </w:rPr>
      </w:pPr>
      <w:r w:rsidRPr="00E02524">
        <w:rPr>
          <w:rFonts w:ascii="Verdana" w:hAnsi="Verdana"/>
        </w:rPr>
        <w:t xml:space="preserve">PETICIÓN REALIZADA </w:t>
      </w:r>
    </w:p>
    <w:p w14:paraId="180C34F5" w14:textId="77777777" w:rsidR="00103317" w:rsidRPr="008E5B36" w:rsidRDefault="00103317" w:rsidP="00103317">
      <w:pPr>
        <w:spacing w:after="0"/>
        <w:jc w:val="both"/>
        <w:rPr>
          <w:rFonts w:ascii="Verdana" w:hAnsi="Verdana"/>
        </w:rPr>
      </w:pPr>
    </w:p>
    <w:p w14:paraId="27584950" w14:textId="77777777" w:rsidR="00103317" w:rsidRPr="00A87E6E" w:rsidRDefault="00103317" w:rsidP="00103317">
      <w:pPr>
        <w:spacing w:after="0"/>
        <w:ind w:left="567" w:right="758"/>
        <w:jc w:val="both"/>
        <w:rPr>
          <w:rFonts w:ascii="Verdana" w:hAnsi="Verdana"/>
          <w:sz w:val="20"/>
          <w:szCs w:val="20"/>
        </w:rPr>
      </w:pPr>
      <w:r>
        <w:rPr>
          <w:rFonts w:ascii="Verdana" w:hAnsi="Verdana"/>
          <w:sz w:val="20"/>
          <w:szCs w:val="20"/>
        </w:rPr>
        <w:t xml:space="preserve">“(…) </w:t>
      </w:r>
      <w:r w:rsidRPr="00F25EB7">
        <w:rPr>
          <w:rFonts w:ascii="Verdana" w:hAnsi="Verdana"/>
          <w:sz w:val="20"/>
          <w:szCs w:val="20"/>
        </w:rPr>
        <w:t xml:space="preserve">Solicito amablemente concepto de ley de </w:t>
      </w:r>
      <w:r>
        <w:rPr>
          <w:rFonts w:ascii="Verdana" w:hAnsi="Verdana"/>
          <w:sz w:val="20"/>
          <w:szCs w:val="20"/>
        </w:rPr>
        <w:t>garantías (sic)</w:t>
      </w:r>
      <w:r w:rsidRPr="00F25EB7">
        <w:rPr>
          <w:rFonts w:ascii="Verdana" w:hAnsi="Verdana"/>
          <w:sz w:val="20"/>
          <w:szCs w:val="20"/>
        </w:rPr>
        <w:t xml:space="preserve"> del articulo</w:t>
      </w:r>
      <w:r>
        <w:rPr>
          <w:rFonts w:ascii="Verdana" w:hAnsi="Verdana"/>
          <w:sz w:val="20"/>
          <w:szCs w:val="20"/>
        </w:rPr>
        <w:t xml:space="preserve"> (sic)</w:t>
      </w:r>
      <w:r w:rsidRPr="00F25EB7">
        <w:rPr>
          <w:rFonts w:ascii="Verdana" w:hAnsi="Verdana"/>
          <w:sz w:val="20"/>
          <w:szCs w:val="20"/>
        </w:rPr>
        <w:t xml:space="preserve"> 33, aplica para empresas industriales y comerciales del estado de servicios publicos </w:t>
      </w:r>
      <w:r>
        <w:rPr>
          <w:rFonts w:ascii="Verdana" w:hAnsi="Verdana"/>
          <w:sz w:val="20"/>
          <w:szCs w:val="20"/>
        </w:rPr>
        <w:t xml:space="preserve">(sic) </w:t>
      </w:r>
      <w:r w:rsidRPr="00F25EB7">
        <w:rPr>
          <w:rFonts w:ascii="Verdana" w:hAnsi="Verdana"/>
          <w:sz w:val="20"/>
          <w:szCs w:val="20"/>
        </w:rPr>
        <w:t xml:space="preserve">(EICE ESP) ya que estas deben garantizar la prestacion </w:t>
      </w:r>
      <w:r>
        <w:rPr>
          <w:rFonts w:ascii="Verdana" w:hAnsi="Verdana"/>
          <w:sz w:val="20"/>
          <w:szCs w:val="20"/>
        </w:rPr>
        <w:t xml:space="preserve">(sic) </w:t>
      </w:r>
      <w:r w:rsidRPr="00F25EB7">
        <w:rPr>
          <w:rFonts w:ascii="Verdana" w:hAnsi="Verdana"/>
          <w:sz w:val="20"/>
          <w:szCs w:val="20"/>
        </w:rPr>
        <w:t xml:space="preserve">de los servicios de acueducto, </w:t>
      </w:r>
      <w:r>
        <w:rPr>
          <w:rFonts w:ascii="Verdana" w:hAnsi="Verdana"/>
          <w:sz w:val="20"/>
          <w:szCs w:val="20"/>
        </w:rPr>
        <w:t>energía (sic)</w:t>
      </w:r>
      <w:r w:rsidRPr="00F25EB7">
        <w:rPr>
          <w:rFonts w:ascii="Verdana" w:hAnsi="Verdana"/>
          <w:sz w:val="20"/>
          <w:szCs w:val="20"/>
        </w:rPr>
        <w:t xml:space="preserve"> y aseo considerados esenciales y de primera necesidad</w:t>
      </w:r>
      <w:r w:rsidRPr="002E7148">
        <w:rPr>
          <w:rFonts w:ascii="Verdana" w:hAnsi="Verdana"/>
          <w:sz w:val="20"/>
          <w:szCs w:val="20"/>
        </w:rPr>
        <w:t xml:space="preserve"> </w:t>
      </w:r>
      <w:r w:rsidRPr="008E5B36">
        <w:rPr>
          <w:rFonts w:ascii="Verdana" w:hAnsi="Verdana"/>
          <w:sz w:val="20"/>
          <w:szCs w:val="20"/>
        </w:rPr>
        <w:t>(…)”.</w:t>
      </w:r>
    </w:p>
    <w:p w14:paraId="01013F48" w14:textId="77777777" w:rsidR="00103317" w:rsidRDefault="00103317" w:rsidP="00103317">
      <w:pPr>
        <w:spacing w:after="0" w:line="240" w:lineRule="auto"/>
        <w:ind w:firstLine="709"/>
        <w:jc w:val="both"/>
        <w:rPr>
          <w:rFonts w:ascii="Verdana" w:eastAsia="Calibri" w:hAnsi="Verdana" w:cs="Arial"/>
          <w:color w:val="000000"/>
          <w:lang w:eastAsia="es-ES"/>
        </w:rPr>
      </w:pPr>
    </w:p>
    <w:p w14:paraId="27E56FFE" w14:textId="77777777" w:rsidR="00103317" w:rsidRPr="005644FE" w:rsidRDefault="00103317" w:rsidP="00103317">
      <w:pPr>
        <w:spacing w:after="120" w:line="276" w:lineRule="auto"/>
        <w:ind w:firstLine="709"/>
        <w:jc w:val="both"/>
        <w:rPr>
          <w:rFonts w:ascii="Verdana" w:eastAsia="Calibri" w:hAnsi="Verdana" w:cs="Arial"/>
          <w:color w:val="000000"/>
          <w:szCs w:val="24"/>
          <w:lang w:eastAsia="es-ES_tradnl"/>
        </w:rPr>
      </w:pPr>
      <w:r w:rsidRPr="005644FE">
        <w:rPr>
          <w:rFonts w:ascii="Verdana" w:eastAsia="Calibri" w:hAnsi="Verdana" w:cs="Arial"/>
          <w:color w:val="000000"/>
          <w:lang w:eastAsia="es-ES"/>
        </w:rPr>
        <w:lastRenderedPageBreak/>
        <w:t xml:space="preserve">De manera preliminar, resulta necesario acotar que esta entidad solo tiene competencia para responder consultas sobre la aplicación de normas de carácter general en materia de compras y contratación pública. En ese sentido, resolver casos particulares desborda las atribuciones asignadas por el legislador extraordinario que no concibió a Colombia Compra Eficiente como una autoridad para solucionar problemas jurídicos particulares de todos los partícipes del sistema de compra pública. La competencia de esta entidad se fija con límites claros, con el objeto de evitar que la Agencia actúe como una instancia de validación de las actuaciones de las entidades sujetas a la Ley 80 de 1993 o de los demás participantes de la contratación pública. Esta competencia de interpretación de normas generales, por definición, no puede extenderse a la resolución de controversias, ni a brindar asesorías sobre casos puntuales. </w:t>
      </w:r>
    </w:p>
    <w:p w14:paraId="28063E04" w14:textId="77777777" w:rsidR="00103317" w:rsidRPr="00BE1CA1" w:rsidRDefault="00103317" w:rsidP="00103317">
      <w:pPr>
        <w:spacing w:after="120" w:line="276" w:lineRule="auto"/>
        <w:ind w:firstLine="709"/>
        <w:jc w:val="both"/>
        <w:rPr>
          <w:rFonts w:ascii="Verdana" w:eastAsia="Calibri" w:hAnsi="Verdana" w:cs="Arial"/>
          <w:lang w:eastAsia="es-ES"/>
        </w:rPr>
      </w:pPr>
      <w:r w:rsidRPr="005644FE">
        <w:rPr>
          <w:rFonts w:ascii="Verdana" w:eastAsia="Calibri" w:hAnsi="Verdana" w:cs="Arial"/>
          <w:color w:val="000000"/>
          <w:lang w:eastAsia="es-ES"/>
        </w:rPr>
        <w:t xml:space="preserve">Conforme lo expuesto, en aras de garantizar el derecho fundamental de petición, se resolverá su petición dentro de los límites de la referida competencia consultiva, esto es, haciendo </w:t>
      </w:r>
      <w:r w:rsidRPr="00714FA7">
        <w:rPr>
          <w:rFonts w:ascii="Verdana" w:eastAsia="Calibri" w:hAnsi="Verdana" w:cs="Arial"/>
          <w:color w:val="000000"/>
          <w:lang w:eastAsia="es-ES"/>
        </w:rPr>
        <w:t xml:space="preserve">abstracción del caso particular y concreto señalado en su petición, pero señalando algunas consideraciones sobre las normas generales relacionadas </w:t>
      </w:r>
      <w:r>
        <w:rPr>
          <w:rFonts w:ascii="Verdana" w:eastAsia="Calibri" w:hAnsi="Verdana" w:cs="Arial"/>
          <w:color w:val="000000"/>
          <w:lang w:eastAsia="es-ES"/>
        </w:rPr>
        <w:t>el problema jurídico</w:t>
      </w:r>
      <w:r w:rsidRPr="00BE1CA1">
        <w:rPr>
          <w:rFonts w:ascii="Verdana" w:eastAsia="Calibri" w:hAnsi="Verdana" w:cs="Arial"/>
          <w:color w:val="000000"/>
          <w:lang w:eastAsia="es-ES"/>
        </w:rPr>
        <w:t xml:space="preserve"> de su consulta.</w:t>
      </w:r>
      <w:r w:rsidRPr="00BE1CA1">
        <w:rPr>
          <w:rFonts w:ascii="Verdana" w:eastAsia="Calibri" w:hAnsi="Verdana" w:cs="Arial"/>
          <w:lang w:eastAsia="es-ES"/>
        </w:rPr>
        <w:t xml:space="preserve">  </w:t>
      </w:r>
    </w:p>
    <w:p w14:paraId="1285DD29" w14:textId="77777777" w:rsidR="00103317" w:rsidRPr="00BE1CA1" w:rsidRDefault="00103317" w:rsidP="00103317">
      <w:pPr>
        <w:pStyle w:val="ListParagraph"/>
        <w:numPr>
          <w:ilvl w:val="0"/>
          <w:numId w:val="16"/>
        </w:numPr>
        <w:tabs>
          <w:tab w:val="left" w:pos="142"/>
          <w:tab w:val="left" w:pos="284"/>
        </w:tabs>
        <w:spacing w:after="0" w:line="276" w:lineRule="auto"/>
        <w:ind w:left="0" w:firstLine="0"/>
        <w:contextualSpacing w:val="0"/>
        <w:jc w:val="both"/>
        <w:rPr>
          <w:rFonts w:ascii="Verdana" w:eastAsia="Century Gothic" w:hAnsi="Verdana" w:cs="Century Gothic"/>
          <w:b/>
          <w:bCs/>
        </w:rPr>
      </w:pPr>
      <w:r w:rsidRPr="00BE1CA1">
        <w:rPr>
          <w:rFonts w:ascii="Verdana" w:eastAsia="Century Gothic" w:hAnsi="Verdana" w:cs="Century Gothic"/>
          <w:b/>
          <w:bCs/>
        </w:rPr>
        <w:t>Problema planteado:</w:t>
      </w:r>
    </w:p>
    <w:p w14:paraId="3482247B" w14:textId="77777777" w:rsidR="00103317" w:rsidRPr="00BE1CA1" w:rsidRDefault="00103317" w:rsidP="00103317">
      <w:pPr>
        <w:pStyle w:val="ListParagraph"/>
        <w:tabs>
          <w:tab w:val="left" w:pos="142"/>
          <w:tab w:val="left" w:pos="284"/>
        </w:tabs>
        <w:spacing w:after="0" w:line="240" w:lineRule="auto"/>
        <w:ind w:left="0"/>
        <w:contextualSpacing w:val="0"/>
        <w:jc w:val="both"/>
        <w:rPr>
          <w:rFonts w:ascii="Verdana" w:eastAsia="Century Gothic" w:hAnsi="Verdana" w:cs="Century Gothic"/>
          <w:b/>
          <w:bCs/>
        </w:rPr>
      </w:pPr>
    </w:p>
    <w:p w14:paraId="7FBE55D0" w14:textId="77777777" w:rsidR="00103317" w:rsidRPr="00552663" w:rsidRDefault="00103317" w:rsidP="00103317">
      <w:pPr>
        <w:spacing w:after="0" w:line="276" w:lineRule="auto"/>
        <w:jc w:val="both"/>
        <w:rPr>
          <w:rFonts w:ascii="Verdana" w:eastAsia="Calibri" w:hAnsi="Verdana" w:cs="Arial"/>
          <w:color w:val="000000"/>
          <w:lang w:eastAsia="es-ES"/>
        </w:rPr>
      </w:pPr>
      <w:r w:rsidRPr="00BE1CA1">
        <w:rPr>
          <w:rFonts w:ascii="Verdana" w:eastAsia="Calibri" w:hAnsi="Verdana" w:cs="Arial"/>
          <w:color w:val="000000"/>
          <w:lang w:eastAsia="es-ES"/>
        </w:rPr>
        <w:t xml:space="preserve">De acuerdo con el contenido de su solicitud, esta Agencia resolverá </w:t>
      </w:r>
      <w:r>
        <w:rPr>
          <w:rFonts w:ascii="Verdana" w:eastAsia="Calibri" w:hAnsi="Verdana" w:cs="Arial"/>
          <w:color w:val="000000"/>
          <w:lang w:eastAsia="es-ES"/>
        </w:rPr>
        <w:t xml:space="preserve">el </w:t>
      </w:r>
      <w:r w:rsidRPr="00BE1CA1">
        <w:rPr>
          <w:rFonts w:ascii="Verdana" w:eastAsia="Calibri" w:hAnsi="Verdana" w:cs="Arial"/>
          <w:color w:val="000000"/>
          <w:lang w:eastAsia="es-ES"/>
        </w:rPr>
        <w:t>siguiente problema jurídico:</w:t>
      </w:r>
      <w:r>
        <w:rPr>
          <w:rFonts w:ascii="Verdana" w:eastAsia="Century Gothic" w:hAnsi="Verdana" w:cs="Century Gothic"/>
        </w:rPr>
        <w:t xml:space="preserve"> </w:t>
      </w:r>
      <w:r w:rsidRPr="00BE1CA1">
        <w:rPr>
          <w:rFonts w:ascii="Verdana" w:eastAsia="Century Gothic" w:hAnsi="Verdana" w:cs="Century Gothic"/>
        </w:rPr>
        <w:t xml:space="preserve">Las Empresas Industriales y Comerciales del Estado (EICE) </w:t>
      </w:r>
      <w:r>
        <w:rPr>
          <w:rFonts w:ascii="Verdana" w:eastAsia="Century Gothic" w:hAnsi="Verdana" w:cs="Century Gothic"/>
        </w:rPr>
        <w:t>¿</w:t>
      </w:r>
      <w:r w:rsidRPr="00BE1CA1">
        <w:rPr>
          <w:rFonts w:ascii="Verdana" w:eastAsia="Century Gothic" w:hAnsi="Verdana" w:cs="Century Gothic"/>
        </w:rPr>
        <w:t xml:space="preserve">se encuentran sometidas a las restricciones contractuales previstas en </w:t>
      </w:r>
      <w:r>
        <w:rPr>
          <w:rFonts w:ascii="Verdana" w:eastAsia="Century Gothic" w:hAnsi="Verdana" w:cs="Century Gothic"/>
        </w:rPr>
        <w:t xml:space="preserve">el artículo 33 de </w:t>
      </w:r>
      <w:r w:rsidRPr="00BE1CA1">
        <w:rPr>
          <w:rFonts w:ascii="Verdana" w:eastAsia="Century Gothic" w:hAnsi="Verdana" w:cs="Century Gothic"/>
        </w:rPr>
        <w:t xml:space="preserve">la Ley 996 de 2005 —Ley de Garantías Electorales—, durante </w:t>
      </w:r>
      <w:r>
        <w:rPr>
          <w:rFonts w:ascii="Verdana" w:eastAsia="Century Gothic" w:hAnsi="Verdana" w:cs="Century Gothic"/>
        </w:rPr>
        <w:t xml:space="preserve">el </w:t>
      </w:r>
      <w:r w:rsidRPr="00BE1CA1">
        <w:rPr>
          <w:rFonts w:ascii="Verdana" w:eastAsia="Century Gothic" w:hAnsi="Verdana" w:cs="Century Gothic"/>
        </w:rPr>
        <w:t>período previo a elecciones?</w:t>
      </w:r>
    </w:p>
    <w:p w14:paraId="43EF0DED" w14:textId="77777777" w:rsidR="00103317" w:rsidRDefault="00103317" w:rsidP="00103317">
      <w:pPr>
        <w:spacing w:after="0" w:line="240" w:lineRule="auto"/>
        <w:jc w:val="both"/>
        <w:rPr>
          <w:rFonts w:ascii="Verdana" w:eastAsia="Calibri" w:hAnsi="Verdana" w:cs="Arial"/>
          <w:color w:val="000000"/>
          <w:lang w:eastAsia="es-ES"/>
        </w:rPr>
      </w:pPr>
    </w:p>
    <w:p w14:paraId="44F61AFC" w14:textId="77777777" w:rsidR="00103317" w:rsidRDefault="00103317" w:rsidP="00103317">
      <w:pPr>
        <w:spacing w:after="0" w:line="276" w:lineRule="auto"/>
        <w:jc w:val="both"/>
        <w:rPr>
          <w:rFonts w:ascii="Verdana" w:eastAsia="Century Gothic" w:hAnsi="Verdana" w:cs="Century Gothic"/>
          <w:b/>
          <w:bCs/>
        </w:rPr>
      </w:pPr>
      <w:r>
        <w:rPr>
          <w:rFonts w:ascii="Verdana" w:eastAsia="Century Gothic" w:hAnsi="Verdana" w:cs="Century Gothic"/>
          <w:b/>
          <w:bCs/>
        </w:rPr>
        <w:t>2</w:t>
      </w:r>
      <w:r w:rsidRPr="005644FE">
        <w:rPr>
          <w:rFonts w:ascii="Verdana" w:eastAsia="Century Gothic" w:hAnsi="Verdana" w:cs="Century Gothic"/>
          <w:b/>
          <w:bCs/>
        </w:rPr>
        <w:t>. Respuesta:</w:t>
      </w:r>
    </w:p>
    <w:p w14:paraId="3075FFE1" w14:textId="77777777" w:rsidR="00103317" w:rsidRPr="005644FE" w:rsidRDefault="00103317" w:rsidP="00103317">
      <w:pPr>
        <w:spacing w:after="0" w:line="240" w:lineRule="auto"/>
        <w:jc w:val="both"/>
        <w:rPr>
          <w:rFonts w:ascii="Verdana" w:eastAsia="Century Gothic" w:hAnsi="Verdana" w:cs="Century Gothic"/>
          <w:b/>
          <w:bCs/>
        </w:rPr>
      </w:pPr>
    </w:p>
    <w:tbl>
      <w:tblPr>
        <w:tblStyle w:val="TableGrid"/>
        <w:tblW w:w="0" w:type="auto"/>
        <w:tblLook w:val="04A0" w:firstRow="1" w:lastRow="0" w:firstColumn="1" w:lastColumn="0" w:noHBand="0" w:noVBand="1"/>
      </w:tblPr>
      <w:tblGrid>
        <w:gridCol w:w="8828"/>
      </w:tblGrid>
      <w:tr w:rsidR="00103317" w:rsidRPr="005644FE" w14:paraId="1D322A99" w14:textId="77777777" w:rsidTr="009979FD">
        <w:tc>
          <w:tcPr>
            <w:tcW w:w="8828" w:type="dxa"/>
          </w:tcPr>
          <w:p w14:paraId="39E61568" w14:textId="77777777" w:rsidR="00103317" w:rsidRDefault="00103317" w:rsidP="009979FD">
            <w:pPr>
              <w:spacing w:after="120" w:line="276" w:lineRule="auto"/>
              <w:jc w:val="both"/>
              <w:rPr>
                <w:rFonts w:ascii="Verdana" w:eastAsia="Calibri" w:hAnsi="Verdana" w:cs="Arial"/>
              </w:rPr>
            </w:pPr>
            <w:r>
              <w:rPr>
                <w:rFonts w:ascii="Verdana" w:eastAsia="Arial" w:hAnsi="Verdana" w:cs="Arial"/>
              </w:rPr>
              <w:t xml:space="preserve">La ley 996 de 2005 </w:t>
            </w:r>
            <w:r>
              <w:rPr>
                <w:rFonts w:ascii="Verdana" w:eastAsia="Calibri" w:hAnsi="Verdana" w:cs="Arial"/>
              </w:rPr>
              <w:t xml:space="preserve">en </w:t>
            </w:r>
            <w:r w:rsidRPr="00F10E52">
              <w:rPr>
                <w:rFonts w:ascii="Verdana" w:eastAsia="Calibri" w:hAnsi="Verdana" w:cs="Arial"/>
              </w:rPr>
              <w:t xml:space="preserve">el artículo 33 de la Ley 996 de 2005 prohíbe </w:t>
            </w:r>
            <w:r>
              <w:rPr>
                <w:rFonts w:ascii="Verdana" w:eastAsia="Calibri" w:hAnsi="Verdana" w:cs="Arial"/>
              </w:rPr>
              <w:t>“</w:t>
            </w:r>
            <w:r>
              <w:rPr>
                <w:rFonts w:ascii="Verdana" w:eastAsia="Calibri" w:hAnsi="Verdana" w:cs="Arial"/>
                <w:bCs/>
              </w:rPr>
              <w:t xml:space="preserve">(…) </w:t>
            </w:r>
            <w:r w:rsidRPr="00F10E52">
              <w:rPr>
                <w:rFonts w:ascii="Verdana" w:eastAsia="Calibri" w:hAnsi="Verdana" w:cs="Arial"/>
              </w:rPr>
              <w:t>la contratación directa por parte de todos los entes del Estado</w:t>
            </w:r>
            <w:r>
              <w:rPr>
                <w:rFonts w:ascii="Verdana" w:eastAsia="Calibri" w:hAnsi="Verdana" w:cs="Arial"/>
                <w:bCs/>
              </w:rPr>
              <w:t>”</w:t>
            </w:r>
            <w:r w:rsidRPr="00F10E52">
              <w:rPr>
                <w:rFonts w:ascii="Verdana" w:eastAsia="Calibri" w:hAnsi="Verdana" w:cs="Arial"/>
              </w:rPr>
              <w:t xml:space="preserve"> durante los cuatro (4) meses anteriores a las elecciones presidenciales, salvo </w:t>
            </w:r>
            <w:r>
              <w:rPr>
                <w:rFonts w:ascii="Verdana" w:eastAsia="Calibri" w:hAnsi="Verdana" w:cs="Arial"/>
                <w:bCs/>
              </w:rPr>
              <w:t>“(…)</w:t>
            </w:r>
            <w:r w:rsidRPr="00F10E52">
              <w:rPr>
                <w:rFonts w:ascii="Verdana" w:eastAsia="Calibri" w:hAnsi="Verdana" w:cs="Arial"/>
                <w:bCs/>
              </w:rPr>
              <w:t xml:space="preserve"> </w:t>
            </w:r>
            <w:r w:rsidRPr="00F10E52">
              <w:rPr>
                <w:rFonts w:ascii="Verdana" w:eastAsia="Calibri" w:hAnsi="Verdana" w:cs="Arial"/>
              </w:rPr>
              <w:t>lo referente a la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atentados, acciones terroristas, desastres naturales o casos de fuerza mayor, y los que deban realizar las entidades sanitarias y hospitalarias</w:t>
            </w:r>
            <w:r>
              <w:rPr>
                <w:rFonts w:ascii="Verdana" w:eastAsia="Calibri" w:hAnsi="Verdana" w:cs="Arial"/>
                <w:bCs/>
              </w:rPr>
              <w:t>”</w:t>
            </w:r>
            <w:r w:rsidRPr="00F10E52">
              <w:rPr>
                <w:rFonts w:ascii="Verdana" w:eastAsia="Calibri" w:hAnsi="Verdana" w:cs="Arial"/>
              </w:rPr>
              <w:t>.</w:t>
            </w:r>
          </w:p>
          <w:p w14:paraId="4AD0193D" w14:textId="77777777" w:rsidR="00103317" w:rsidRDefault="00103317" w:rsidP="009979FD">
            <w:pPr>
              <w:spacing w:after="120" w:line="276" w:lineRule="auto"/>
              <w:ind w:firstLine="709"/>
              <w:jc w:val="both"/>
              <w:rPr>
                <w:rFonts w:ascii="Verdana" w:hAnsi="Verdana" w:cs="Arial"/>
                <w:lang w:eastAsia="x-none"/>
              </w:rPr>
            </w:pPr>
            <w:r w:rsidRPr="00195E24">
              <w:rPr>
                <w:rFonts w:ascii="Verdana" w:hAnsi="Verdana" w:cs="Arial"/>
                <w:lang w:eastAsia="x-none"/>
              </w:rPr>
              <w:lastRenderedPageBreak/>
              <w:t xml:space="preserve">De acuerdo con el citado concepto, la prohibición del artículo 33 de la Ley de Garantías Electorales se refiere a </w:t>
            </w:r>
            <w:r>
              <w:rPr>
                <w:rFonts w:ascii="Verdana" w:hAnsi="Verdana" w:cs="Arial"/>
                <w:sz w:val="19"/>
                <w:szCs w:val="19"/>
                <w:lang w:eastAsia="en-GB"/>
              </w:rPr>
              <w:t>“</w:t>
            </w:r>
            <w:r w:rsidRPr="00195E24">
              <w:rPr>
                <w:rFonts w:ascii="Verdana" w:hAnsi="Verdana" w:cs="Arial"/>
                <w:lang w:eastAsia="x-none"/>
              </w:rPr>
              <w:t>cualquier sistema que no implique convocatoria pública y posibilidad de pluralidad de oferentes</w:t>
            </w:r>
            <w:r>
              <w:rPr>
                <w:rFonts w:ascii="Verdana" w:hAnsi="Verdana" w:cs="Arial"/>
                <w:lang w:eastAsia="en-GB"/>
              </w:rPr>
              <w:t>”</w:t>
            </w:r>
            <w:r w:rsidRPr="00195E24">
              <w:rPr>
                <w:rFonts w:ascii="Verdana" w:hAnsi="Verdana" w:cs="Arial"/>
                <w:lang w:eastAsia="x-none"/>
              </w:rPr>
              <w:t>, por lo que excluye las demás modalidades de contratación previstas en la Ley 1150 de 2007</w:t>
            </w:r>
            <w:r>
              <w:rPr>
                <w:rFonts w:ascii="Verdana" w:hAnsi="Verdana" w:cs="Arial"/>
                <w:lang w:eastAsia="x-none"/>
              </w:rPr>
              <w:t>.</w:t>
            </w:r>
          </w:p>
          <w:p w14:paraId="2C650690" w14:textId="77777777" w:rsidR="00103317" w:rsidRDefault="00103317" w:rsidP="009979FD">
            <w:pPr>
              <w:spacing w:after="120" w:line="276" w:lineRule="auto"/>
              <w:ind w:firstLine="709"/>
              <w:jc w:val="both"/>
              <w:rPr>
                <w:rFonts w:ascii="Verdana" w:eastAsia="Calibri" w:hAnsi="Verdana" w:cs="Arial"/>
                <w:lang w:val="es-ES"/>
              </w:rPr>
            </w:pPr>
            <w:r>
              <w:rPr>
                <w:rFonts w:ascii="Verdana" w:eastAsia="Calibri" w:hAnsi="Verdana" w:cs="Arial"/>
                <w:lang w:val="es-ES"/>
              </w:rPr>
              <w:t>Ahora bien, f</w:t>
            </w:r>
            <w:r w:rsidRPr="00515C0B">
              <w:rPr>
                <w:rFonts w:ascii="Verdana" w:eastAsia="Calibri" w:hAnsi="Verdana" w:cs="Arial"/>
                <w:lang w:val="es-ES"/>
              </w:rPr>
              <w:t xml:space="preserve">rente al cuestionamiento planteado es necesario </w:t>
            </w:r>
            <w:r>
              <w:rPr>
                <w:rFonts w:ascii="Verdana" w:eastAsia="Calibri" w:hAnsi="Verdana" w:cs="Arial"/>
                <w:lang w:val="es-ES"/>
              </w:rPr>
              <w:t>señalar</w:t>
            </w:r>
            <w:r w:rsidRPr="00515C0B">
              <w:rPr>
                <w:rFonts w:ascii="Verdana" w:eastAsia="Calibri" w:hAnsi="Verdana" w:cs="Arial"/>
                <w:lang w:val="es-ES"/>
              </w:rPr>
              <w:t xml:space="preserve"> que dentro de la estructura de la Administración Pública se encuentran las entidades descentralizadas por servicios. A esta categoría pertenecen las Empresas Industriales y Comerciales del Estado, las cuales –sin perjuicio del control de tutela– tienen personería jurídica, autonomía administrativa y patrimonio propio. Estas entidades, como su nombre lo indica, se caracterizan por desarrollar actividades de carácter industrial o comercial.</w:t>
            </w:r>
          </w:p>
          <w:p w14:paraId="3AB98E24" w14:textId="77777777" w:rsidR="00103317" w:rsidRDefault="00103317" w:rsidP="009979FD">
            <w:pPr>
              <w:spacing w:after="120" w:line="276" w:lineRule="auto"/>
              <w:ind w:firstLine="708"/>
              <w:jc w:val="both"/>
              <w:rPr>
                <w:rFonts w:ascii="Verdana" w:hAnsi="Verdana" w:cs="Arial"/>
                <w:bCs/>
                <w:color w:val="000000" w:themeColor="text1"/>
                <w:lang w:val="es-MX" w:eastAsia="x-none"/>
              </w:rPr>
            </w:pPr>
            <w:r>
              <w:rPr>
                <w:rFonts w:ascii="Verdana" w:eastAsia="Calibri" w:hAnsi="Verdana" w:cs="Arial"/>
                <w:lang w:val="es-ES"/>
              </w:rPr>
              <w:t xml:space="preserve">Ahora bien, el artículo 33 de la Ley 996 de 2005 determina como destinatarios de las restricciones a todos los entes del Estado </w:t>
            </w:r>
            <w:r w:rsidRPr="00195E24">
              <w:rPr>
                <w:rFonts w:ascii="Verdana" w:hAnsi="Verdana" w:cs="Arial"/>
                <w:bCs/>
                <w:color w:val="000000" w:themeColor="text1"/>
                <w:lang w:val="es-MX" w:eastAsia="x-none"/>
              </w:rPr>
              <w:t xml:space="preserve">sin distinción del régimen jurídico, forma de organización o naturaleza, su pertenencia a una u otra rama del poder público o su autonomía, e incluso si las entidades estatales tienen régimen especial de contratación y están exceptuadas del ámbito de aplicación del Estatuto General de Contratación de la Administración Pública. </w:t>
            </w:r>
          </w:p>
          <w:p w14:paraId="7B8ECE05" w14:textId="77777777" w:rsidR="00103317" w:rsidRPr="00195E24" w:rsidRDefault="00103317" w:rsidP="009979FD">
            <w:pPr>
              <w:spacing w:after="120" w:line="276" w:lineRule="auto"/>
              <w:ind w:firstLine="709"/>
              <w:jc w:val="both"/>
              <w:rPr>
                <w:rFonts w:ascii="Verdana" w:hAnsi="Verdana" w:cs="Arial"/>
                <w:color w:val="000000" w:themeColor="text1"/>
                <w:lang w:eastAsia="es-CO"/>
              </w:rPr>
            </w:pPr>
            <w:r>
              <w:rPr>
                <w:rFonts w:ascii="Verdana" w:hAnsi="Verdana" w:cs="Arial"/>
                <w:color w:val="000000" w:themeColor="text1"/>
                <w:lang w:val="es-MX"/>
              </w:rPr>
              <w:t>Por lo tanto, la</w:t>
            </w:r>
            <w:r w:rsidRPr="00CE0D82">
              <w:rPr>
                <w:rFonts w:ascii="Verdana" w:hAnsi="Verdana" w:cs="Arial"/>
                <w:color w:val="000000" w:themeColor="text1"/>
                <w:lang w:val="es-MX"/>
              </w:rPr>
              <w:t xml:space="preserve"> restricción prevista en la Ley 996 de 2005 </w:t>
            </w:r>
            <w:r w:rsidRPr="00CE0D82">
              <w:rPr>
                <w:rFonts w:ascii="Verdana" w:hAnsi="Verdana" w:cs="Arial"/>
                <w:bCs/>
                <w:color w:val="000000" w:themeColor="text1"/>
                <w:lang w:val="es-MX" w:eastAsia="x-none"/>
              </w:rPr>
              <w:t xml:space="preserve">cobija a cualquier entidad pública independiente del régimen jurídico, que pueda mediante la contratación directa romper el equilibrio entre los candidatos en desarrollo de las elecciones presidenciales. </w:t>
            </w:r>
            <w:r>
              <w:rPr>
                <w:rFonts w:ascii="Verdana" w:hAnsi="Verdana" w:cs="Arial"/>
                <w:color w:val="000000" w:themeColor="text1"/>
                <w:lang w:eastAsia="es-CO"/>
              </w:rPr>
              <w:t xml:space="preserve">En este sentido, respecto a su consulta es pertinente señalar que las empresas industriales y comerciales del Estado en vigencia de la Ley de Garantías Electorales no podrán hacer contrataciones bajo la modalidad de contratación directa, </w:t>
            </w:r>
            <w:r w:rsidRPr="00195E24">
              <w:rPr>
                <w:rFonts w:ascii="Verdana" w:hAnsi="Verdana" w:cs="Arial"/>
                <w:color w:val="000000" w:themeColor="text1"/>
                <w:lang w:val="es-MX"/>
              </w:rPr>
              <w:t>sino por mecanismos competitivos que impliquen convocatoria pública y la posibilidad de la existencia de pluralidad de oferentes</w:t>
            </w:r>
            <w:r>
              <w:rPr>
                <w:rFonts w:ascii="Verdana" w:hAnsi="Verdana" w:cs="Arial"/>
                <w:color w:val="000000" w:themeColor="text1"/>
                <w:lang w:val="es-MX"/>
              </w:rPr>
              <w:t xml:space="preserve">. </w:t>
            </w:r>
          </w:p>
          <w:p w14:paraId="308298F1" w14:textId="77777777" w:rsidR="00103317" w:rsidRPr="004A19C8" w:rsidRDefault="00103317" w:rsidP="009979FD">
            <w:pPr>
              <w:widowControl w:val="0"/>
              <w:autoSpaceDE w:val="0"/>
              <w:autoSpaceDN w:val="0"/>
              <w:spacing w:after="120" w:line="276" w:lineRule="auto"/>
              <w:ind w:firstLine="709"/>
              <w:jc w:val="both"/>
              <w:rPr>
                <w:rFonts w:ascii="Verdana" w:eastAsia="Times New Roman" w:hAnsi="Verdana" w:cs="Arial"/>
                <w:bCs/>
                <w:lang w:val="es-ES" w:eastAsia="es-CO" w:bidi="es-ES"/>
              </w:rPr>
            </w:pPr>
            <w:r w:rsidRPr="00E36918">
              <w:rPr>
                <w:rFonts w:ascii="Verdana" w:eastAsia="Times New Roman" w:hAnsi="Verdana" w:cs="Arial"/>
                <w:bCs/>
                <w:lang w:val="es-ES" w:eastAsia="es-CO" w:bidi="es-ES"/>
              </w:rPr>
              <w:t xml:space="preserve">Ahora bien, las entidades públicas, de acuerdo con el inciso final del artículo 33 de la Ley 996 de 2005 –Ley de Garantías Electorales–, y previo análisis de la naturaleza de las actividades que adelantan, podrán realizar procedimientos de selección directa en períodos previos a la contienda electoral por la Presidencia, cuando el contrato a celebrar se enmarquen dentro de algunas de las excepciones consagradas en dicha disposición, esto es: i) la defensa y seguridad del Estado; ii) los contratos de crédito público; iii) los requeridos para cubrir las emergencias educativas, sanitarias y desastres; iv) los utilizados para la reconstrucción de vías, puentes, </w:t>
            </w:r>
            <w:r w:rsidRPr="00E36918">
              <w:rPr>
                <w:rFonts w:ascii="Verdana" w:eastAsia="Times New Roman" w:hAnsi="Verdana" w:cs="Arial"/>
                <w:bCs/>
                <w:lang w:val="es-ES" w:eastAsia="es-CO" w:bidi="es-ES"/>
              </w:rPr>
              <w:lastRenderedPageBreak/>
              <w:t xml:space="preserve">carreteras, infraestructura energética y de comunicaciones, en caso de que hayan sido objeto de atentados, acciones terroristas, desastres naturales o casos de fuerza mayor; y, v) los que deban realizar las entidades sanitarias y hospitalarias. En todo caso, </w:t>
            </w:r>
            <w:r w:rsidRPr="00E36918">
              <w:rPr>
                <w:rFonts w:ascii="Verdana" w:hAnsi="Verdana" w:cs="Arial"/>
                <w:bCs/>
                <w:lang w:eastAsia="x-none"/>
              </w:rPr>
              <w:t xml:space="preserve">se aclara que, la planeación, los estudios técnicos, jurídicos y económicos, que debe preceder la celebración de cada contrato, y que determinan su viabilidad desde tales perspectivas, son asuntos que competen a las entidades estatales que adelantan los procesos de contratación respectivos, con el apoyo de sus funcionarios y órganos asesores.   </w:t>
            </w:r>
            <w:r w:rsidRPr="00E36918">
              <w:rPr>
                <w:rFonts w:ascii="Verdana" w:eastAsia="Times New Roman" w:hAnsi="Verdana" w:cs="Arial"/>
                <w:bCs/>
                <w:lang w:val="es-ES" w:eastAsia="es-CO" w:bidi="es-ES"/>
              </w:rPr>
              <w:t xml:space="preserve"> </w:t>
            </w:r>
          </w:p>
        </w:tc>
      </w:tr>
    </w:tbl>
    <w:p w14:paraId="2898E947" w14:textId="77777777" w:rsidR="00103317" w:rsidRDefault="00103317" w:rsidP="00103317">
      <w:pPr>
        <w:tabs>
          <w:tab w:val="left" w:pos="142"/>
          <w:tab w:val="left" w:pos="284"/>
        </w:tabs>
        <w:spacing w:after="0" w:line="276" w:lineRule="auto"/>
        <w:jc w:val="both"/>
        <w:rPr>
          <w:rFonts w:ascii="Verdana" w:eastAsia="Century Gothic" w:hAnsi="Verdana" w:cs="Century Gothic"/>
          <w:b/>
          <w:bCs/>
        </w:rPr>
      </w:pPr>
    </w:p>
    <w:p w14:paraId="0D3A1D64" w14:textId="77777777" w:rsidR="00103317" w:rsidRPr="005644FE" w:rsidRDefault="00103317" w:rsidP="00103317">
      <w:pPr>
        <w:tabs>
          <w:tab w:val="left" w:pos="142"/>
          <w:tab w:val="left" w:pos="284"/>
        </w:tabs>
        <w:spacing w:after="0" w:line="276" w:lineRule="auto"/>
        <w:jc w:val="both"/>
        <w:rPr>
          <w:rFonts w:ascii="Verdana" w:eastAsia="Century Gothic" w:hAnsi="Verdana" w:cs="Century Gothic"/>
          <w:b/>
          <w:bCs/>
        </w:rPr>
      </w:pPr>
      <w:r w:rsidRPr="005644FE">
        <w:rPr>
          <w:rFonts w:ascii="Verdana" w:eastAsia="Century Gothic" w:hAnsi="Verdana" w:cs="Century Gothic"/>
          <w:b/>
          <w:bCs/>
        </w:rPr>
        <w:t>3. Razones de la respuesta:</w:t>
      </w:r>
    </w:p>
    <w:p w14:paraId="09863B94" w14:textId="77777777" w:rsidR="00103317" w:rsidRPr="005644FE" w:rsidRDefault="00103317" w:rsidP="00103317">
      <w:pPr>
        <w:pStyle w:val="ListParagraph"/>
        <w:tabs>
          <w:tab w:val="left" w:pos="142"/>
          <w:tab w:val="left" w:pos="284"/>
        </w:tabs>
        <w:spacing w:after="0" w:line="240" w:lineRule="auto"/>
        <w:ind w:left="0"/>
        <w:contextualSpacing w:val="0"/>
        <w:jc w:val="both"/>
        <w:rPr>
          <w:rFonts w:ascii="Verdana" w:eastAsia="Calibri" w:hAnsi="Verdana" w:cs="Arial"/>
        </w:rPr>
      </w:pPr>
    </w:p>
    <w:p w14:paraId="7DA863B8" w14:textId="77777777" w:rsidR="00103317" w:rsidRDefault="00103317" w:rsidP="00103317">
      <w:pPr>
        <w:tabs>
          <w:tab w:val="left" w:pos="142"/>
          <w:tab w:val="left" w:pos="284"/>
        </w:tabs>
        <w:spacing w:after="0" w:line="276" w:lineRule="auto"/>
        <w:jc w:val="both"/>
        <w:rPr>
          <w:rFonts w:ascii="Verdana" w:eastAsia="Calibri" w:hAnsi="Verdana" w:cs="Arial"/>
        </w:rPr>
      </w:pPr>
      <w:r w:rsidRPr="005644FE">
        <w:rPr>
          <w:rFonts w:ascii="Verdana" w:eastAsia="Calibri" w:hAnsi="Verdana" w:cs="Arial"/>
        </w:rPr>
        <w:t>Lo anterior se sustenta en las siguientes consideraciones:</w:t>
      </w:r>
    </w:p>
    <w:p w14:paraId="40068A92" w14:textId="77777777" w:rsidR="00103317" w:rsidRDefault="00103317" w:rsidP="00103317">
      <w:pPr>
        <w:tabs>
          <w:tab w:val="left" w:pos="142"/>
          <w:tab w:val="left" w:pos="284"/>
        </w:tabs>
        <w:spacing w:after="0" w:line="240" w:lineRule="auto"/>
        <w:jc w:val="both"/>
        <w:rPr>
          <w:rFonts w:ascii="Verdana" w:eastAsia="Calibri" w:hAnsi="Verdana" w:cs="Arial"/>
        </w:rPr>
      </w:pPr>
    </w:p>
    <w:p w14:paraId="55FEDF46" w14:textId="77777777" w:rsidR="00103317" w:rsidRPr="00F10E52" w:rsidRDefault="00103317" w:rsidP="00103317">
      <w:pPr>
        <w:tabs>
          <w:tab w:val="left" w:pos="426"/>
        </w:tabs>
        <w:spacing w:after="120" w:line="276" w:lineRule="auto"/>
        <w:jc w:val="both"/>
        <w:rPr>
          <w:rFonts w:ascii="Verdana" w:eastAsia="Times New Roman" w:hAnsi="Verdana" w:cs="Arial"/>
          <w:bCs/>
          <w:lang w:eastAsia="es-CO"/>
        </w:rPr>
      </w:pPr>
      <w:r w:rsidRPr="00F10E52">
        <w:rPr>
          <w:rFonts w:ascii="Verdana" w:eastAsia="Calibri" w:hAnsi="Verdana" w:cs="Arial"/>
          <w:bCs/>
        </w:rPr>
        <w:t>El ordenamiento jurídico colombiano contempla previsiones claras para evitar la obtención de beneficios personales en asuntos propios de la administración pública</w:t>
      </w:r>
      <w:r w:rsidRPr="00F10E52">
        <w:rPr>
          <w:rFonts w:ascii="Verdana" w:eastAsia="Calibri" w:hAnsi="Verdana" w:cs="Arial"/>
          <w:bCs/>
          <w:i/>
          <w:iCs/>
        </w:rPr>
        <w:t xml:space="preserve">. </w:t>
      </w:r>
      <w:r w:rsidRPr="00F10E52">
        <w:rPr>
          <w:rFonts w:ascii="Verdana" w:eastAsia="Calibri" w:hAnsi="Verdana" w:cs="Arial"/>
          <w:bCs/>
        </w:rPr>
        <w:t>Por ejemplo, el artículo 127 de la Constitución Política establece una prohibición contractual a los servidores públicos y en cuanto a aspectos políticos establece restricciones a ciertos empleados del Estado, incluso en época no electoral</w:t>
      </w:r>
      <w:r w:rsidRPr="00F10E52">
        <w:rPr>
          <w:rStyle w:val="FootnoteReference"/>
          <w:rFonts w:ascii="Verdana" w:eastAsia="Calibri" w:hAnsi="Verdana" w:cs="Arial"/>
          <w:bCs/>
        </w:rPr>
        <w:footnoteReference w:id="1"/>
      </w:r>
      <w:r w:rsidRPr="00F10E52">
        <w:rPr>
          <w:rFonts w:ascii="Verdana" w:eastAsia="Calibri" w:hAnsi="Verdana" w:cs="Arial"/>
          <w:bCs/>
        </w:rPr>
        <w:t xml:space="preserve">. </w:t>
      </w:r>
    </w:p>
    <w:p w14:paraId="2DC87146" w14:textId="77777777" w:rsidR="00103317" w:rsidRDefault="00103317" w:rsidP="00103317">
      <w:pPr>
        <w:tabs>
          <w:tab w:val="left" w:pos="426"/>
        </w:tabs>
        <w:spacing w:after="120" w:line="276" w:lineRule="auto"/>
        <w:ind w:firstLine="709"/>
        <w:jc w:val="both"/>
        <w:rPr>
          <w:rFonts w:ascii="Verdana" w:eastAsia="Calibri" w:hAnsi="Verdana" w:cs="Arial"/>
          <w:noProof/>
          <w:lang w:val="es-ES_tradnl"/>
        </w:rPr>
      </w:pPr>
      <w:r w:rsidRPr="00F10E52">
        <w:rPr>
          <w:rFonts w:ascii="Verdana" w:eastAsia="Times New Roman" w:hAnsi="Verdana" w:cs="Arial"/>
          <w:bCs/>
          <w:lang w:eastAsia="es-CO"/>
        </w:rPr>
        <w:t xml:space="preserve">En el mismo sentido, la Ley 996 de 2005, conocida como </w:t>
      </w:r>
      <w:r>
        <w:rPr>
          <w:rFonts w:ascii="Verdana" w:eastAsia="Times New Roman" w:hAnsi="Verdana" w:cs="Arial"/>
          <w:bCs/>
          <w:lang w:eastAsia="es-CO"/>
        </w:rPr>
        <w:t>“</w:t>
      </w:r>
      <w:r w:rsidRPr="00F10E52">
        <w:rPr>
          <w:rFonts w:ascii="Verdana" w:eastAsia="Times New Roman" w:hAnsi="Verdana" w:cs="Arial"/>
          <w:bCs/>
          <w:lang w:eastAsia="es-CO"/>
        </w:rPr>
        <w:t>Ley de Garantías Electorales</w:t>
      </w:r>
      <w:r>
        <w:rPr>
          <w:rFonts w:ascii="Verdana" w:eastAsia="Times New Roman" w:hAnsi="Verdana" w:cs="Arial"/>
          <w:bCs/>
          <w:lang w:eastAsia="es-CO"/>
        </w:rPr>
        <w:t>”</w:t>
      </w:r>
      <w:r w:rsidRPr="00F10E52">
        <w:rPr>
          <w:rFonts w:ascii="Verdana" w:eastAsia="Times New Roman" w:hAnsi="Verdana" w:cs="Arial"/>
          <w:bCs/>
          <w:lang w:eastAsia="es-CO"/>
        </w:rPr>
        <w:t>, se suma al andamiaje de orden constitucional y legal que se ha ocupado de evitar la injerencia inadecuada de intereses particulares en el ejercicio de la función pública. Esta ley tiene como propósito evitar cualquier tipo de arbitrariedad, de ventaja injustificada, de uso irregular de los recursos del Estado en las campañas o falta de garantías en la elección presidencial</w:t>
      </w:r>
      <w:r w:rsidRPr="00F10E52">
        <w:rPr>
          <w:rStyle w:val="FootnoteReference"/>
          <w:rFonts w:ascii="Verdana" w:eastAsia="Times New Roman" w:hAnsi="Verdana" w:cs="Arial"/>
          <w:bCs/>
          <w:lang w:eastAsia="es-CO"/>
        </w:rPr>
        <w:footnoteReference w:id="2"/>
      </w:r>
      <w:r w:rsidRPr="00F10E52">
        <w:rPr>
          <w:rFonts w:ascii="Verdana" w:eastAsia="Times New Roman" w:hAnsi="Verdana" w:cs="Arial"/>
          <w:bCs/>
          <w:lang w:eastAsia="es-CO"/>
        </w:rPr>
        <w:t>. En esta medida, introduce limitaciones para realizar nombramientos, postulaciones, contrataciones o cualquier otro tipo de actividad que implique destinación de recursos públicos bajo el devenir propio de las entidades estatales.</w:t>
      </w:r>
      <w:r w:rsidRPr="00F10E52">
        <w:rPr>
          <w:rFonts w:ascii="Verdana" w:eastAsia="Calibri" w:hAnsi="Verdana" w:cs="Arial"/>
          <w:noProof/>
          <w:lang w:val="es-ES_tradnl"/>
        </w:rPr>
        <w:t xml:space="preserve"> </w:t>
      </w:r>
    </w:p>
    <w:p w14:paraId="7DAE5308" w14:textId="77777777" w:rsidR="00103317" w:rsidRDefault="00103317" w:rsidP="00103317">
      <w:pPr>
        <w:tabs>
          <w:tab w:val="left" w:pos="426"/>
        </w:tabs>
        <w:spacing w:before="120" w:after="0" w:line="276" w:lineRule="auto"/>
        <w:ind w:firstLine="709"/>
        <w:jc w:val="both"/>
        <w:rPr>
          <w:rFonts w:ascii="Verdana" w:eastAsia="Times New Roman" w:hAnsi="Verdana" w:cs="Arial"/>
          <w:bCs/>
          <w:lang w:eastAsia="es-CO"/>
        </w:rPr>
      </w:pPr>
      <w:r w:rsidRPr="00F10E52">
        <w:rPr>
          <w:rFonts w:ascii="Verdana" w:eastAsia="Times New Roman" w:hAnsi="Verdana" w:cs="Arial"/>
          <w:bCs/>
          <w:lang w:eastAsia="es-CO"/>
        </w:rPr>
        <w:t>En armonía con lo anterior, la Corte Constitucional ha abordado la definición de la Ley de Garantías Electorales. De esta manera, explica que tiene como propósito:</w:t>
      </w:r>
    </w:p>
    <w:p w14:paraId="23B45A7C" w14:textId="77777777" w:rsidR="00103317" w:rsidRPr="00F10E52" w:rsidRDefault="00103317" w:rsidP="00103317">
      <w:pPr>
        <w:tabs>
          <w:tab w:val="left" w:pos="426"/>
        </w:tabs>
        <w:spacing w:after="0" w:line="276" w:lineRule="auto"/>
        <w:ind w:firstLine="709"/>
        <w:jc w:val="both"/>
        <w:rPr>
          <w:rFonts w:ascii="Verdana" w:eastAsia="Times New Roman" w:hAnsi="Verdana" w:cs="Arial"/>
          <w:bCs/>
          <w:lang w:eastAsia="es-CO"/>
        </w:rPr>
      </w:pPr>
    </w:p>
    <w:p w14:paraId="59001532" w14:textId="77777777" w:rsidR="00103317" w:rsidRPr="007777F3" w:rsidRDefault="00103317" w:rsidP="00103317">
      <w:pPr>
        <w:spacing w:after="0" w:line="240" w:lineRule="auto"/>
        <w:ind w:left="709" w:right="709"/>
        <w:jc w:val="both"/>
        <w:rPr>
          <w:rFonts w:ascii="Verdana" w:eastAsia="Times New Roman" w:hAnsi="Verdana" w:cs="Arial"/>
          <w:sz w:val="20"/>
          <w:szCs w:val="20"/>
          <w:lang w:val="es-ES" w:eastAsia="es-CO"/>
        </w:rPr>
      </w:pPr>
      <w:r>
        <w:rPr>
          <w:rFonts w:ascii="Verdana" w:eastAsia="Times New Roman" w:hAnsi="Verdana" w:cs="Arial"/>
          <w:sz w:val="20"/>
          <w:szCs w:val="20"/>
          <w:lang w:val="es-ES" w:eastAsia="es-CO"/>
        </w:rPr>
        <w:t>“(…)</w:t>
      </w:r>
      <w:r w:rsidRPr="006A51F6">
        <w:rPr>
          <w:rFonts w:ascii="Verdana" w:eastAsia="Times New Roman" w:hAnsi="Verdana" w:cs="Arial"/>
          <w:sz w:val="20"/>
          <w:szCs w:val="20"/>
          <w:lang w:val="es-ES" w:eastAsia="es-CO"/>
        </w:rPr>
        <w:t xml:space="preserve"> </w:t>
      </w:r>
      <w:r w:rsidRPr="009E6EDF">
        <w:rPr>
          <w:rFonts w:ascii="Verdana" w:eastAsia="Times New Roman" w:hAnsi="Verdana" w:cs="Arial"/>
          <w:bCs/>
          <w:sz w:val="20"/>
          <w:szCs w:val="20"/>
          <w:lang w:eastAsia="es-CO"/>
        </w:rPr>
        <w:t>La definición de reglas claras que permitan acceder a los canales de expresión democrática de manera efectiva e igualitaria. El objetivo de una ley de garantías es definir esas reglas.</w:t>
      </w:r>
    </w:p>
    <w:p w14:paraId="733A0A4F" w14:textId="77777777" w:rsidR="00103317" w:rsidRPr="009E6EDF" w:rsidRDefault="00103317" w:rsidP="00103317">
      <w:pPr>
        <w:spacing w:after="0" w:line="240" w:lineRule="auto"/>
        <w:ind w:left="709" w:right="709"/>
        <w:jc w:val="both"/>
        <w:rPr>
          <w:rFonts w:ascii="Verdana" w:eastAsia="Times New Roman" w:hAnsi="Verdana" w:cs="Arial"/>
          <w:bCs/>
          <w:sz w:val="20"/>
          <w:szCs w:val="20"/>
          <w:lang w:eastAsia="es-CO"/>
        </w:rPr>
      </w:pPr>
    </w:p>
    <w:p w14:paraId="14AA6F2A" w14:textId="77777777" w:rsidR="00103317" w:rsidRDefault="00103317" w:rsidP="00103317">
      <w:pPr>
        <w:spacing w:after="0" w:line="240" w:lineRule="auto"/>
        <w:ind w:left="709" w:right="709"/>
        <w:jc w:val="both"/>
        <w:rPr>
          <w:rFonts w:ascii="Verdana" w:eastAsia="Times New Roman" w:hAnsi="Verdana" w:cs="Arial"/>
          <w:bCs/>
          <w:sz w:val="20"/>
          <w:szCs w:val="20"/>
          <w:lang w:eastAsia="es-CO"/>
        </w:rPr>
      </w:pPr>
      <w:r w:rsidRPr="009E6EDF">
        <w:rPr>
          <w:rFonts w:ascii="Verdana" w:eastAsia="Times New Roman" w:hAnsi="Verdana" w:cs="Arial"/>
          <w:bCs/>
          <w:sz w:val="20"/>
          <w:szCs w:val="20"/>
          <w:lang w:eastAsia="es-CO"/>
        </w:rPr>
        <w:t xml:space="preserve">Una ley de garantías electorales es una guía para el ejercicio equitativo y transparente de la democracia representativa. Un estatuto diseñado para asegurar que la contienda democrática se cumpla en condiciones igualitarias y transparentes para a los electores. Una ley de garantías busca afianzar la neutralidad de los servidores públicos que organizan y </w:t>
      </w:r>
      <w:r w:rsidRPr="009E6EDF">
        <w:rPr>
          <w:rFonts w:ascii="Verdana" w:eastAsia="Times New Roman" w:hAnsi="Verdana" w:cs="Arial"/>
          <w:bCs/>
          <w:sz w:val="20"/>
          <w:szCs w:val="20"/>
          <w:lang w:eastAsia="es-CO"/>
        </w:rPr>
        <w:lastRenderedPageBreak/>
        <w:t>supervisan las disputas electorales, e intenta garantizar el acceso igualitario a los canales de comunicación de los candidatos. Igualmente, una ley de garantías debe permitir que, en el debate democrático, sean las ideas y las propuestas las que definan el ascenso al poder, y no el músculo económico de los que se lo disputan</w:t>
      </w:r>
      <w:r>
        <w:rPr>
          <w:rFonts w:ascii="Verdana" w:eastAsia="Times New Roman" w:hAnsi="Verdana" w:cs="Arial"/>
          <w:bCs/>
          <w:sz w:val="20"/>
          <w:szCs w:val="20"/>
          <w:lang w:eastAsia="es-CO"/>
        </w:rPr>
        <w:t xml:space="preserve"> (…)”</w:t>
      </w:r>
      <w:r w:rsidRPr="009E6EDF">
        <w:rPr>
          <w:rStyle w:val="FootnoteReference"/>
          <w:rFonts w:ascii="Verdana" w:hAnsi="Verdana" w:cs="Arial"/>
          <w:sz w:val="20"/>
          <w:szCs w:val="20"/>
        </w:rPr>
        <w:footnoteReference w:id="3"/>
      </w:r>
      <w:r>
        <w:rPr>
          <w:rFonts w:ascii="Verdana" w:eastAsia="Times New Roman" w:hAnsi="Verdana" w:cs="Arial"/>
          <w:bCs/>
          <w:sz w:val="20"/>
          <w:szCs w:val="20"/>
          <w:lang w:eastAsia="es-CO"/>
        </w:rPr>
        <w:t>.</w:t>
      </w:r>
      <w:r w:rsidRPr="006A51F6">
        <w:rPr>
          <w:rFonts w:ascii="Verdana" w:eastAsia="Times New Roman" w:hAnsi="Verdana" w:cs="Arial"/>
          <w:bCs/>
          <w:sz w:val="20"/>
          <w:szCs w:val="20"/>
          <w:lang w:eastAsia="es-CO"/>
        </w:rPr>
        <w:t xml:space="preserve"> </w:t>
      </w:r>
    </w:p>
    <w:p w14:paraId="6977587A" w14:textId="77777777" w:rsidR="00103317" w:rsidRPr="009E6EDF" w:rsidRDefault="00103317" w:rsidP="00103317">
      <w:pPr>
        <w:spacing w:after="0" w:line="276" w:lineRule="auto"/>
        <w:ind w:left="709" w:right="709"/>
        <w:jc w:val="both"/>
        <w:rPr>
          <w:rFonts w:ascii="Verdana" w:eastAsia="Times New Roman" w:hAnsi="Verdana" w:cs="Arial"/>
          <w:bCs/>
          <w:lang w:eastAsia="es-CO"/>
        </w:rPr>
      </w:pPr>
    </w:p>
    <w:p w14:paraId="27E0BFA5" w14:textId="35F2BC9F" w:rsidR="00103317" w:rsidRPr="006A51F6" w:rsidRDefault="00103317" w:rsidP="00CE0712">
      <w:pPr>
        <w:spacing w:after="0" w:line="276" w:lineRule="auto"/>
        <w:ind w:firstLine="709"/>
        <w:jc w:val="both"/>
        <w:rPr>
          <w:rFonts w:ascii="Verdana" w:eastAsia="Times New Roman" w:hAnsi="Verdana" w:cs="Arial"/>
          <w:bCs/>
          <w:lang w:eastAsia="es-CO"/>
        </w:rPr>
      </w:pPr>
      <w:bookmarkStart w:id="3" w:name="_Hlk78818186"/>
      <w:r w:rsidRPr="00F10E52">
        <w:rPr>
          <w:rFonts w:ascii="Verdana" w:eastAsia="Times New Roman" w:hAnsi="Verdana" w:cs="Arial"/>
          <w:bCs/>
          <w:lang w:eastAsia="es-CO"/>
        </w:rPr>
        <w:t xml:space="preserve">En este contexto, la Ley de Garantías Electorales establece el marco jurídico para el desarrollo de las elecciones, procurando condiciones de igualdad y transparencia para los aspirantes y paralelamente se incluyen restricciones en el actuar de los servidores públicos, evitando interferencias en la contienda electoral, así como la posible desviación de recursos públicos en aspiraciones electorales. </w:t>
      </w:r>
      <w:bookmarkEnd w:id="3"/>
      <w:r w:rsidRPr="00F10E52">
        <w:rPr>
          <w:rFonts w:ascii="Verdana" w:eastAsia="Times New Roman" w:hAnsi="Verdana" w:cs="Arial"/>
          <w:bCs/>
          <w:lang w:eastAsia="es-CO"/>
        </w:rPr>
        <w:t>Por ello, varias de las disposiciones de la Ley 996 de 2005, al contener normas prohibitivas, no admiten una interpretación amplia, sino que deben interpretarse restrictivamente. En efecto, la Sala de Consulta y Servicio Civil del Consejo de Estado al analizar la referida ley, precisó lo siguiente:</w:t>
      </w:r>
    </w:p>
    <w:p w14:paraId="7424E685" w14:textId="77777777" w:rsidR="00103317" w:rsidRDefault="00103317" w:rsidP="00103317">
      <w:pPr>
        <w:spacing w:after="0" w:line="240" w:lineRule="auto"/>
        <w:ind w:left="709" w:right="709"/>
        <w:jc w:val="both"/>
        <w:rPr>
          <w:rFonts w:ascii="Verdana" w:eastAsia="Times New Roman" w:hAnsi="Verdana" w:cs="Arial"/>
          <w:bCs/>
          <w:sz w:val="20"/>
          <w:szCs w:val="20"/>
          <w:lang w:eastAsia="es-CO"/>
        </w:rPr>
      </w:pPr>
      <w:r>
        <w:rPr>
          <w:rFonts w:ascii="Verdana" w:eastAsia="Times New Roman" w:hAnsi="Verdana" w:cs="Arial"/>
          <w:bCs/>
          <w:sz w:val="20"/>
          <w:szCs w:val="20"/>
          <w:lang w:eastAsia="es-CO"/>
        </w:rPr>
        <w:t>“</w:t>
      </w:r>
      <w:r w:rsidRPr="009B20C5">
        <w:rPr>
          <w:rFonts w:ascii="Verdana" w:eastAsia="Times New Roman" w:hAnsi="Verdana" w:cs="Arial"/>
          <w:bCs/>
          <w:sz w:val="20"/>
          <w:szCs w:val="20"/>
          <w:lang w:eastAsia="es-CO"/>
        </w:rPr>
        <w:t>No está de más recordar que las prohibiciones, en tanto limitan la libertad y los derechos de las personas, son de origen constitucional y legal; la tipificación de sus causas, vigencia, naturaleza y efectos es rígida y taxativa; y su aplicación es restrictiva, de manera que excluye la analogía legis o iuris y la interpretación extensiva. Las normas legales de contenido prohibitivo hacen parte de un conjunto de disposiciones que integran un régimen jurídico imperativo y de orden público, razón por la cual no son disponibles ni pueden ser derogadas, modificadas, ampliadas o adicionadas por acuerdo o convenio o acto unilateral.</w:t>
      </w:r>
    </w:p>
    <w:p w14:paraId="46AC6464" w14:textId="77777777" w:rsidR="00103317" w:rsidRPr="009B20C5" w:rsidRDefault="00103317" w:rsidP="00103317">
      <w:pPr>
        <w:spacing w:after="0" w:line="240" w:lineRule="auto"/>
        <w:ind w:left="709" w:right="709"/>
        <w:jc w:val="both"/>
        <w:rPr>
          <w:rFonts w:ascii="Verdana" w:eastAsia="Times New Roman" w:hAnsi="Verdana" w:cs="Arial"/>
          <w:bCs/>
          <w:sz w:val="20"/>
          <w:szCs w:val="20"/>
          <w:lang w:eastAsia="es-CO"/>
        </w:rPr>
      </w:pPr>
    </w:p>
    <w:p w14:paraId="5E9435B4" w14:textId="77777777" w:rsidR="00103317" w:rsidRPr="009B20C5" w:rsidRDefault="00103317" w:rsidP="00103317">
      <w:pPr>
        <w:spacing w:after="0" w:line="240" w:lineRule="auto"/>
        <w:ind w:left="709" w:right="709"/>
        <w:jc w:val="both"/>
        <w:rPr>
          <w:rFonts w:ascii="Verdana" w:eastAsia="Times New Roman" w:hAnsi="Verdana" w:cs="Arial"/>
          <w:bCs/>
          <w:sz w:val="20"/>
          <w:szCs w:val="20"/>
          <w:lang w:eastAsia="es-CO"/>
        </w:rPr>
      </w:pPr>
      <w:r w:rsidRPr="009B20C5">
        <w:rPr>
          <w:rFonts w:ascii="Verdana" w:eastAsia="Times New Roman" w:hAnsi="Verdana" w:cs="Arial"/>
          <w:bCs/>
          <w:sz w:val="20"/>
          <w:szCs w:val="20"/>
          <w:lang w:eastAsia="es-CO"/>
        </w:rPr>
        <w:t>La jurisprudencia de la Corte Constitucional</w:t>
      </w:r>
      <w:r w:rsidRPr="009B20C5">
        <w:rPr>
          <w:rStyle w:val="FootnoteReference"/>
          <w:rFonts w:ascii="Verdana" w:eastAsia="Times New Roman" w:hAnsi="Verdana" w:cs="Arial"/>
          <w:bCs/>
          <w:sz w:val="20"/>
          <w:szCs w:val="20"/>
          <w:lang w:eastAsia="es-CO"/>
        </w:rPr>
        <w:footnoteReference w:id="4"/>
      </w:r>
      <w:r w:rsidRPr="009B20C5">
        <w:rPr>
          <w:rFonts w:ascii="Verdana" w:eastAsia="Times New Roman" w:hAnsi="Verdana" w:cs="Arial"/>
          <w:bCs/>
          <w:sz w:val="20"/>
          <w:szCs w:val="20"/>
          <w:lang w:eastAsia="es-CO"/>
        </w:rPr>
        <w:t> y del Consejo de Estado</w:t>
      </w:r>
      <w:r w:rsidRPr="009B20C5">
        <w:rPr>
          <w:rStyle w:val="FootnoteReference"/>
          <w:rFonts w:ascii="Verdana" w:eastAsia="Times New Roman" w:hAnsi="Verdana" w:cs="Arial"/>
          <w:bCs/>
          <w:sz w:val="20"/>
          <w:szCs w:val="20"/>
          <w:lang w:eastAsia="es-CO"/>
        </w:rPr>
        <w:footnoteReference w:id="5"/>
      </w:r>
      <w:r w:rsidRPr="009B20C5">
        <w:rPr>
          <w:rFonts w:ascii="Verdana" w:eastAsia="Times New Roman" w:hAnsi="Verdana" w:cs="Arial"/>
          <w:bCs/>
          <w:sz w:val="20"/>
          <w:szCs w:val="20"/>
          <w:lang w:eastAsia="es-CO"/>
        </w:rPr>
        <w:t xml:space="preserve">, coinciden en que las normas que establecen prohibiciones deben estar de manera explícita en la Constitución o en la ley y no podrán ser excesivas ni desproporcionadas. No pueden interpretarse extensivamente sino siempre en forma restrictiva o estricta; es decir, en la aplicación de las normas prohibitivas, el intérprete solamente habrá de tener en cuenta lo que en ellas expresamente se menciona y, por tanto, no le es permitido ampliar el natural y obvio alcance de los supuestos que contemplan, pues como entrañan una limitación -así fuere justificada- a la libertad de actuar </w:t>
      </w:r>
      <w:r w:rsidRPr="009B20C5">
        <w:rPr>
          <w:rFonts w:ascii="Verdana" w:eastAsia="Times New Roman" w:hAnsi="Verdana" w:cs="Arial"/>
          <w:bCs/>
          <w:sz w:val="20"/>
          <w:szCs w:val="20"/>
          <w:lang w:eastAsia="es-CO"/>
        </w:rPr>
        <w:lastRenderedPageBreak/>
        <w:t>o capacidad de obrar, sobrepasar sus precisos términos comporta el desconocimiento de la voluntad del legislador</w:t>
      </w:r>
      <w:r>
        <w:rPr>
          <w:rFonts w:ascii="Verdana" w:eastAsia="Times New Roman" w:hAnsi="Verdana" w:cs="Arial"/>
          <w:bCs/>
          <w:sz w:val="20"/>
          <w:szCs w:val="20"/>
          <w:lang w:eastAsia="es-CO"/>
        </w:rPr>
        <w:t>”</w:t>
      </w:r>
      <w:r w:rsidRPr="009B20C5">
        <w:rPr>
          <w:rStyle w:val="FootnoteReference"/>
          <w:rFonts w:ascii="Verdana" w:eastAsia="Times New Roman" w:hAnsi="Verdana" w:cs="Arial"/>
          <w:bCs/>
          <w:sz w:val="20"/>
          <w:szCs w:val="20"/>
          <w:lang w:eastAsia="es-CO"/>
        </w:rPr>
        <w:footnoteReference w:id="6"/>
      </w:r>
      <w:r w:rsidRPr="009B20C5">
        <w:rPr>
          <w:rFonts w:ascii="Verdana" w:eastAsia="Times New Roman" w:hAnsi="Verdana" w:cs="Arial"/>
          <w:bCs/>
          <w:sz w:val="20"/>
          <w:szCs w:val="20"/>
          <w:lang w:eastAsia="es-CO"/>
        </w:rPr>
        <w:t>.</w:t>
      </w:r>
    </w:p>
    <w:p w14:paraId="76DD3160" w14:textId="77777777" w:rsidR="00103317" w:rsidRDefault="00103317" w:rsidP="00103317">
      <w:pPr>
        <w:spacing w:after="0" w:line="276" w:lineRule="auto"/>
        <w:jc w:val="both"/>
        <w:rPr>
          <w:rFonts w:ascii="Verdana" w:eastAsia="Times New Roman" w:hAnsi="Verdana" w:cs="Arial"/>
          <w:bCs/>
          <w:lang w:eastAsia="es-CO"/>
        </w:rPr>
      </w:pPr>
      <w:r w:rsidRPr="00F10E52">
        <w:rPr>
          <w:rFonts w:ascii="Verdana" w:eastAsia="Times New Roman" w:hAnsi="Verdana" w:cs="Arial"/>
          <w:bCs/>
          <w:lang w:eastAsia="es-CO"/>
        </w:rPr>
        <w:tab/>
      </w:r>
    </w:p>
    <w:p w14:paraId="1EBC1ACD" w14:textId="77777777" w:rsidR="00103317" w:rsidRDefault="00103317" w:rsidP="00103317">
      <w:pPr>
        <w:spacing w:after="120" w:line="276" w:lineRule="auto"/>
        <w:ind w:firstLine="708"/>
        <w:jc w:val="both"/>
        <w:rPr>
          <w:rFonts w:ascii="Verdana" w:eastAsia="Arial" w:hAnsi="Verdana" w:cs="Arial"/>
          <w:lang w:val="es-ES" w:eastAsia="es-ES" w:bidi="es-ES"/>
        </w:rPr>
      </w:pPr>
      <w:r w:rsidRPr="00F10E52">
        <w:rPr>
          <w:rFonts w:ascii="Verdana" w:eastAsia="Times New Roman" w:hAnsi="Verdana" w:cs="Arial"/>
          <w:bCs/>
          <w:lang w:eastAsia="es-CO"/>
        </w:rPr>
        <w:t>De</w:t>
      </w:r>
      <w:r w:rsidRPr="00F10E52">
        <w:rPr>
          <w:rFonts w:ascii="Verdana" w:eastAsia="Arial" w:hAnsi="Verdana" w:cs="Arial"/>
          <w:lang w:val="es-ES" w:eastAsia="es-ES" w:bidi="es-ES"/>
        </w:rPr>
        <w:t xml:space="preserve"> conformidad con lo anterior, </w:t>
      </w:r>
      <w:bookmarkStart w:id="4" w:name="_Hlk77236098"/>
      <w:r w:rsidRPr="00F10E52">
        <w:rPr>
          <w:rFonts w:ascii="Verdana" w:eastAsia="Arial" w:hAnsi="Verdana" w:cs="Arial"/>
          <w:lang w:val="es-ES" w:eastAsia="es-ES" w:bidi="es-ES"/>
        </w:rPr>
        <w:t xml:space="preserve">la Ley de Garantías Electorales fijó una serie de regulaciones y prohibiciones dirigidas a los servidores públicos. Así, con la finalidad de preservar la igualdad entre los candidatos en las elecciones, aumentó las garantías en materia de contratación, de forma que no exista siquiera sospecha de que, por ese medio, en los periodos previos a la contienda electoral, se altere las condiciones de igualdad entre los candidatos. </w:t>
      </w:r>
    </w:p>
    <w:p w14:paraId="315CE5BE" w14:textId="77777777" w:rsidR="00103317" w:rsidRPr="00F10E52" w:rsidRDefault="00103317" w:rsidP="00103317">
      <w:pPr>
        <w:spacing w:after="120" w:line="276" w:lineRule="auto"/>
        <w:ind w:firstLine="708"/>
        <w:jc w:val="both"/>
        <w:rPr>
          <w:rFonts w:ascii="Verdana" w:eastAsia="Arial" w:hAnsi="Verdana" w:cs="Arial"/>
          <w:lang w:val="es-ES" w:eastAsia="es-ES" w:bidi="es-ES"/>
        </w:rPr>
      </w:pPr>
      <w:r w:rsidRPr="00F10E52">
        <w:rPr>
          <w:rFonts w:ascii="Verdana" w:eastAsia="Arial" w:hAnsi="Verdana" w:cs="Arial"/>
          <w:lang w:val="es-ES" w:eastAsia="es-ES" w:bidi="es-ES"/>
        </w:rPr>
        <w:t>Específicamente, las restricciones consagradas en la citada ley se dirigen a dos (2) tipos de campañas electorales claramente diferenciadas: las presidenciales y las demás que se adelanten para la elección de los demás cargos de elección popular, tanto a nivel nacional como a nivel territorial.</w:t>
      </w:r>
      <w:bookmarkEnd w:id="4"/>
    </w:p>
    <w:p w14:paraId="53E67780" w14:textId="77777777" w:rsidR="00103317" w:rsidRPr="00F10E52" w:rsidRDefault="00103317" w:rsidP="00103317">
      <w:pPr>
        <w:spacing w:after="120" w:line="276" w:lineRule="auto"/>
        <w:ind w:firstLine="708"/>
        <w:jc w:val="both"/>
        <w:rPr>
          <w:rFonts w:ascii="Verdana" w:eastAsia="Calibri" w:hAnsi="Verdana" w:cs="Arial"/>
        </w:rPr>
      </w:pPr>
      <w:r w:rsidRPr="00F10E52">
        <w:rPr>
          <w:rFonts w:ascii="Verdana" w:eastAsia="Calibri" w:hAnsi="Verdana" w:cs="Arial"/>
        </w:rPr>
        <w:t xml:space="preserve">Por un lado, el artículo 33 de la Ley 996 de 2005 prohíbe </w:t>
      </w:r>
      <w:r>
        <w:rPr>
          <w:rFonts w:ascii="Verdana" w:eastAsia="Calibri" w:hAnsi="Verdana" w:cs="Arial"/>
        </w:rPr>
        <w:t>“</w:t>
      </w:r>
      <w:r>
        <w:rPr>
          <w:rFonts w:ascii="Verdana" w:eastAsia="Calibri" w:hAnsi="Verdana" w:cs="Arial"/>
          <w:bCs/>
        </w:rPr>
        <w:t xml:space="preserve">(…) </w:t>
      </w:r>
      <w:r w:rsidRPr="00F10E52">
        <w:rPr>
          <w:rFonts w:ascii="Verdana" w:eastAsia="Calibri" w:hAnsi="Verdana" w:cs="Arial"/>
        </w:rPr>
        <w:t>la contratación directa por parte de todos los entes del Estado</w:t>
      </w:r>
      <w:r>
        <w:rPr>
          <w:rFonts w:ascii="Verdana" w:eastAsia="Calibri" w:hAnsi="Verdana" w:cs="Arial"/>
          <w:bCs/>
        </w:rPr>
        <w:t>”</w:t>
      </w:r>
      <w:r w:rsidRPr="00F10E52">
        <w:rPr>
          <w:rFonts w:ascii="Verdana" w:eastAsia="Calibri" w:hAnsi="Verdana" w:cs="Arial"/>
        </w:rPr>
        <w:t xml:space="preserve"> durante los cuatro (4) meses anteriores a las elecciones presidenciales, salvo </w:t>
      </w:r>
      <w:r>
        <w:rPr>
          <w:rFonts w:ascii="Verdana" w:eastAsia="Calibri" w:hAnsi="Verdana" w:cs="Arial"/>
          <w:bCs/>
        </w:rPr>
        <w:t>“</w:t>
      </w:r>
      <w:r w:rsidRPr="00F10E52">
        <w:rPr>
          <w:rFonts w:ascii="Verdana" w:eastAsia="Calibri" w:hAnsi="Verdana" w:cs="Arial"/>
          <w:bCs/>
        </w:rPr>
        <w:t xml:space="preserve">[…] </w:t>
      </w:r>
      <w:r w:rsidRPr="00F10E52">
        <w:rPr>
          <w:rFonts w:ascii="Verdana" w:eastAsia="Calibri" w:hAnsi="Verdana" w:cs="Arial"/>
        </w:rPr>
        <w:t>lo referente a la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atentados, acciones terroristas, desastres naturales o casos de fuerza mayor, y los que deban realizar las entidades sanitarias y hospitalarias</w:t>
      </w:r>
      <w:r>
        <w:rPr>
          <w:rFonts w:ascii="Verdana" w:eastAsia="Calibri" w:hAnsi="Verdana" w:cs="Arial"/>
          <w:bCs/>
        </w:rPr>
        <w:t>”</w:t>
      </w:r>
      <w:r w:rsidRPr="00F10E52">
        <w:rPr>
          <w:rFonts w:ascii="Verdana" w:eastAsia="Calibri" w:hAnsi="Verdana" w:cs="Arial"/>
          <w:bCs/>
          <w:vertAlign w:val="superscript"/>
        </w:rPr>
        <w:footnoteReference w:id="7"/>
      </w:r>
      <w:r w:rsidRPr="00F10E52">
        <w:rPr>
          <w:rFonts w:ascii="Verdana" w:eastAsia="Calibri" w:hAnsi="Verdana" w:cs="Arial"/>
        </w:rPr>
        <w:t>.</w:t>
      </w:r>
    </w:p>
    <w:p w14:paraId="4B833C4C" w14:textId="77777777" w:rsidR="00103317" w:rsidRDefault="00103317" w:rsidP="00103317">
      <w:pPr>
        <w:widowControl w:val="0"/>
        <w:autoSpaceDE w:val="0"/>
        <w:autoSpaceDN w:val="0"/>
        <w:spacing w:after="120" w:line="276" w:lineRule="auto"/>
        <w:ind w:firstLine="708"/>
        <w:jc w:val="both"/>
        <w:rPr>
          <w:rFonts w:ascii="Verdana" w:eastAsia="Arial" w:hAnsi="Verdana" w:cs="Arial"/>
          <w:lang w:val="es-ES" w:eastAsia="es-ES" w:bidi="es-ES"/>
        </w:rPr>
      </w:pPr>
      <w:r w:rsidRPr="00F10E52">
        <w:rPr>
          <w:rFonts w:ascii="Verdana" w:eastAsia="Calibri" w:hAnsi="Verdana" w:cs="Arial"/>
        </w:rPr>
        <w:t xml:space="preserve">Por otro lado, el parágrafo del artículo 38 de la Ley 996 de 2005 prevé una restricción, aplicable respecto de cualquier tipo de contienda electoral, que prohíbe a los gobernadores, alcaldes municipales o distritales, secretarios, gerentes y directores de entidades descentralizadas del orden municipal, departamental o distrital </w:t>
      </w:r>
      <w:r>
        <w:rPr>
          <w:rFonts w:ascii="Verdana" w:eastAsia="Calibri" w:hAnsi="Verdana" w:cs="Arial"/>
          <w:bCs/>
        </w:rPr>
        <w:t>“(…)</w:t>
      </w:r>
      <w:r w:rsidRPr="00F10E52">
        <w:rPr>
          <w:rFonts w:ascii="Verdana" w:eastAsia="Calibri" w:hAnsi="Verdana" w:cs="Arial"/>
          <w:bCs/>
        </w:rPr>
        <w:t xml:space="preserve"> </w:t>
      </w:r>
      <w:r w:rsidRPr="00F10E52">
        <w:rPr>
          <w:rFonts w:ascii="Verdana" w:eastAsia="Calibri" w:hAnsi="Verdana" w:cs="Arial"/>
        </w:rPr>
        <w:t xml:space="preserve">celebrar convenios interadministrativos para la ejecución de recursos públicos, ni participar, promover y destinar recursos públicos de las entidades a su cargo, como tampoco de las que participen como </w:t>
      </w:r>
      <w:r w:rsidRPr="00F10E52">
        <w:rPr>
          <w:rFonts w:ascii="Verdana" w:eastAsia="Calibri" w:hAnsi="Verdana" w:cs="Arial"/>
        </w:rPr>
        <w:lastRenderedPageBreak/>
        <w:t>miembros de sus juntas directivas, en o para reuniones de carácter proselitista</w:t>
      </w:r>
      <w:r>
        <w:rPr>
          <w:rFonts w:ascii="Verdana" w:eastAsia="Calibri" w:hAnsi="Verdana" w:cs="Arial"/>
          <w:bCs/>
        </w:rPr>
        <w:t>”</w:t>
      </w:r>
      <w:r w:rsidRPr="00F10E52">
        <w:rPr>
          <w:rFonts w:ascii="Verdana" w:eastAsia="Calibri" w:hAnsi="Verdana" w:cs="Arial"/>
          <w:bCs/>
          <w:vertAlign w:val="superscript"/>
        </w:rPr>
        <w:footnoteReference w:id="8"/>
      </w:r>
      <w:r w:rsidRPr="00F10E52">
        <w:rPr>
          <w:rFonts w:ascii="Verdana" w:eastAsia="Calibri" w:hAnsi="Verdana" w:cs="Arial"/>
        </w:rPr>
        <w:t>.</w:t>
      </w:r>
      <w:r w:rsidRPr="00F10E52">
        <w:rPr>
          <w:rFonts w:ascii="Verdana" w:eastAsia="Arial" w:hAnsi="Verdana" w:cs="Arial"/>
          <w:lang w:val="es-ES" w:eastAsia="es-ES" w:bidi="es-ES"/>
        </w:rPr>
        <w:t xml:space="preserve"> </w:t>
      </w:r>
    </w:p>
    <w:p w14:paraId="04ACFE70" w14:textId="77777777" w:rsidR="00103317" w:rsidRPr="00F10E52" w:rsidRDefault="00103317" w:rsidP="00103317">
      <w:pPr>
        <w:widowControl w:val="0"/>
        <w:autoSpaceDE w:val="0"/>
        <w:autoSpaceDN w:val="0"/>
        <w:spacing w:before="120" w:after="0" w:line="276" w:lineRule="auto"/>
        <w:ind w:right="113" w:firstLine="708"/>
        <w:jc w:val="both"/>
        <w:rPr>
          <w:rFonts w:ascii="Verdana" w:eastAsia="Arial" w:hAnsi="Verdana" w:cs="Arial"/>
          <w:lang w:val="es-ES" w:eastAsia="es-ES" w:bidi="es-ES"/>
        </w:rPr>
      </w:pPr>
      <w:r w:rsidRPr="00F10E52">
        <w:rPr>
          <w:rFonts w:ascii="Verdana" w:eastAsia="Arial" w:hAnsi="Verdana" w:cs="Arial"/>
          <w:lang w:val="es-ES" w:eastAsia="es-ES" w:bidi="es-ES"/>
        </w:rPr>
        <w:t>La Sala de Consulta y Servicio Civil del Consejo de Estado ha aclarado la distinción en la aplicación de las prohibiciones de la Ley 996 de 2005, dependiendo del tipo de elección que se trate. Al respecto, considera que:</w:t>
      </w:r>
    </w:p>
    <w:p w14:paraId="7BA9C575" w14:textId="77777777" w:rsidR="00103317" w:rsidRPr="006A51F6" w:rsidRDefault="00103317" w:rsidP="00103317">
      <w:pPr>
        <w:widowControl w:val="0"/>
        <w:autoSpaceDE w:val="0"/>
        <w:autoSpaceDN w:val="0"/>
        <w:spacing w:after="0" w:line="240" w:lineRule="auto"/>
        <w:ind w:left="709" w:right="709"/>
        <w:jc w:val="both"/>
        <w:rPr>
          <w:rFonts w:ascii="Verdana" w:eastAsia="Arial" w:hAnsi="Verdana" w:cs="Arial"/>
          <w:lang w:val="es-ES" w:eastAsia="es-ES" w:bidi="es-ES"/>
        </w:rPr>
      </w:pPr>
    </w:p>
    <w:p w14:paraId="3B09113D" w14:textId="77777777" w:rsidR="00103317" w:rsidRPr="009B20C5" w:rsidRDefault="00103317" w:rsidP="00103317">
      <w:pPr>
        <w:widowControl w:val="0"/>
        <w:autoSpaceDE w:val="0"/>
        <w:autoSpaceDN w:val="0"/>
        <w:spacing w:after="0" w:line="240" w:lineRule="auto"/>
        <w:ind w:left="709" w:right="709"/>
        <w:jc w:val="both"/>
        <w:rPr>
          <w:rFonts w:ascii="Verdana" w:eastAsia="Arial" w:hAnsi="Verdana" w:cs="Arial"/>
          <w:sz w:val="20"/>
          <w:szCs w:val="20"/>
          <w:lang w:val="es-ES" w:eastAsia="es-ES" w:bidi="es-ES"/>
        </w:rPr>
      </w:pPr>
      <w:r>
        <w:rPr>
          <w:rFonts w:ascii="Verdana" w:eastAsia="Arial" w:hAnsi="Verdana" w:cs="Arial"/>
          <w:sz w:val="20"/>
          <w:szCs w:val="20"/>
          <w:lang w:val="es-ES" w:eastAsia="es-ES" w:bidi="es-ES"/>
        </w:rPr>
        <w:t>“</w:t>
      </w:r>
      <w:r w:rsidRPr="009B20C5">
        <w:rPr>
          <w:rFonts w:ascii="Verdana" w:eastAsia="Arial" w:hAnsi="Verdana" w:cs="Arial"/>
          <w:sz w:val="20"/>
          <w:szCs w:val="20"/>
          <w:lang w:val="es-ES" w:eastAsia="es-ES" w:bidi="es-ES"/>
        </w:rPr>
        <w:t xml:space="preserve">La interpretación sistemática de las disposiciones consagradas en los artículos 32, 33 y el parágrafo del artículo 38 de la ley 996 de 2.005 lleva a concluir que dichas normas contienen restricciones y prohibiciones para periodos preelectorales diferentes; las dos primeras, de manera específica para los cuatro meses anteriores a la elección presidencial; el último, de manera más genérica para los cuatro meses anteriores a las elecciones  para cualquier cargo de elección popular a que se refiere la ley –incluido el de Presidente de la República-; de manera que dichas restricciones no se excluyen sino que </w:t>
      </w:r>
      <w:bookmarkStart w:id="7" w:name="_Hlk76109421"/>
      <w:r w:rsidRPr="009B20C5">
        <w:rPr>
          <w:rFonts w:ascii="Verdana" w:eastAsia="Arial" w:hAnsi="Verdana" w:cs="Arial"/>
          <w:sz w:val="20"/>
          <w:szCs w:val="20"/>
          <w:lang w:val="es-ES" w:eastAsia="es-ES" w:bidi="es-ES"/>
        </w:rPr>
        <w:t>se integran parcialmente</w:t>
      </w:r>
      <w:bookmarkEnd w:id="7"/>
      <w:r w:rsidRPr="009B20C5">
        <w:rPr>
          <w:rFonts w:ascii="Verdana" w:eastAsia="Arial" w:hAnsi="Verdana" w:cs="Arial"/>
          <w:sz w:val="20"/>
          <w:szCs w:val="20"/>
          <w:lang w:val="es-ES" w:eastAsia="es-ES" w:bidi="es-ES"/>
        </w:rPr>
        <w:t xml:space="preserve">, lo que permite concluir que en periodo preelectoral para elección de Presidente de la República, a todos los entes del Estado, incluidos los territoriales, se aplican las restricciones de los artículos 32 y 33 con sus excepciones, así como las del parágrafo del artículo 38. </w:t>
      </w:r>
      <w:r w:rsidRPr="009B20C5">
        <w:rPr>
          <w:rFonts w:ascii="Verdana" w:eastAsia="Arial" w:hAnsi="Verdana" w:cs="Arial"/>
          <w:bCs/>
          <w:sz w:val="20"/>
          <w:szCs w:val="20"/>
          <w:lang w:val="es-ES" w:eastAsia="es-ES" w:bidi="es-ES"/>
        </w:rPr>
        <w:t>En cambio, para elecciones en general, excluyendo las correspondientes a Presidente de la República, a las autoridades territoriales allí mencionadas sólo se aplican las restricciones contenidas en el parágrafo del artículo 38</w:t>
      </w:r>
      <w:r>
        <w:rPr>
          <w:rFonts w:ascii="Verdana" w:eastAsia="Arial" w:hAnsi="Verdana" w:cs="Arial"/>
          <w:sz w:val="20"/>
          <w:szCs w:val="20"/>
          <w:lang w:val="es-ES" w:eastAsia="es-ES" w:bidi="es-ES"/>
        </w:rPr>
        <w:t>”</w:t>
      </w:r>
      <w:r w:rsidRPr="009B20C5">
        <w:rPr>
          <w:rFonts w:ascii="Verdana" w:eastAsia="Arial" w:hAnsi="Verdana" w:cs="Arial"/>
          <w:sz w:val="20"/>
          <w:szCs w:val="20"/>
          <w:vertAlign w:val="superscript"/>
          <w:lang w:val="es-ES" w:eastAsia="es-ES" w:bidi="es-ES"/>
        </w:rPr>
        <w:footnoteReference w:id="9"/>
      </w:r>
      <w:r>
        <w:rPr>
          <w:rFonts w:ascii="Verdana" w:eastAsia="Arial" w:hAnsi="Verdana" w:cs="Arial"/>
          <w:sz w:val="20"/>
          <w:szCs w:val="20"/>
          <w:lang w:val="es-ES" w:eastAsia="es-ES" w:bidi="es-ES"/>
        </w:rPr>
        <w:t>.</w:t>
      </w:r>
    </w:p>
    <w:p w14:paraId="65E73530" w14:textId="77777777" w:rsidR="00103317" w:rsidRDefault="00103317" w:rsidP="00103317">
      <w:pPr>
        <w:spacing w:after="0" w:line="276" w:lineRule="auto"/>
        <w:ind w:firstLine="709"/>
        <w:jc w:val="both"/>
        <w:rPr>
          <w:rFonts w:ascii="Verdana" w:eastAsia="Arial" w:hAnsi="Verdana" w:cs="Arial"/>
          <w:lang w:val="es-ES" w:eastAsia="es-ES" w:bidi="es-ES"/>
        </w:rPr>
      </w:pPr>
    </w:p>
    <w:p w14:paraId="71F05F15" w14:textId="77777777" w:rsidR="00103317" w:rsidRPr="00F10E52" w:rsidRDefault="00103317" w:rsidP="00103317">
      <w:pPr>
        <w:spacing w:after="120" w:line="276" w:lineRule="auto"/>
        <w:ind w:firstLine="709"/>
        <w:jc w:val="both"/>
        <w:rPr>
          <w:rFonts w:ascii="Verdana" w:eastAsia="Arial" w:hAnsi="Verdana" w:cs="Arial"/>
          <w:lang w:val="es-ES" w:eastAsia="es-ES" w:bidi="es-ES"/>
        </w:rPr>
      </w:pPr>
      <w:r w:rsidRPr="00F10E52">
        <w:rPr>
          <w:rFonts w:ascii="Verdana" w:eastAsia="Arial" w:hAnsi="Verdana" w:cs="Arial"/>
          <w:lang w:val="es-ES" w:eastAsia="es-ES" w:bidi="es-ES"/>
        </w:rPr>
        <w:t>De conformidad con lo anterior</w:t>
      </w:r>
      <w:bookmarkStart w:id="8" w:name="_Hlk99438241"/>
      <w:r w:rsidRPr="00F10E52">
        <w:rPr>
          <w:rFonts w:ascii="Verdana" w:eastAsia="Arial" w:hAnsi="Verdana" w:cs="Arial"/>
          <w:lang w:val="es-ES" w:eastAsia="es-ES" w:bidi="es-ES"/>
        </w:rPr>
        <w:t xml:space="preserve">, </w:t>
      </w:r>
      <w:bookmarkStart w:id="9" w:name="_Hlk77236420"/>
      <w:bookmarkStart w:id="10" w:name="_Hlk78818435"/>
      <w:bookmarkStart w:id="11" w:name="_Hlk75780333"/>
      <w:r w:rsidRPr="00F10E52">
        <w:rPr>
          <w:rFonts w:ascii="Verdana" w:eastAsia="Arial" w:hAnsi="Verdana" w:cs="Arial"/>
          <w:lang w:val="es-ES" w:eastAsia="es-ES" w:bidi="es-ES"/>
        </w:rPr>
        <w:t xml:space="preserve">la Ley 996 de 2005 establece dos (2) tipos de restricciones en materia de contratación, las cuales coinciden parcialmente. </w:t>
      </w:r>
      <w:r w:rsidRPr="00F10E52">
        <w:rPr>
          <w:rFonts w:ascii="Verdana" w:eastAsia="Arial" w:hAnsi="Verdana" w:cs="Arial"/>
          <w:i/>
          <w:iCs/>
          <w:lang w:val="es-ES" w:eastAsia="es-ES" w:bidi="es-ES"/>
        </w:rPr>
        <w:t>En primer lugar</w:t>
      </w:r>
      <w:r w:rsidRPr="00F10E52">
        <w:rPr>
          <w:rFonts w:ascii="Verdana" w:eastAsia="Arial" w:hAnsi="Verdana" w:cs="Arial"/>
          <w:lang w:val="es-ES" w:eastAsia="es-ES" w:bidi="es-ES"/>
        </w:rPr>
        <w:t xml:space="preserve">, la del artículo 33 que opera solo respecto de las elecciones presidenciales, en virtud de la cual queda proscrita la contratación directa dentro de los cuatro (4) meses anteriores a la celebración de los comicios, salvo las citadas excepciones. Sin embargo, si ningún candidato obtiene la mitad más uno de los votos que, de manera secreta y directa, depositen los ciudadanos, se celebrará una nueva votación que tendrá lugar tres semanas más tarde, en la que sólo participarán los dos candidatos que hubieren obtenido las votaciones más altas, de conformidad con el artículo 190 de la Constitución Política. Para estos efectos, la restricción se extenderá hasta la fecha en la que se realice la </w:t>
      </w:r>
      <w:r w:rsidRPr="00F10E52">
        <w:rPr>
          <w:rFonts w:ascii="Verdana" w:eastAsia="Arial" w:hAnsi="Verdana" w:cs="Arial"/>
          <w:lang w:val="es-ES" w:eastAsia="es-ES" w:bidi="es-ES"/>
        </w:rPr>
        <w:lastRenderedPageBreak/>
        <w:t xml:space="preserve">segunda vuelta. </w:t>
      </w:r>
      <w:r w:rsidRPr="00F10E52">
        <w:rPr>
          <w:rFonts w:ascii="Verdana" w:eastAsia="Arial" w:hAnsi="Verdana" w:cs="Arial"/>
          <w:i/>
          <w:iCs/>
          <w:lang w:val="es-ES" w:eastAsia="es-ES" w:bidi="es-ES"/>
        </w:rPr>
        <w:t>En segundo lugar</w:t>
      </w:r>
      <w:r w:rsidRPr="00F10E52">
        <w:rPr>
          <w:rFonts w:ascii="Verdana" w:eastAsia="Arial" w:hAnsi="Verdana" w:cs="Arial"/>
          <w:lang w:val="es-ES" w:eastAsia="es-ES" w:bidi="es-ES"/>
        </w:rPr>
        <w:t>, también se encuentra la prohibición del parágrafo del artículo 38, el cual debe aplicarse respecto de cualquier tipo de contienda electoral, y que prohíbe la celebración de convenios interadministrativos que impliquen la ejecución de recursos públicos dentro de los cuatro (4) meses anteriores a la respectiva jornada de votaciones.</w:t>
      </w:r>
      <w:bookmarkEnd w:id="9"/>
    </w:p>
    <w:bookmarkEnd w:id="8"/>
    <w:bookmarkEnd w:id="10"/>
    <w:p w14:paraId="2D7C9101" w14:textId="77777777" w:rsidR="00103317" w:rsidRPr="00F10E52" w:rsidRDefault="00103317" w:rsidP="00103317">
      <w:pPr>
        <w:spacing w:after="120" w:line="276" w:lineRule="auto"/>
        <w:ind w:firstLine="709"/>
        <w:jc w:val="both"/>
        <w:rPr>
          <w:rFonts w:ascii="Verdana" w:eastAsia="Arial" w:hAnsi="Verdana" w:cs="Arial"/>
          <w:lang w:val="es-ES" w:eastAsia="es-ES" w:bidi="es-ES"/>
        </w:rPr>
      </w:pPr>
      <w:r w:rsidRPr="00F10E52">
        <w:rPr>
          <w:rFonts w:ascii="Verdana" w:eastAsia="Arial" w:hAnsi="Verdana" w:cs="Arial"/>
          <w:lang w:val="es-ES" w:eastAsia="es-ES" w:bidi="es-ES"/>
        </w:rPr>
        <w:t>Ambas restricciones no son excluyentes, lo que permite concluir que en el período preelectoral para elección de Presidente de la República, a todos los entes del Estado, incluidos los territoriales, aplican las restricciones del artículo 33 con sus excepciones, así como las del parágrafo del artículo 38. En cambio, tratándose de elecciones en general, excluyendo las correspondientes al Presidente de la República, las autoridades allí mencionadas sólo deben aplicar las restricciones contenidas en el parágrafo del artículo 38.</w:t>
      </w:r>
    </w:p>
    <w:bookmarkEnd w:id="11"/>
    <w:p w14:paraId="1ED3AE41" w14:textId="77777777" w:rsidR="00103317" w:rsidRDefault="00103317" w:rsidP="00103317">
      <w:pPr>
        <w:spacing w:after="120" w:line="276" w:lineRule="auto"/>
        <w:ind w:firstLine="708"/>
        <w:jc w:val="both"/>
        <w:rPr>
          <w:rFonts w:ascii="Verdana" w:eastAsia="Times New Roman" w:hAnsi="Verdana" w:cs="Arial"/>
          <w:bCs/>
          <w:lang w:val="es-ES" w:eastAsia="es-CO"/>
        </w:rPr>
      </w:pPr>
      <w:r w:rsidRPr="00F10E52">
        <w:rPr>
          <w:rFonts w:ascii="Verdana" w:eastAsia="Arial" w:hAnsi="Verdana" w:cs="Arial"/>
          <w:lang w:val="es-ES" w:eastAsia="es-ES" w:bidi="es-ES"/>
        </w:rPr>
        <w:t xml:space="preserve">La Corte Constitucional, en la Sentencia C-1153 del 11 de noviembre de 2005, señaló que, para que la garantía sea plena, era necesario que la prohibición se aplicara para el Presidente o el Vicepresidente desde que éstos –estando en ejercicio de su cargo– manifiesten el interés de ser candidato presidencial, lo cual debe ocurrir seis meses antes de la elección en primera vuelta, de acuerdo con el artículo 9 de la Ley 996 de 2005. Sin embargo, el condicionamiento impuesto por la Corte Constitucional, relacionado con el momento en que estas restricciones empiezan a regir para el Presidente y el Vicepresidente de la República, ha perdido vigencia ante la prohibición de la reelección presidencial, restablecida por el Acto Legislativo 2 de 2015, excepto para el Vicepresidente que no haya ejercido la presidencia o que la haya ejercido por un tiempo inferior a tres (3) meses durante el respectivo cuatrienio, en forma continua o discontinua, conforme al artículo 197 de la Constitución Política.  </w:t>
      </w:r>
    </w:p>
    <w:p w14:paraId="39D0B3C1" w14:textId="77777777" w:rsidR="00103317" w:rsidRDefault="00103317" w:rsidP="00103317">
      <w:pPr>
        <w:spacing w:after="0" w:line="276" w:lineRule="auto"/>
        <w:ind w:firstLine="708"/>
        <w:jc w:val="both"/>
        <w:rPr>
          <w:rFonts w:ascii="Verdana" w:eastAsia="Arial" w:hAnsi="Verdana" w:cs="Arial"/>
          <w:lang w:val="es-ES" w:eastAsia="es-ES" w:bidi="es-ES"/>
        </w:rPr>
      </w:pPr>
      <w:r>
        <w:rPr>
          <w:rFonts w:ascii="Verdana" w:eastAsia="Times New Roman" w:hAnsi="Verdana" w:cs="Arial"/>
          <w:bCs/>
          <w:lang w:val="es-ES" w:eastAsia="es-CO"/>
        </w:rPr>
        <w:t xml:space="preserve">Teniendo en cuenta el objeto de la consulta, a continuación, se hará un análisis sobre la aplicación de la prohibición contenida en el artículo 33 y sus excepciones, relacionada con su ámbito de aplicación y sus destinatarios. </w:t>
      </w:r>
    </w:p>
    <w:p w14:paraId="168CB92D" w14:textId="77777777" w:rsidR="00103317" w:rsidRDefault="00103317" w:rsidP="00103317">
      <w:pPr>
        <w:spacing w:after="0" w:line="240" w:lineRule="auto"/>
        <w:ind w:firstLine="709"/>
        <w:jc w:val="both"/>
        <w:rPr>
          <w:rFonts w:ascii="Verdana" w:eastAsia="Arial" w:hAnsi="Verdana" w:cs="Arial"/>
          <w:lang w:val="es-ES" w:eastAsia="es-ES" w:bidi="es-ES"/>
        </w:rPr>
      </w:pPr>
    </w:p>
    <w:p w14:paraId="2FA8A075" w14:textId="77777777" w:rsidR="00103317" w:rsidRPr="007777F3" w:rsidRDefault="00103317" w:rsidP="00103317">
      <w:pPr>
        <w:spacing w:after="0" w:line="276" w:lineRule="auto"/>
        <w:ind w:firstLine="708"/>
        <w:jc w:val="both"/>
        <w:rPr>
          <w:rFonts w:ascii="Verdana" w:eastAsia="Arial" w:hAnsi="Verdana" w:cs="Arial"/>
          <w:lang w:val="es-ES" w:eastAsia="es-ES" w:bidi="es-ES"/>
        </w:rPr>
      </w:pPr>
      <w:r w:rsidRPr="00195E24">
        <w:rPr>
          <w:rFonts w:ascii="Verdana" w:hAnsi="Verdana" w:cs="Arial"/>
          <w:bCs/>
          <w:lang w:eastAsia="x-none"/>
        </w:rPr>
        <w:t xml:space="preserve">El ámbito material de la prohibición contenida </w:t>
      </w:r>
      <w:bookmarkStart w:id="12" w:name="_Hlk75628761"/>
      <w:r w:rsidRPr="00195E24">
        <w:rPr>
          <w:rFonts w:ascii="Verdana" w:hAnsi="Verdana" w:cs="Arial"/>
          <w:bCs/>
          <w:lang w:eastAsia="x-none"/>
        </w:rPr>
        <w:t xml:space="preserve">en el artículo 33 de la ley 996 de 2005 </w:t>
      </w:r>
      <w:bookmarkEnd w:id="12"/>
      <w:r w:rsidRPr="00195E24">
        <w:rPr>
          <w:rFonts w:ascii="Verdana" w:hAnsi="Verdana" w:cs="Arial"/>
          <w:bCs/>
          <w:lang w:eastAsia="x-none"/>
        </w:rPr>
        <w:t xml:space="preserve">está delimitado por la expresión </w:t>
      </w:r>
      <w:r w:rsidRPr="00195E24">
        <w:rPr>
          <w:rFonts w:ascii="Verdana" w:eastAsia="Calibri" w:hAnsi="Verdana" w:cs="Arial"/>
          <w:bCs/>
          <w:i/>
          <w:iCs/>
          <w:sz w:val="20"/>
          <w:szCs w:val="20"/>
        </w:rPr>
        <w:t>“</w:t>
      </w:r>
      <w:r w:rsidRPr="00195E24">
        <w:rPr>
          <w:rFonts w:ascii="Verdana" w:hAnsi="Verdana" w:cs="Arial"/>
          <w:bCs/>
          <w:i/>
          <w:iCs/>
          <w:lang w:eastAsia="x-none"/>
        </w:rPr>
        <w:t>queda prohibida la contratación directa</w:t>
      </w:r>
      <w:r w:rsidRPr="00195E24">
        <w:rPr>
          <w:rFonts w:ascii="Verdana" w:hAnsi="Verdana" w:cs="Arial"/>
          <w:sz w:val="20"/>
          <w:szCs w:val="20"/>
        </w:rPr>
        <w:t>”</w:t>
      </w:r>
      <w:r w:rsidRPr="00195E24">
        <w:rPr>
          <w:rFonts w:ascii="Verdana" w:hAnsi="Verdana" w:cs="Arial"/>
          <w:bCs/>
          <w:lang w:eastAsia="x-none"/>
        </w:rPr>
        <w:t>.</w:t>
      </w:r>
      <w:r w:rsidRPr="00195E24">
        <w:rPr>
          <w:rFonts w:ascii="Verdana" w:hAnsi="Verdana" w:cs="Arial"/>
          <w:lang w:eastAsia="es-CO"/>
        </w:rPr>
        <w:t xml:space="preserve"> A propósito de esta restricción de la Ley de Garantías Electorales, la Sala de Consulta y Servicio Civil del Consejo de Estado ha considerado que:</w:t>
      </w:r>
    </w:p>
    <w:p w14:paraId="73206950" w14:textId="77777777" w:rsidR="00103317" w:rsidRPr="00195E24" w:rsidRDefault="00103317" w:rsidP="00103317">
      <w:pPr>
        <w:spacing w:after="0" w:line="240" w:lineRule="auto"/>
        <w:jc w:val="both"/>
        <w:rPr>
          <w:rFonts w:ascii="Verdana" w:hAnsi="Verdana" w:cs="Arial"/>
          <w:bCs/>
          <w:lang w:eastAsia="es-CO"/>
        </w:rPr>
      </w:pPr>
    </w:p>
    <w:p w14:paraId="3D7526D6" w14:textId="77777777" w:rsidR="00103317" w:rsidRDefault="00103317" w:rsidP="00103317">
      <w:pPr>
        <w:spacing w:after="0" w:line="240" w:lineRule="auto"/>
        <w:ind w:left="709" w:right="709"/>
        <w:jc w:val="both"/>
        <w:rPr>
          <w:rFonts w:ascii="Verdana" w:hAnsi="Verdana" w:cs="Arial"/>
          <w:sz w:val="20"/>
          <w:szCs w:val="20"/>
        </w:rPr>
      </w:pPr>
      <w:r w:rsidRPr="005800D0">
        <w:rPr>
          <w:rFonts w:ascii="Verdana" w:hAnsi="Verdana" w:cs="Arial"/>
          <w:sz w:val="20"/>
          <w:szCs w:val="20"/>
        </w:rPr>
        <w:t>“</w:t>
      </w:r>
      <w:r>
        <w:rPr>
          <w:rFonts w:ascii="Verdana" w:hAnsi="Verdana" w:cs="Arial"/>
          <w:sz w:val="20"/>
          <w:szCs w:val="20"/>
        </w:rPr>
        <w:t xml:space="preserve">(…) </w:t>
      </w:r>
      <w:r w:rsidRPr="005800D0">
        <w:rPr>
          <w:rFonts w:ascii="Verdana" w:hAnsi="Verdana" w:cs="Arial"/>
          <w:sz w:val="20"/>
          <w:szCs w:val="20"/>
        </w:rPr>
        <w:t xml:space="preserve">La contratación directa es un mecanismo de selección de carácter excepcional, en virtud del cual las entidades públicas pueden contratar mediante un trámite simplificado, ágil y expedito sin necesidad de realizar previamente un proceso de licitación pública o concurso, únicamente en </w:t>
      </w:r>
      <w:r w:rsidRPr="005800D0">
        <w:rPr>
          <w:rFonts w:ascii="Verdana" w:hAnsi="Verdana" w:cs="Arial"/>
          <w:sz w:val="20"/>
          <w:szCs w:val="20"/>
        </w:rPr>
        <w:lastRenderedPageBreak/>
        <w:t>los casos en que expresa y taxativamente señale la ley (numeral 4, artículo 2, ley 1150 de 2007), y cumpliendo siempre los principios que rigen la contratación pública</w:t>
      </w:r>
      <w:r w:rsidRPr="005800D0">
        <w:rPr>
          <w:rFonts w:ascii="Verdana" w:hAnsi="Verdana" w:cs="Arial"/>
          <w:sz w:val="20"/>
          <w:szCs w:val="20"/>
          <w:vertAlign w:val="superscript"/>
          <w:lang w:eastAsia="es-CO"/>
        </w:rPr>
        <w:footnoteReference w:id="10"/>
      </w:r>
      <w:r w:rsidRPr="005800D0">
        <w:rPr>
          <w:rFonts w:ascii="Verdana" w:hAnsi="Verdana" w:cs="Arial"/>
          <w:sz w:val="20"/>
          <w:szCs w:val="20"/>
        </w:rPr>
        <w:t>.</w:t>
      </w:r>
    </w:p>
    <w:p w14:paraId="525FB47C" w14:textId="77777777" w:rsidR="00103317" w:rsidRPr="005800D0" w:rsidRDefault="00103317" w:rsidP="00103317">
      <w:pPr>
        <w:spacing w:after="0" w:line="240" w:lineRule="auto"/>
        <w:ind w:left="709" w:right="709"/>
        <w:jc w:val="both"/>
        <w:rPr>
          <w:rFonts w:ascii="Verdana" w:hAnsi="Verdana" w:cs="Arial"/>
          <w:sz w:val="20"/>
          <w:szCs w:val="20"/>
        </w:rPr>
      </w:pPr>
    </w:p>
    <w:p w14:paraId="3C9BE398" w14:textId="77777777" w:rsidR="00103317" w:rsidRDefault="00103317" w:rsidP="00103317">
      <w:pPr>
        <w:spacing w:after="0" w:line="240" w:lineRule="auto"/>
        <w:ind w:left="709" w:right="709"/>
        <w:jc w:val="both"/>
        <w:rPr>
          <w:rFonts w:ascii="Verdana" w:hAnsi="Verdana" w:cs="Arial"/>
          <w:sz w:val="20"/>
          <w:szCs w:val="20"/>
        </w:rPr>
      </w:pPr>
      <w:r w:rsidRPr="005800D0">
        <w:rPr>
          <w:rFonts w:ascii="Verdana" w:hAnsi="Verdana" w:cs="Arial"/>
          <w:sz w:val="20"/>
          <w:szCs w:val="20"/>
        </w:rPr>
        <w:t xml:space="preserve">Esta Sala ha entendido que para los efectos de la ley de garantías, y dada su finalidad, el enunciado ´contratación directa´ es sinónimo </w:t>
      </w:r>
      <w:bookmarkStart w:id="13" w:name="_Hlk75741738"/>
      <w:r w:rsidRPr="005800D0">
        <w:rPr>
          <w:rFonts w:ascii="Verdana" w:hAnsi="Verdana" w:cs="Arial"/>
          <w:sz w:val="20"/>
          <w:szCs w:val="20"/>
        </w:rPr>
        <w:t xml:space="preserve">de cualquier sistema que no implique convocatoria pública y posibilidad de pluralidad de oferentes, </w:t>
      </w:r>
      <w:bookmarkEnd w:id="13"/>
      <w:r w:rsidRPr="005800D0">
        <w:rPr>
          <w:rFonts w:ascii="Verdana" w:hAnsi="Verdana" w:cs="Arial"/>
          <w:sz w:val="20"/>
          <w:szCs w:val="20"/>
        </w:rPr>
        <w:t>y que, además, no necesariamente hace referencia al procedimiento especial regulado por la ley de contratación estatal, sino a cualquier otro que prescinda de un proceso de licitación pública o concurso</w:t>
      </w:r>
      <w:r w:rsidRPr="005800D0">
        <w:rPr>
          <w:rFonts w:ascii="Verdana" w:hAnsi="Verdana" w:cs="Arial"/>
          <w:sz w:val="20"/>
          <w:szCs w:val="20"/>
          <w:vertAlign w:val="superscript"/>
        </w:rPr>
        <w:footnoteReference w:id="11"/>
      </w:r>
      <w:r w:rsidRPr="005800D0">
        <w:rPr>
          <w:rFonts w:ascii="Verdana" w:hAnsi="Verdana" w:cs="Arial"/>
          <w:sz w:val="20"/>
          <w:szCs w:val="20"/>
          <w:vertAlign w:val="superscript"/>
        </w:rPr>
        <w:t>.</w:t>
      </w:r>
      <w:r w:rsidRPr="005800D0">
        <w:rPr>
          <w:rFonts w:ascii="Verdana" w:hAnsi="Verdana" w:cs="Arial"/>
          <w:sz w:val="20"/>
          <w:szCs w:val="20"/>
        </w:rPr>
        <w:t xml:space="preserve"> Por tanto, no son materia de la prohibición las demás modalidades de selección previstas en la ley 1150 de 2007, siendo estas, la licitación pública, el concurso de méritos y la selección abreviada, razón por la cual en ese periodo preelectoral de que trata la disposición pueden las entidades públicas seguir contratando bajo estos sistemas. </w:t>
      </w:r>
      <w:r>
        <w:rPr>
          <w:rFonts w:ascii="Verdana" w:hAnsi="Verdana" w:cs="Arial"/>
          <w:sz w:val="20"/>
          <w:szCs w:val="20"/>
        </w:rPr>
        <w:t>(…)”</w:t>
      </w:r>
      <w:r w:rsidRPr="005800D0">
        <w:rPr>
          <w:rFonts w:ascii="Verdana" w:hAnsi="Verdana" w:cs="Arial"/>
          <w:sz w:val="20"/>
          <w:szCs w:val="20"/>
          <w:vertAlign w:val="superscript"/>
          <w:lang w:eastAsia="es-CO"/>
        </w:rPr>
        <w:footnoteReference w:id="12"/>
      </w:r>
      <w:r w:rsidRPr="005800D0">
        <w:rPr>
          <w:rFonts w:ascii="Verdana" w:hAnsi="Verdana" w:cs="Arial"/>
          <w:sz w:val="20"/>
          <w:szCs w:val="20"/>
        </w:rPr>
        <w:t>.</w:t>
      </w:r>
    </w:p>
    <w:p w14:paraId="4377234C" w14:textId="77777777" w:rsidR="00103317" w:rsidRPr="005800D0" w:rsidRDefault="00103317" w:rsidP="00CE0712">
      <w:pPr>
        <w:spacing w:after="0" w:line="240" w:lineRule="auto"/>
        <w:ind w:left="709" w:right="709"/>
        <w:jc w:val="both"/>
        <w:rPr>
          <w:rFonts w:ascii="Verdana" w:hAnsi="Verdana" w:cs="Arial"/>
        </w:rPr>
      </w:pPr>
    </w:p>
    <w:p w14:paraId="4C91F5B9" w14:textId="77777777" w:rsidR="00103317" w:rsidRPr="00195E24" w:rsidRDefault="00103317" w:rsidP="00103317">
      <w:pPr>
        <w:spacing w:after="120" w:line="276" w:lineRule="auto"/>
        <w:ind w:firstLine="708"/>
        <w:jc w:val="both"/>
        <w:rPr>
          <w:rFonts w:ascii="Verdana" w:hAnsi="Verdana" w:cs="Arial"/>
          <w:bCs/>
          <w:lang w:eastAsia="x-none"/>
        </w:rPr>
      </w:pPr>
      <w:bookmarkStart w:id="15" w:name="_Hlk94521748"/>
      <w:r w:rsidRPr="00195E24">
        <w:rPr>
          <w:rFonts w:ascii="Verdana" w:hAnsi="Verdana" w:cs="Arial"/>
          <w:lang w:eastAsia="x-none"/>
        </w:rPr>
        <w:t xml:space="preserve">De acuerdo con el citado concepto, la prohibición del artículo 33 de la Ley de Garantías Electorales se refiere a </w:t>
      </w:r>
      <w:r>
        <w:rPr>
          <w:rFonts w:ascii="Verdana" w:hAnsi="Verdana" w:cs="Arial"/>
          <w:sz w:val="19"/>
          <w:szCs w:val="19"/>
          <w:lang w:eastAsia="en-GB"/>
        </w:rPr>
        <w:t>“</w:t>
      </w:r>
      <w:r w:rsidRPr="00195E24">
        <w:rPr>
          <w:rFonts w:ascii="Verdana" w:hAnsi="Verdana" w:cs="Arial"/>
          <w:lang w:eastAsia="x-none"/>
        </w:rPr>
        <w:t>cualquier sistema que no implique convocatoria pública y posibilidad de pluralidad de oferentes</w:t>
      </w:r>
      <w:r>
        <w:rPr>
          <w:rFonts w:ascii="Verdana" w:hAnsi="Verdana" w:cs="Arial"/>
          <w:lang w:eastAsia="en-GB"/>
        </w:rPr>
        <w:t>”</w:t>
      </w:r>
      <w:r w:rsidRPr="00195E24">
        <w:rPr>
          <w:rFonts w:ascii="Verdana" w:hAnsi="Verdana" w:cs="Arial"/>
          <w:lang w:eastAsia="x-none"/>
        </w:rPr>
        <w:t xml:space="preserve">, por lo que excluye las demás modalidades de contratación previstas en la Ley 1150 de 2007, es decir, la licitación pública, la selección abreviada, el concurso de méritos </w:t>
      </w:r>
      <w:r w:rsidRPr="00195E24">
        <w:rPr>
          <w:rFonts w:ascii="Verdana" w:hAnsi="Verdana" w:cs="Arial"/>
          <w:lang w:val="es-ES_tradnl" w:eastAsia="x-none"/>
        </w:rPr>
        <w:t>y la mínima cuantía</w:t>
      </w:r>
      <w:r w:rsidRPr="00195E24" w:rsidDel="00A85D9F">
        <w:rPr>
          <w:rFonts w:ascii="Verdana" w:hAnsi="Verdana" w:cs="Arial"/>
          <w:lang w:eastAsia="x-none"/>
        </w:rPr>
        <w:t xml:space="preserve"> </w:t>
      </w:r>
      <w:r w:rsidRPr="00195E24">
        <w:rPr>
          <w:rFonts w:ascii="Verdana" w:hAnsi="Verdana" w:cs="Arial"/>
          <w:lang w:eastAsia="x-none"/>
        </w:rPr>
        <w:t>u otros previstos en normas especiales. Esta posición es congruente con la expedición de la Ley 1150 de 2007 que, entre otras reformas, introdujo la selección abreviada, rediseñó el concurso de méritos</w:t>
      </w:r>
      <w:r w:rsidRPr="00195E24">
        <w:rPr>
          <w:rFonts w:ascii="Verdana" w:hAnsi="Verdana" w:cs="Arial"/>
          <w:vertAlign w:val="superscript"/>
          <w:lang w:val="en-GB" w:eastAsia="x-none"/>
        </w:rPr>
        <w:footnoteReference w:id="13"/>
      </w:r>
      <w:r w:rsidRPr="00195E24">
        <w:rPr>
          <w:rFonts w:ascii="Verdana" w:hAnsi="Verdana" w:cs="Arial"/>
          <w:lang w:eastAsia="x-none"/>
        </w:rPr>
        <w:t xml:space="preserve"> y sistematizó las causales de contratación directa</w:t>
      </w:r>
      <w:r w:rsidRPr="00195E24">
        <w:rPr>
          <w:rFonts w:ascii="Verdana" w:hAnsi="Verdana" w:cs="Arial"/>
          <w:vertAlign w:val="superscript"/>
          <w:lang w:val="en-GB" w:eastAsia="x-none"/>
        </w:rPr>
        <w:footnoteReference w:id="14"/>
      </w:r>
      <w:r w:rsidRPr="00195E24">
        <w:rPr>
          <w:rFonts w:ascii="Verdana" w:hAnsi="Verdana" w:cs="Arial"/>
          <w:lang w:eastAsia="x-none"/>
        </w:rPr>
        <w:t>, además lo es con la posterior creación de la modalidad de mínima cuantía establecida actualmente en el numeral 5 del artículo 2 de la Ley 1150 de 2007, de acuerdo con las modificaciones realizadas por leyes posteriores.</w:t>
      </w:r>
    </w:p>
    <w:bookmarkEnd w:id="15"/>
    <w:p w14:paraId="168C8F41" w14:textId="77777777" w:rsidR="00103317" w:rsidRPr="00195E24" w:rsidRDefault="00103317" w:rsidP="00103317">
      <w:pPr>
        <w:spacing w:after="120" w:line="276" w:lineRule="auto"/>
        <w:ind w:firstLine="709"/>
        <w:jc w:val="both"/>
        <w:rPr>
          <w:rFonts w:ascii="Verdana" w:hAnsi="Verdana" w:cs="Arial"/>
          <w:lang w:eastAsia="x-none"/>
        </w:rPr>
      </w:pPr>
      <w:r w:rsidRPr="00195E24">
        <w:rPr>
          <w:rFonts w:ascii="Verdana" w:hAnsi="Verdana" w:cs="Arial"/>
          <w:lang w:eastAsia="x-none"/>
        </w:rPr>
        <w:t xml:space="preserve">De esta forma, con fundamento en la evolución de la normativa sobre la contratación pública, se ha depurado la noción de </w:t>
      </w:r>
      <w:r w:rsidRPr="00195E24">
        <w:rPr>
          <w:rFonts w:ascii="Verdana" w:hAnsi="Verdana" w:cs="Arial"/>
          <w:i/>
          <w:iCs/>
          <w:sz w:val="19"/>
          <w:szCs w:val="19"/>
          <w:lang w:eastAsia="en-GB"/>
        </w:rPr>
        <w:t>“</w:t>
      </w:r>
      <w:r w:rsidRPr="00195E24">
        <w:rPr>
          <w:rFonts w:ascii="Verdana" w:hAnsi="Verdana" w:cs="Arial"/>
          <w:i/>
          <w:iCs/>
          <w:lang w:eastAsia="x-none"/>
        </w:rPr>
        <w:t>contratación directa</w:t>
      </w:r>
      <w:r w:rsidRPr="00195E24">
        <w:rPr>
          <w:rFonts w:ascii="Verdana" w:hAnsi="Verdana" w:cs="Arial"/>
          <w:lang w:eastAsia="en-GB"/>
        </w:rPr>
        <w:t>”</w:t>
      </w:r>
      <w:r w:rsidRPr="00195E24">
        <w:rPr>
          <w:rFonts w:ascii="Verdana" w:hAnsi="Verdana" w:cs="Arial"/>
          <w:lang w:eastAsia="x-none"/>
        </w:rPr>
        <w:t xml:space="preserve">, precisando el Consejo de Estado –en el concepto citado– que, “aun cuando no coincide única y exactamente con la regulación que de dicho sistema de selección </w:t>
      </w:r>
      <w:r w:rsidRPr="00195E24">
        <w:rPr>
          <w:rFonts w:ascii="Verdana" w:hAnsi="Verdana" w:cs="Arial"/>
          <w:lang w:eastAsia="x-none"/>
        </w:rPr>
        <w:lastRenderedPageBreak/>
        <w:t>hace el artículo 2 de la Ley 1150 de 2007, tampoco puede afirmarse que sea cualquier procedimiento de contratación distinto de la licitación pública, pues esto sería tanto como desconocer que el legislador, no solo en el Estatuto General de la Contratación de la Administración Pública, sino también en leyes especiales e, incluso, en el derecho privado</w:t>
      </w:r>
      <w:r w:rsidRPr="00195E24">
        <w:rPr>
          <w:rFonts w:ascii="Verdana" w:hAnsi="Verdana" w:cs="Arial"/>
          <w:vertAlign w:val="superscript"/>
          <w:lang w:val="en-GB" w:eastAsia="x-none"/>
        </w:rPr>
        <w:footnoteReference w:id="15"/>
      </w:r>
      <w:r w:rsidRPr="00195E24">
        <w:rPr>
          <w:rFonts w:ascii="Verdana" w:hAnsi="Verdana" w:cs="Arial"/>
          <w:lang w:eastAsia="x-none"/>
        </w:rPr>
        <w:t>, han establecido sistemas de contratación que implican convocatoria pública y participación de varios oferentes</w:t>
      </w:r>
      <w:r w:rsidRPr="00195E24">
        <w:rPr>
          <w:rFonts w:ascii="Verdana" w:hAnsi="Verdana" w:cs="Arial"/>
          <w:lang w:eastAsia="en-GB"/>
        </w:rPr>
        <w:t>”</w:t>
      </w:r>
      <w:r w:rsidRPr="00195E24">
        <w:rPr>
          <w:rFonts w:ascii="Verdana" w:hAnsi="Verdana" w:cs="Arial"/>
          <w:lang w:eastAsia="x-none"/>
        </w:rPr>
        <w:t>.</w:t>
      </w:r>
    </w:p>
    <w:p w14:paraId="29606A4F" w14:textId="77777777" w:rsidR="00103317" w:rsidRPr="00195E24" w:rsidRDefault="00103317" w:rsidP="00103317">
      <w:pPr>
        <w:spacing w:after="120" w:line="276" w:lineRule="auto"/>
        <w:ind w:firstLine="709"/>
        <w:jc w:val="both"/>
        <w:rPr>
          <w:rFonts w:ascii="Verdana" w:hAnsi="Verdana" w:cs="Arial"/>
          <w:bCs/>
          <w:lang w:eastAsia="es-CO"/>
        </w:rPr>
      </w:pPr>
      <w:r w:rsidRPr="00195E24">
        <w:rPr>
          <w:rFonts w:ascii="Verdana" w:hAnsi="Verdana" w:cs="Arial"/>
          <w:bCs/>
          <w:lang w:eastAsia="x-none"/>
        </w:rPr>
        <w:t>E</w:t>
      </w:r>
      <w:r w:rsidRPr="00195E24">
        <w:rPr>
          <w:rFonts w:ascii="Verdana" w:hAnsi="Verdana" w:cs="Arial"/>
          <w:lang w:eastAsia="x-none"/>
        </w:rPr>
        <w:t xml:space="preserve">n efecto, vale la pena mencionar que, </w:t>
      </w:r>
      <w:bookmarkStart w:id="16" w:name="_Hlk75636073"/>
      <w:r w:rsidRPr="00195E24">
        <w:rPr>
          <w:rFonts w:ascii="Verdana" w:hAnsi="Verdana" w:cs="Arial"/>
          <w:lang w:eastAsia="x-none"/>
        </w:rPr>
        <w:t xml:space="preserve">en algunos sistemas de contratación, utilizados por entidades públicas con regímenes especiales, o sujetas al derecho privado, la convocatoria o invitación para contratar puede limitarse a aquellas personas que previamente se hayan inscrito en una lista de precalificados o de simples interesados, o en un determinado registro o banco de datos de proveedores. En estos casos, lo determinante para considerar que dicho sistema no constituye </w:t>
      </w:r>
      <w:r w:rsidRPr="00195E24">
        <w:rPr>
          <w:rFonts w:ascii="Verdana" w:hAnsi="Verdana" w:cs="Arial"/>
          <w:i/>
          <w:iCs/>
          <w:lang w:eastAsia="x-none"/>
        </w:rPr>
        <w:t>“contratación directa</w:t>
      </w:r>
      <w:r w:rsidRPr="00195E24">
        <w:rPr>
          <w:rFonts w:ascii="Verdana" w:hAnsi="Verdana" w:cs="Arial"/>
          <w:lang w:eastAsia="x-none"/>
        </w:rPr>
        <w:t>”, es que la convocatoria para inscribirse en forma previa se haga de manera pública, y que se permita la participación de una pluralidad de oferentes</w:t>
      </w:r>
      <w:bookmarkEnd w:id="16"/>
      <w:r w:rsidRPr="00195E24">
        <w:rPr>
          <w:rFonts w:ascii="Verdana" w:hAnsi="Verdana" w:cs="Arial"/>
          <w:vertAlign w:val="superscript"/>
          <w:lang w:eastAsia="x-none"/>
        </w:rPr>
        <w:footnoteReference w:id="16"/>
      </w:r>
      <w:r w:rsidRPr="00195E24">
        <w:rPr>
          <w:rFonts w:ascii="Verdana" w:hAnsi="Verdana" w:cs="Arial"/>
          <w:lang w:eastAsia="x-none"/>
        </w:rPr>
        <w:t xml:space="preserve">. </w:t>
      </w:r>
    </w:p>
    <w:p w14:paraId="3C05A544" w14:textId="398C5961" w:rsidR="73D21086" w:rsidRPr="00CE0712" w:rsidRDefault="00103317" w:rsidP="00CE0712">
      <w:pPr>
        <w:spacing w:after="120" w:line="276" w:lineRule="auto"/>
        <w:ind w:firstLine="709"/>
        <w:jc w:val="both"/>
        <w:rPr>
          <w:rFonts w:ascii="Verdana" w:hAnsi="Verdana" w:cs="Arial"/>
          <w:bCs/>
          <w:lang w:eastAsia="es-CO"/>
        </w:rPr>
      </w:pPr>
      <w:r w:rsidRPr="00195E24">
        <w:rPr>
          <w:rFonts w:ascii="Verdana" w:hAnsi="Verdana" w:cs="Arial"/>
          <w:bCs/>
          <w:lang w:eastAsia="es-CO"/>
        </w:rPr>
        <w:t xml:space="preserve">Como se advierte de lo anterior, el Consejo de Estado realiza una interpretación amplia de la contratación directa, para efectos de aplicar las restricciones establecidas en la Ley de Garantías, al señalar que no solo aplica frente a las entidades sometidas al Estatuto general de Contratación de la Administración Pública, sino también frente a las entidades que tengan un régimen especial de contratación. No obstante, también se observa que luego de la expedición de Ley 1150 de 2007, el Consejo de Estado comenzó a delimitar con mayor precisión el término de </w:t>
      </w:r>
      <w:r w:rsidRPr="00195E24">
        <w:rPr>
          <w:rFonts w:ascii="Verdana" w:hAnsi="Verdana" w:cs="Arial"/>
          <w:bCs/>
          <w:i/>
          <w:iCs/>
          <w:lang w:eastAsia="es-CO"/>
        </w:rPr>
        <w:t>“contratación directa”.</w:t>
      </w:r>
    </w:p>
    <w:p w14:paraId="5D6572DB" w14:textId="77777777" w:rsidR="00103317" w:rsidRPr="00065D8F" w:rsidRDefault="00103317" w:rsidP="00103317">
      <w:pPr>
        <w:spacing w:after="120" w:line="276" w:lineRule="auto"/>
        <w:ind w:firstLine="709"/>
        <w:jc w:val="both"/>
        <w:rPr>
          <w:rFonts w:ascii="Arial" w:hAnsi="Arial" w:cs="Arial"/>
          <w:bCs/>
          <w:lang w:eastAsia="x-none"/>
        </w:rPr>
      </w:pPr>
      <w:bookmarkStart w:id="17" w:name="_Hlk78818796"/>
      <w:r w:rsidRPr="00195E24">
        <w:rPr>
          <w:rFonts w:ascii="Verdana" w:hAnsi="Verdana" w:cs="Arial"/>
          <w:bCs/>
          <w:lang w:eastAsia="x-none"/>
        </w:rPr>
        <w:t xml:space="preserve"> Así las cosas, ha de entenderse que, para los efectos de la Ley de Garantías Electorales y, en particular, para la prohibición o restricción temporal contenida en su artículo 33, “contratación directa” es cualquier sistema de selección o procedimiento de contratación utilizado por las entidades estatales que no incluya la convocatoria pública en alguna de sus etapas, ni permita la participación de una pluralidad de oferentes</w:t>
      </w:r>
      <w:r w:rsidRPr="00065D8F">
        <w:rPr>
          <w:rFonts w:ascii="Arial" w:hAnsi="Arial" w:cs="Arial"/>
          <w:vertAlign w:val="superscript"/>
          <w:lang w:eastAsia="x-none"/>
        </w:rPr>
        <w:footnoteReference w:id="17"/>
      </w:r>
      <w:r w:rsidRPr="00065D8F">
        <w:rPr>
          <w:rFonts w:ascii="Arial" w:hAnsi="Arial" w:cs="Arial"/>
          <w:bCs/>
          <w:lang w:eastAsia="x-none"/>
        </w:rPr>
        <w:t>.</w:t>
      </w:r>
      <w:r w:rsidRPr="00065D8F">
        <w:rPr>
          <w:rFonts w:ascii="Arial" w:hAnsi="Arial" w:cs="Arial"/>
          <w:vertAlign w:val="superscript"/>
          <w:lang w:eastAsia="x-none"/>
        </w:rPr>
        <w:t xml:space="preserve"> </w:t>
      </w:r>
    </w:p>
    <w:bookmarkEnd w:id="17"/>
    <w:p w14:paraId="17F428E2" w14:textId="77777777" w:rsidR="00103317" w:rsidRDefault="00103317" w:rsidP="00103317">
      <w:pPr>
        <w:spacing w:after="0" w:line="276" w:lineRule="auto"/>
        <w:ind w:firstLine="709"/>
        <w:jc w:val="both"/>
        <w:rPr>
          <w:rFonts w:ascii="Arial" w:hAnsi="Arial" w:cs="Arial"/>
          <w:lang w:eastAsia="x-none"/>
        </w:rPr>
      </w:pPr>
      <w:r w:rsidRPr="00195E24">
        <w:rPr>
          <w:rFonts w:ascii="Verdana" w:hAnsi="Verdana" w:cs="Arial"/>
          <w:bCs/>
          <w:lang w:eastAsia="x-none"/>
        </w:rPr>
        <w:lastRenderedPageBreak/>
        <w:t>De lo anterior se desprende que la restricción aplica, sin perjuicio de las excepciones establecidas en la misma ley, para celebrar cualquier contrato de forma directa, esto es, sin que exista un proceso abierto y competitivo.</w:t>
      </w:r>
      <w:r w:rsidRPr="00195E24">
        <w:rPr>
          <w:rFonts w:ascii="Verdana" w:hAnsi="Verdana" w:cs="Arial"/>
          <w:lang w:eastAsia="x-none"/>
        </w:rPr>
        <w:t xml:space="preserve"> Por tanto, no son materia de la prohibición las demás modalidades de selección previstas en la Ley 1150 de 2007, es decir, la licitación pública, el concurso de méritos, la selección abreviada y la contratación de mínima cuantía, razón por la cual en el período preelectoral de que trata la disposición las entidades públicas pueden seguir contratando bajo estos sistemas</w:t>
      </w:r>
      <w:r w:rsidRPr="00065D8F">
        <w:rPr>
          <w:rFonts w:ascii="Arial" w:hAnsi="Arial" w:cs="Arial"/>
          <w:lang w:eastAsia="x-none"/>
        </w:rPr>
        <w:t>.</w:t>
      </w:r>
    </w:p>
    <w:p w14:paraId="66164373" w14:textId="3355647F" w:rsidR="73D21086" w:rsidRDefault="73D21086" w:rsidP="00CE0712">
      <w:pPr>
        <w:spacing w:after="0" w:line="240" w:lineRule="auto"/>
        <w:jc w:val="both"/>
        <w:rPr>
          <w:rFonts w:ascii="Arial" w:hAnsi="Arial" w:cs="Arial"/>
        </w:rPr>
      </w:pPr>
    </w:p>
    <w:p w14:paraId="4CE33388" w14:textId="77777777" w:rsidR="00103317" w:rsidRDefault="00103317" w:rsidP="00103317">
      <w:pPr>
        <w:spacing w:after="0" w:line="276" w:lineRule="auto"/>
        <w:ind w:firstLine="709"/>
        <w:jc w:val="both"/>
        <w:rPr>
          <w:rFonts w:ascii="Verdana" w:hAnsi="Verdana" w:cs="Arial"/>
          <w:bCs/>
          <w:lang w:eastAsia="x-none"/>
        </w:rPr>
      </w:pPr>
      <w:r w:rsidRPr="73D21086">
        <w:rPr>
          <w:rFonts w:ascii="Verdana" w:hAnsi="Verdana" w:cs="Arial"/>
        </w:rPr>
        <w:t>Como en otras oportunidades lo ha manifestado esta Agencia, las prórrogas, modificaciones o adiciones de los contratos suscritos antes de la entrada en vigencia de las prohibiciones anotadas, así como la cesión de los mismos, pueden tener lugar en el período de aplicación de la Ley de Garantías, sin que ello haga nugatoria la restricción de la contratación directa y siempre que cumplan los principios de planeación, transparencia y responsabilidad.</w:t>
      </w:r>
    </w:p>
    <w:p w14:paraId="433CCB50" w14:textId="77777777" w:rsidR="00103317" w:rsidRDefault="00103317" w:rsidP="00CE0712">
      <w:pPr>
        <w:spacing w:after="0" w:line="240" w:lineRule="auto"/>
        <w:jc w:val="both"/>
        <w:rPr>
          <w:rFonts w:ascii="Verdana" w:hAnsi="Verdana" w:cs="Arial"/>
          <w:bCs/>
          <w:lang w:eastAsia="x-none"/>
        </w:rPr>
      </w:pPr>
    </w:p>
    <w:p w14:paraId="0E508CEA" w14:textId="77777777" w:rsidR="00103317" w:rsidRDefault="00103317" w:rsidP="00103317">
      <w:pPr>
        <w:spacing w:after="0" w:line="276" w:lineRule="auto"/>
        <w:ind w:firstLine="709"/>
        <w:jc w:val="both"/>
        <w:rPr>
          <w:rFonts w:ascii="Verdana" w:eastAsia="Calibri" w:hAnsi="Verdana" w:cs="Arial"/>
          <w:color w:val="000000" w:themeColor="text1"/>
        </w:rPr>
      </w:pPr>
      <w:r>
        <w:rPr>
          <w:rFonts w:ascii="Verdana" w:eastAsia="Calibri" w:hAnsi="Verdana" w:cs="Arial"/>
          <w:lang w:val="es-ES"/>
        </w:rPr>
        <w:t>Ahora bien, f</w:t>
      </w:r>
      <w:r w:rsidRPr="00515C0B">
        <w:rPr>
          <w:rFonts w:ascii="Verdana" w:eastAsia="Calibri" w:hAnsi="Verdana" w:cs="Arial"/>
          <w:lang w:val="es-ES"/>
        </w:rPr>
        <w:t xml:space="preserve">rente al cuestionamiento planteado es necesario </w:t>
      </w:r>
      <w:r>
        <w:rPr>
          <w:rFonts w:ascii="Verdana" w:eastAsia="Calibri" w:hAnsi="Verdana" w:cs="Arial"/>
          <w:lang w:val="es-ES"/>
        </w:rPr>
        <w:t>señalar</w:t>
      </w:r>
      <w:r w:rsidRPr="00515C0B">
        <w:rPr>
          <w:rFonts w:ascii="Verdana" w:eastAsia="Calibri" w:hAnsi="Verdana" w:cs="Arial"/>
          <w:lang w:val="es-ES"/>
        </w:rPr>
        <w:t xml:space="preserve"> que dentro de la estructura de la Administración Pública se encuentran las entidades descentralizadas por servicios. A esta categoría pertenecen las Empresas Industriales y Comerciales del Estado, las cuales –sin perjuicio del control de tutela– tienen personería jurídica, autonomía administrativa y patrimonio propio. Estas entidades, como su nombre lo indica, se caracterizan por desarrollar actividades de carácter industrial o comercial.</w:t>
      </w:r>
      <w:r>
        <w:rPr>
          <w:rFonts w:ascii="Verdana" w:eastAsia="Calibri" w:hAnsi="Verdana" w:cs="Arial"/>
          <w:lang w:val="es-ES"/>
        </w:rPr>
        <w:t xml:space="preserve"> </w:t>
      </w:r>
      <w:r w:rsidRPr="008B2333">
        <w:rPr>
          <w:rFonts w:ascii="Verdana" w:eastAsia="Calibri" w:hAnsi="Verdana" w:cs="Arial"/>
          <w:color w:val="000000" w:themeColor="text1"/>
        </w:rPr>
        <w:t>Así, por ejemplo, son E</w:t>
      </w:r>
      <w:r>
        <w:rPr>
          <w:rFonts w:ascii="Verdana" w:eastAsia="Calibri" w:hAnsi="Verdana" w:cs="Arial"/>
          <w:color w:val="000000" w:themeColor="text1"/>
        </w:rPr>
        <w:t xml:space="preserve">mpresas </w:t>
      </w:r>
      <w:r w:rsidRPr="008B2333">
        <w:rPr>
          <w:rFonts w:ascii="Verdana" w:eastAsia="Calibri" w:hAnsi="Verdana" w:cs="Arial"/>
          <w:color w:val="000000" w:themeColor="text1"/>
        </w:rPr>
        <w:t>I</w:t>
      </w:r>
      <w:r>
        <w:rPr>
          <w:rFonts w:ascii="Verdana" w:eastAsia="Calibri" w:hAnsi="Verdana" w:cs="Arial"/>
          <w:color w:val="000000" w:themeColor="text1"/>
        </w:rPr>
        <w:t xml:space="preserve">ndustriales y </w:t>
      </w:r>
      <w:r w:rsidRPr="008B2333">
        <w:rPr>
          <w:rFonts w:ascii="Verdana" w:eastAsia="Calibri" w:hAnsi="Verdana" w:cs="Arial"/>
          <w:color w:val="000000" w:themeColor="text1"/>
        </w:rPr>
        <w:t>C</w:t>
      </w:r>
      <w:r>
        <w:rPr>
          <w:rFonts w:ascii="Verdana" w:eastAsia="Calibri" w:hAnsi="Verdana" w:cs="Arial"/>
          <w:color w:val="000000" w:themeColor="text1"/>
        </w:rPr>
        <w:t xml:space="preserve">omerciales del </w:t>
      </w:r>
      <w:r w:rsidRPr="008B2333">
        <w:rPr>
          <w:rFonts w:ascii="Verdana" w:eastAsia="Calibri" w:hAnsi="Verdana" w:cs="Arial"/>
          <w:color w:val="000000" w:themeColor="text1"/>
        </w:rPr>
        <w:t>E</w:t>
      </w:r>
      <w:r>
        <w:rPr>
          <w:rFonts w:ascii="Verdana" w:eastAsia="Calibri" w:hAnsi="Verdana" w:cs="Arial"/>
          <w:color w:val="000000" w:themeColor="text1"/>
        </w:rPr>
        <w:t>stado</w:t>
      </w:r>
      <w:r w:rsidRPr="008B2333">
        <w:rPr>
          <w:rFonts w:ascii="Verdana" w:eastAsia="Calibri" w:hAnsi="Verdana" w:cs="Arial"/>
          <w:color w:val="000000" w:themeColor="text1"/>
        </w:rPr>
        <w:t xml:space="preserve"> la Imprenta Nacional de Colombia, Coljuegos, Indumil, la Caja Promotora de Vivienda Militar y de Policía, Colpensiones, entre otras</w:t>
      </w:r>
      <w:r w:rsidRPr="008B2333">
        <w:rPr>
          <w:rFonts w:ascii="Verdana" w:hAnsi="Verdana"/>
          <w:vertAlign w:val="superscript"/>
        </w:rPr>
        <w:footnoteReference w:id="18"/>
      </w:r>
      <w:r w:rsidRPr="008B2333">
        <w:rPr>
          <w:rFonts w:ascii="Verdana" w:eastAsia="Calibri" w:hAnsi="Verdana" w:cs="Arial"/>
          <w:color w:val="000000" w:themeColor="text1"/>
        </w:rPr>
        <w:t>.</w:t>
      </w:r>
    </w:p>
    <w:p w14:paraId="433AA01C" w14:textId="77777777" w:rsidR="00103317" w:rsidRPr="001276FB" w:rsidRDefault="00103317" w:rsidP="00103317">
      <w:pPr>
        <w:spacing w:after="0" w:line="240" w:lineRule="auto"/>
        <w:ind w:firstLine="709"/>
        <w:jc w:val="both"/>
        <w:rPr>
          <w:rFonts w:ascii="Verdana" w:hAnsi="Verdana" w:cs="Arial"/>
          <w:bCs/>
          <w:lang w:eastAsia="x-none"/>
        </w:rPr>
      </w:pPr>
    </w:p>
    <w:p w14:paraId="3B1D275E" w14:textId="77777777" w:rsidR="00103317" w:rsidRDefault="00103317" w:rsidP="00103317">
      <w:pPr>
        <w:spacing w:after="0" w:line="276" w:lineRule="auto"/>
        <w:ind w:firstLine="708"/>
        <w:jc w:val="both"/>
        <w:rPr>
          <w:rFonts w:ascii="Verdana" w:eastAsia="Calibri" w:hAnsi="Verdana" w:cs="Arial"/>
          <w:lang w:val="es-ES"/>
        </w:rPr>
      </w:pPr>
      <w:r w:rsidRPr="00515C0B">
        <w:rPr>
          <w:rFonts w:ascii="Verdana" w:eastAsia="Calibri" w:hAnsi="Verdana" w:cs="Arial"/>
          <w:lang w:val="es-ES"/>
        </w:rPr>
        <w:t>Las Empresas Industriales y Comerciales del Estado, bajo la denominación de Entidades Estatales, quedaron sometidas al Estatuto General de Contratación de la Administración Pública –Ley 80 de 1993, artículo 2, numeral 1, literal a</w:t>
      </w:r>
      <w:r w:rsidRPr="00515C0B">
        <w:rPr>
          <w:rFonts w:ascii="Verdana" w:eastAsia="Calibri" w:hAnsi="Verdana" w:cs="Arial"/>
          <w:vertAlign w:val="superscript"/>
          <w:lang w:val="es-ES"/>
        </w:rPr>
        <w:footnoteReference w:id="19"/>
      </w:r>
      <w:r w:rsidRPr="00515C0B">
        <w:rPr>
          <w:rFonts w:ascii="Verdana" w:eastAsia="Calibri" w:hAnsi="Verdana" w:cs="Arial"/>
          <w:lang w:val="es-ES"/>
        </w:rPr>
        <w:t xml:space="preserve">. </w:t>
      </w:r>
      <w:r w:rsidRPr="00515C0B">
        <w:rPr>
          <w:rFonts w:ascii="Verdana" w:eastAsia="Calibri" w:hAnsi="Verdana" w:cs="Arial"/>
          <w:lang w:val="es-ES"/>
        </w:rPr>
        <w:lastRenderedPageBreak/>
        <w:t>Posteriormente, la Ley 489 de 1998, mediante el cual se regula la organización y funcionamiento de las entidades de orden nacional, en su artículo 93 estableció el régimen jurídico aplicable a los contratos celebrados por las Empresas Industriales y Comerciales del Estado, como sigue:</w:t>
      </w:r>
    </w:p>
    <w:p w14:paraId="687C08C7" w14:textId="77777777" w:rsidR="00103317" w:rsidRPr="00515C0B" w:rsidRDefault="00103317" w:rsidP="00CE0712">
      <w:pPr>
        <w:spacing w:after="0" w:line="240" w:lineRule="auto"/>
        <w:jc w:val="both"/>
        <w:rPr>
          <w:rFonts w:ascii="Verdana" w:eastAsia="Calibri" w:hAnsi="Verdana" w:cs="Arial"/>
          <w:lang w:val="es-ES"/>
        </w:rPr>
      </w:pPr>
    </w:p>
    <w:p w14:paraId="661F0316" w14:textId="47337F1E" w:rsidR="00103317" w:rsidRDefault="00103317" w:rsidP="00CE0712">
      <w:pPr>
        <w:spacing w:after="0" w:line="240" w:lineRule="auto"/>
        <w:ind w:left="709" w:right="709"/>
        <w:contextualSpacing/>
        <w:jc w:val="both"/>
        <w:rPr>
          <w:rFonts w:ascii="Verdana" w:eastAsia="Times New Roman" w:hAnsi="Verdana" w:cs="Arial"/>
          <w:sz w:val="20"/>
          <w:szCs w:val="20"/>
          <w:lang w:eastAsia="es-ES_tradnl"/>
        </w:rPr>
      </w:pPr>
      <w:r w:rsidRPr="73D21086">
        <w:rPr>
          <w:rFonts w:ascii="Verdana" w:eastAsia="Times New Roman" w:hAnsi="Verdana" w:cs="Arial"/>
          <w:sz w:val="20"/>
          <w:szCs w:val="20"/>
          <w:lang w:eastAsia="es-ES"/>
        </w:rPr>
        <w:t>“Artículo 93. Régimen de los actos y contratos. Los actos que expidan las empresas industriales y comerciales del Estado para el desarrollo de su actividad propia, industrial o comercial o de gestión económica se sujetarán a las disposiciones del Derecho Privado. Los contratos que celebren para el cumplimiento de su objeto se sujetarán a las disposiciones del Estatuto General de Contratación de las entidades estatales”.</w:t>
      </w:r>
    </w:p>
    <w:p w14:paraId="2FCEFDCF" w14:textId="77777777" w:rsidR="00CE0712" w:rsidRPr="00CE0712" w:rsidRDefault="00CE0712" w:rsidP="00CE0712">
      <w:pPr>
        <w:spacing w:after="0" w:line="240" w:lineRule="auto"/>
        <w:ind w:left="709" w:right="709"/>
        <w:contextualSpacing/>
        <w:jc w:val="both"/>
        <w:rPr>
          <w:rFonts w:ascii="Verdana" w:eastAsia="Times New Roman" w:hAnsi="Verdana" w:cs="Arial"/>
          <w:sz w:val="20"/>
          <w:szCs w:val="20"/>
          <w:lang w:eastAsia="es-ES_tradnl"/>
        </w:rPr>
      </w:pPr>
    </w:p>
    <w:p w14:paraId="4EC6496B" w14:textId="77777777" w:rsidR="00103317" w:rsidRDefault="00103317" w:rsidP="00103317">
      <w:pPr>
        <w:widowControl w:val="0"/>
        <w:autoSpaceDE w:val="0"/>
        <w:autoSpaceDN w:val="0"/>
        <w:spacing w:after="0" w:line="276" w:lineRule="auto"/>
        <w:ind w:firstLine="708"/>
        <w:jc w:val="both"/>
        <w:rPr>
          <w:rFonts w:ascii="Verdana" w:eastAsia="Verdana" w:hAnsi="Verdana" w:cs="Verdana"/>
          <w:lang w:val="es-ES"/>
        </w:rPr>
      </w:pPr>
      <w:bookmarkStart w:id="18" w:name="_bookmark7"/>
      <w:bookmarkEnd w:id="18"/>
      <w:r w:rsidRPr="00515C0B">
        <w:rPr>
          <w:rFonts w:ascii="Verdana" w:eastAsia="Verdana" w:hAnsi="Verdana" w:cs="Verdana"/>
          <w:lang w:val="es-ES"/>
        </w:rPr>
        <w:t>No obstante las dificultades hermenéuticas que suscitaba la disposición anterior,</w:t>
      </w:r>
      <w:r w:rsidRPr="00515C0B">
        <w:rPr>
          <w:rFonts w:ascii="Verdana" w:eastAsia="Verdana" w:hAnsi="Verdana" w:cs="Verdana"/>
          <w:spacing w:val="-8"/>
          <w:lang w:val="es-ES"/>
        </w:rPr>
        <w:t xml:space="preserve"> </w:t>
      </w:r>
      <w:r w:rsidRPr="00515C0B">
        <w:rPr>
          <w:rFonts w:ascii="Verdana" w:eastAsia="Verdana" w:hAnsi="Verdana" w:cs="Verdana"/>
          <w:lang w:val="es-ES"/>
        </w:rPr>
        <w:t>el</w:t>
      </w:r>
      <w:r w:rsidRPr="00515C0B">
        <w:rPr>
          <w:rFonts w:ascii="Verdana" w:eastAsia="Verdana" w:hAnsi="Verdana" w:cs="Verdana"/>
          <w:spacing w:val="-8"/>
          <w:lang w:val="es-ES"/>
        </w:rPr>
        <w:t xml:space="preserve"> </w:t>
      </w:r>
      <w:r w:rsidRPr="00515C0B">
        <w:rPr>
          <w:rFonts w:ascii="Verdana" w:eastAsia="Verdana" w:hAnsi="Verdana" w:cs="Verdana"/>
          <w:lang w:val="es-ES"/>
        </w:rPr>
        <w:t>artículo</w:t>
      </w:r>
      <w:r w:rsidRPr="00515C0B">
        <w:rPr>
          <w:rFonts w:ascii="Verdana" w:eastAsia="Verdana" w:hAnsi="Verdana" w:cs="Verdana"/>
          <w:spacing w:val="-7"/>
          <w:lang w:val="es-ES"/>
        </w:rPr>
        <w:t xml:space="preserve"> </w:t>
      </w:r>
      <w:r w:rsidRPr="00515C0B">
        <w:rPr>
          <w:rFonts w:ascii="Verdana" w:eastAsia="Verdana" w:hAnsi="Verdana" w:cs="Verdana"/>
          <w:lang w:val="es-ES"/>
        </w:rPr>
        <w:t>14</w:t>
      </w:r>
      <w:r w:rsidRPr="00515C0B">
        <w:rPr>
          <w:rFonts w:ascii="Verdana" w:eastAsia="Verdana" w:hAnsi="Verdana" w:cs="Verdana"/>
          <w:spacing w:val="-8"/>
          <w:lang w:val="es-ES"/>
        </w:rPr>
        <w:t xml:space="preserve"> </w:t>
      </w:r>
      <w:r w:rsidRPr="00515C0B">
        <w:rPr>
          <w:rFonts w:ascii="Verdana" w:eastAsia="Verdana" w:hAnsi="Verdana" w:cs="Verdana"/>
          <w:lang w:val="es-ES"/>
        </w:rPr>
        <w:t>de</w:t>
      </w:r>
      <w:r w:rsidRPr="00515C0B">
        <w:rPr>
          <w:rFonts w:ascii="Verdana" w:eastAsia="Verdana" w:hAnsi="Verdana" w:cs="Verdana"/>
          <w:spacing w:val="-9"/>
          <w:lang w:val="es-ES"/>
        </w:rPr>
        <w:t xml:space="preserve"> </w:t>
      </w:r>
      <w:r w:rsidRPr="00515C0B">
        <w:rPr>
          <w:rFonts w:ascii="Verdana" w:eastAsia="Verdana" w:hAnsi="Verdana" w:cs="Verdana"/>
          <w:lang w:val="es-ES"/>
        </w:rPr>
        <w:t>la</w:t>
      </w:r>
      <w:r w:rsidRPr="00515C0B">
        <w:rPr>
          <w:rFonts w:ascii="Verdana" w:eastAsia="Verdana" w:hAnsi="Verdana" w:cs="Verdana"/>
          <w:spacing w:val="-10"/>
          <w:lang w:val="es-ES"/>
        </w:rPr>
        <w:t xml:space="preserve"> </w:t>
      </w:r>
      <w:r w:rsidRPr="00515C0B">
        <w:rPr>
          <w:rFonts w:ascii="Verdana" w:eastAsia="Verdana" w:hAnsi="Verdana" w:cs="Verdana"/>
          <w:lang w:val="es-ES"/>
        </w:rPr>
        <w:t>Ley</w:t>
      </w:r>
      <w:r w:rsidRPr="00515C0B">
        <w:rPr>
          <w:rFonts w:ascii="Verdana" w:eastAsia="Verdana" w:hAnsi="Verdana" w:cs="Verdana"/>
          <w:spacing w:val="-8"/>
          <w:lang w:val="es-ES"/>
        </w:rPr>
        <w:t xml:space="preserve"> </w:t>
      </w:r>
      <w:r w:rsidRPr="00515C0B">
        <w:rPr>
          <w:rFonts w:ascii="Verdana" w:eastAsia="Verdana" w:hAnsi="Verdana" w:cs="Verdana"/>
          <w:lang w:val="es-ES"/>
        </w:rPr>
        <w:t>1150</w:t>
      </w:r>
      <w:r w:rsidRPr="00515C0B">
        <w:rPr>
          <w:rFonts w:ascii="Verdana" w:eastAsia="Verdana" w:hAnsi="Verdana" w:cs="Verdana"/>
          <w:spacing w:val="-8"/>
          <w:lang w:val="es-ES"/>
        </w:rPr>
        <w:t xml:space="preserve"> </w:t>
      </w:r>
      <w:r w:rsidRPr="00515C0B">
        <w:rPr>
          <w:rFonts w:ascii="Verdana" w:eastAsia="Verdana" w:hAnsi="Verdana" w:cs="Verdana"/>
          <w:lang w:val="es-ES"/>
        </w:rPr>
        <w:t>de</w:t>
      </w:r>
      <w:r w:rsidRPr="00515C0B">
        <w:rPr>
          <w:rFonts w:ascii="Verdana" w:eastAsia="Verdana" w:hAnsi="Verdana" w:cs="Verdana"/>
          <w:spacing w:val="-9"/>
          <w:lang w:val="es-ES"/>
        </w:rPr>
        <w:t xml:space="preserve"> </w:t>
      </w:r>
      <w:r w:rsidRPr="00515C0B">
        <w:rPr>
          <w:rFonts w:ascii="Verdana" w:eastAsia="Verdana" w:hAnsi="Verdana" w:cs="Verdana"/>
          <w:lang w:val="es-ES"/>
        </w:rPr>
        <w:t>2007 –modificado</w:t>
      </w:r>
      <w:r w:rsidRPr="00515C0B">
        <w:rPr>
          <w:rFonts w:ascii="Verdana" w:eastAsia="Verdana" w:hAnsi="Verdana" w:cs="Verdana"/>
          <w:spacing w:val="-7"/>
          <w:lang w:val="es-ES"/>
        </w:rPr>
        <w:t xml:space="preserve"> </w:t>
      </w:r>
      <w:r w:rsidRPr="00515C0B">
        <w:rPr>
          <w:rFonts w:ascii="Verdana" w:eastAsia="Verdana" w:hAnsi="Verdana" w:cs="Verdana"/>
          <w:lang w:val="es-ES"/>
        </w:rPr>
        <w:t>por</w:t>
      </w:r>
      <w:r w:rsidRPr="00515C0B">
        <w:rPr>
          <w:rFonts w:ascii="Verdana" w:eastAsia="Verdana" w:hAnsi="Verdana" w:cs="Verdana"/>
          <w:spacing w:val="-7"/>
          <w:lang w:val="es-ES"/>
        </w:rPr>
        <w:t xml:space="preserve"> </w:t>
      </w:r>
      <w:r w:rsidRPr="00515C0B">
        <w:rPr>
          <w:rFonts w:ascii="Verdana" w:eastAsia="Verdana" w:hAnsi="Verdana" w:cs="Verdana"/>
          <w:lang w:val="es-ES"/>
        </w:rPr>
        <w:t>el</w:t>
      </w:r>
      <w:r w:rsidRPr="00515C0B">
        <w:rPr>
          <w:rFonts w:ascii="Verdana" w:eastAsia="Verdana" w:hAnsi="Verdana" w:cs="Verdana"/>
          <w:spacing w:val="-8"/>
          <w:lang w:val="es-ES"/>
        </w:rPr>
        <w:t xml:space="preserve"> </w:t>
      </w:r>
      <w:r w:rsidRPr="00515C0B">
        <w:rPr>
          <w:rFonts w:ascii="Verdana" w:eastAsia="Verdana" w:hAnsi="Verdana" w:cs="Verdana"/>
          <w:lang w:val="es-ES"/>
        </w:rPr>
        <w:t>artículo</w:t>
      </w:r>
      <w:r w:rsidRPr="00515C0B">
        <w:rPr>
          <w:rFonts w:ascii="Verdana" w:eastAsia="Verdana" w:hAnsi="Verdana" w:cs="Verdana"/>
          <w:spacing w:val="-7"/>
          <w:lang w:val="es-ES"/>
        </w:rPr>
        <w:t xml:space="preserve"> </w:t>
      </w:r>
      <w:r w:rsidRPr="00515C0B">
        <w:rPr>
          <w:rFonts w:ascii="Verdana" w:eastAsia="Verdana" w:hAnsi="Verdana" w:cs="Verdana"/>
          <w:lang w:val="es-ES"/>
        </w:rPr>
        <w:t>93</w:t>
      </w:r>
      <w:r w:rsidRPr="00515C0B">
        <w:rPr>
          <w:rFonts w:ascii="Verdana" w:eastAsia="Verdana" w:hAnsi="Verdana" w:cs="Verdana"/>
          <w:spacing w:val="-12"/>
          <w:lang w:val="es-ES"/>
        </w:rPr>
        <w:t xml:space="preserve"> </w:t>
      </w:r>
      <w:r w:rsidRPr="00515C0B">
        <w:rPr>
          <w:rFonts w:ascii="Verdana" w:eastAsia="Verdana" w:hAnsi="Verdana" w:cs="Verdana"/>
          <w:lang w:val="es-ES"/>
        </w:rPr>
        <w:t>de la Ley 1474 de 2011– dispuso un régimen exceptivo de aplicación del derecho privado para la actividad contractual de las E</w:t>
      </w:r>
      <w:r>
        <w:rPr>
          <w:rFonts w:ascii="Verdana" w:eastAsia="Verdana" w:hAnsi="Verdana" w:cs="Verdana"/>
          <w:lang w:val="es-ES"/>
        </w:rPr>
        <w:t xml:space="preserve">mpresas </w:t>
      </w:r>
      <w:r w:rsidRPr="00515C0B">
        <w:rPr>
          <w:rFonts w:ascii="Verdana" w:eastAsia="Verdana" w:hAnsi="Verdana" w:cs="Verdana"/>
          <w:lang w:val="es-ES"/>
        </w:rPr>
        <w:t>I</w:t>
      </w:r>
      <w:r>
        <w:rPr>
          <w:rFonts w:ascii="Verdana" w:eastAsia="Verdana" w:hAnsi="Verdana" w:cs="Verdana"/>
          <w:lang w:val="es-ES"/>
        </w:rPr>
        <w:t xml:space="preserve">ndustriales y </w:t>
      </w:r>
      <w:r w:rsidRPr="00515C0B">
        <w:rPr>
          <w:rFonts w:ascii="Verdana" w:eastAsia="Verdana" w:hAnsi="Verdana" w:cs="Verdana"/>
          <w:lang w:val="es-ES"/>
        </w:rPr>
        <w:t>C</w:t>
      </w:r>
      <w:r>
        <w:rPr>
          <w:rFonts w:ascii="Verdana" w:eastAsia="Verdana" w:hAnsi="Verdana" w:cs="Verdana"/>
          <w:lang w:val="es-ES"/>
        </w:rPr>
        <w:t xml:space="preserve">omerciales del </w:t>
      </w:r>
      <w:r w:rsidRPr="00515C0B">
        <w:rPr>
          <w:rFonts w:ascii="Verdana" w:eastAsia="Verdana" w:hAnsi="Verdana" w:cs="Verdana"/>
          <w:lang w:val="es-ES"/>
        </w:rPr>
        <w:t>E</w:t>
      </w:r>
      <w:r>
        <w:rPr>
          <w:rFonts w:ascii="Verdana" w:eastAsia="Verdana" w:hAnsi="Verdana" w:cs="Verdana"/>
          <w:lang w:val="es-ES"/>
        </w:rPr>
        <w:t>stado</w:t>
      </w:r>
      <w:r w:rsidRPr="00515C0B">
        <w:rPr>
          <w:rFonts w:ascii="Verdana" w:eastAsia="Verdana" w:hAnsi="Verdana" w:cs="Verdana"/>
          <w:lang w:val="es-ES"/>
        </w:rPr>
        <w:t xml:space="preserve"> que ejercen su actividad en competencia</w:t>
      </w:r>
      <w:r w:rsidRPr="00515C0B">
        <w:rPr>
          <w:rFonts w:ascii="Verdana" w:eastAsia="Verdana" w:hAnsi="Verdana" w:cs="Verdana"/>
          <w:spacing w:val="-20"/>
          <w:lang w:val="es-ES"/>
        </w:rPr>
        <w:t xml:space="preserve"> </w:t>
      </w:r>
      <w:r w:rsidRPr="00515C0B">
        <w:rPr>
          <w:rFonts w:ascii="Verdana" w:eastAsia="Verdana" w:hAnsi="Verdana" w:cs="Verdana"/>
          <w:lang w:val="es-ES"/>
        </w:rPr>
        <w:t>con</w:t>
      </w:r>
      <w:r w:rsidRPr="00515C0B">
        <w:rPr>
          <w:rFonts w:ascii="Verdana" w:eastAsia="Verdana" w:hAnsi="Verdana" w:cs="Verdana"/>
          <w:spacing w:val="-19"/>
          <w:lang w:val="es-ES"/>
        </w:rPr>
        <w:t xml:space="preserve"> </w:t>
      </w:r>
      <w:r w:rsidRPr="00515C0B">
        <w:rPr>
          <w:rFonts w:ascii="Verdana" w:eastAsia="Verdana" w:hAnsi="Verdana" w:cs="Verdana"/>
          <w:lang w:val="es-ES"/>
        </w:rPr>
        <w:t>el</w:t>
      </w:r>
      <w:r w:rsidRPr="00515C0B">
        <w:rPr>
          <w:rFonts w:ascii="Verdana" w:eastAsia="Verdana" w:hAnsi="Verdana" w:cs="Verdana"/>
          <w:spacing w:val="-19"/>
          <w:lang w:val="es-ES"/>
        </w:rPr>
        <w:t xml:space="preserve"> </w:t>
      </w:r>
      <w:r w:rsidRPr="00515C0B">
        <w:rPr>
          <w:rFonts w:ascii="Verdana" w:eastAsia="Verdana" w:hAnsi="Verdana" w:cs="Verdana"/>
          <w:lang w:val="es-ES"/>
        </w:rPr>
        <w:t>sector</w:t>
      </w:r>
      <w:r w:rsidRPr="00515C0B">
        <w:rPr>
          <w:rFonts w:ascii="Verdana" w:eastAsia="Verdana" w:hAnsi="Verdana" w:cs="Verdana"/>
          <w:spacing w:val="-20"/>
          <w:lang w:val="es-ES"/>
        </w:rPr>
        <w:t xml:space="preserve"> </w:t>
      </w:r>
      <w:r w:rsidRPr="00515C0B">
        <w:rPr>
          <w:rFonts w:ascii="Verdana" w:eastAsia="Verdana" w:hAnsi="Verdana" w:cs="Verdana"/>
          <w:lang w:val="es-ES"/>
        </w:rPr>
        <w:t>público</w:t>
      </w:r>
      <w:r w:rsidRPr="00515C0B">
        <w:rPr>
          <w:rFonts w:ascii="Verdana" w:eastAsia="Verdana" w:hAnsi="Verdana" w:cs="Verdana"/>
          <w:spacing w:val="-19"/>
          <w:lang w:val="es-ES"/>
        </w:rPr>
        <w:t xml:space="preserve"> </w:t>
      </w:r>
      <w:r w:rsidRPr="00515C0B">
        <w:rPr>
          <w:rFonts w:ascii="Verdana" w:eastAsia="Verdana" w:hAnsi="Verdana" w:cs="Verdana"/>
          <w:lang w:val="es-ES"/>
        </w:rPr>
        <w:t>o</w:t>
      </w:r>
      <w:r w:rsidRPr="00515C0B">
        <w:rPr>
          <w:rFonts w:ascii="Verdana" w:eastAsia="Verdana" w:hAnsi="Verdana" w:cs="Verdana"/>
          <w:spacing w:val="-20"/>
          <w:lang w:val="es-ES"/>
        </w:rPr>
        <w:t xml:space="preserve"> </w:t>
      </w:r>
      <w:r w:rsidRPr="00515C0B">
        <w:rPr>
          <w:rFonts w:ascii="Verdana" w:eastAsia="Verdana" w:hAnsi="Verdana" w:cs="Verdana"/>
          <w:lang w:val="es-ES"/>
        </w:rPr>
        <w:t>privado,</w:t>
      </w:r>
      <w:r w:rsidRPr="00515C0B">
        <w:rPr>
          <w:rFonts w:ascii="Verdana" w:eastAsia="Verdana" w:hAnsi="Verdana" w:cs="Verdana"/>
          <w:spacing w:val="-19"/>
          <w:lang w:val="es-ES"/>
        </w:rPr>
        <w:t xml:space="preserve"> </w:t>
      </w:r>
      <w:r w:rsidRPr="00515C0B">
        <w:rPr>
          <w:rFonts w:ascii="Verdana" w:eastAsia="Verdana" w:hAnsi="Verdana" w:cs="Verdana"/>
          <w:lang w:val="es-ES"/>
        </w:rPr>
        <w:t>o</w:t>
      </w:r>
      <w:r w:rsidRPr="00515C0B">
        <w:rPr>
          <w:rFonts w:ascii="Verdana" w:eastAsia="Verdana" w:hAnsi="Verdana" w:cs="Verdana"/>
          <w:spacing w:val="-19"/>
          <w:lang w:val="es-ES"/>
        </w:rPr>
        <w:t xml:space="preserve"> </w:t>
      </w:r>
      <w:r w:rsidRPr="00515C0B">
        <w:rPr>
          <w:rFonts w:ascii="Verdana" w:eastAsia="Verdana" w:hAnsi="Verdana" w:cs="Verdana"/>
          <w:lang w:val="es-ES"/>
        </w:rPr>
        <w:t>en</w:t>
      </w:r>
      <w:r w:rsidRPr="00515C0B">
        <w:rPr>
          <w:rFonts w:ascii="Verdana" w:eastAsia="Verdana" w:hAnsi="Verdana" w:cs="Verdana"/>
          <w:spacing w:val="-20"/>
          <w:lang w:val="es-ES"/>
        </w:rPr>
        <w:t xml:space="preserve"> </w:t>
      </w:r>
      <w:r w:rsidRPr="00515C0B">
        <w:rPr>
          <w:rFonts w:ascii="Verdana" w:eastAsia="Verdana" w:hAnsi="Verdana" w:cs="Verdana"/>
          <w:lang w:val="es-ES"/>
        </w:rPr>
        <w:t>mercados</w:t>
      </w:r>
      <w:r w:rsidRPr="00515C0B">
        <w:rPr>
          <w:rFonts w:ascii="Verdana" w:eastAsia="Verdana" w:hAnsi="Verdana" w:cs="Verdana"/>
          <w:spacing w:val="-19"/>
          <w:lang w:val="es-ES"/>
        </w:rPr>
        <w:t xml:space="preserve"> </w:t>
      </w:r>
      <w:r w:rsidRPr="00515C0B">
        <w:rPr>
          <w:rFonts w:ascii="Verdana" w:eastAsia="Verdana" w:hAnsi="Verdana" w:cs="Verdana"/>
          <w:lang w:val="es-ES"/>
        </w:rPr>
        <w:t>regulados,</w:t>
      </w:r>
      <w:r w:rsidRPr="00515C0B">
        <w:rPr>
          <w:rFonts w:ascii="Verdana" w:eastAsia="Verdana" w:hAnsi="Verdana" w:cs="Verdana"/>
          <w:spacing w:val="-19"/>
          <w:lang w:val="es-ES"/>
        </w:rPr>
        <w:t xml:space="preserve"> </w:t>
      </w:r>
      <w:r w:rsidRPr="00515C0B">
        <w:rPr>
          <w:rFonts w:ascii="Verdana" w:eastAsia="Verdana" w:hAnsi="Verdana" w:cs="Verdana"/>
          <w:lang w:val="es-ES"/>
        </w:rPr>
        <w:t xml:space="preserve">quedando las otras </w:t>
      </w:r>
      <w:r>
        <w:rPr>
          <w:rFonts w:ascii="Verdana" w:eastAsia="Verdana" w:hAnsi="Verdana" w:cs="Verdana"/>
          <w:lang w:val="es-ES"/>
        </w:rPr>
        <w:t>empresas de esta índole</w:t>
      </w:r>
      <w:r w:rsidRPr="00515C0B">
        <w:rPr>
          <w:rFonts w:ascii="Verdana" w:eastAsia="Verdana" w:hAnsi="Verdana" w:cs="Verdana"/>
          <w:lang w:val="es-ES"/>
        </w:rPr>
        <w:t xml:space="preserve"> dentro del ámbito de aplicación del Estatuto General de Contratación de la Administración Pública</w:t>
      </w:r>
      <w:r w:rsidRPr="00515C0B">
        <w:rPr>
          <w:rFonts w:ascii="Verdana" w:eastAsia="Verdana" w:hAnsi="Verdana" w:cs="Verdana"/>
          <w:vertAlign w:val="superscript"/>
          <w:lang w:val="es-ES"/>
        </w:rPr>
        <w:footnoteReference w:id="20"/>
      </w:r>
      <w:r w:rsidRPr="00515C0B">
        <w:rPr>
          <w:rFonts w:ascii="Verdana" w:eastAsia="Verdana" w:hAnsi="Verdana" w:cs="Verdana"/>
          <w:lang w:val="es-ES"/>
        </w:rPr>
        <w:t>. Así, la norma</w:t>
      </w:r>
      <w:r w:rsidRPr="00515C0B">
        <w:rPr>
          <w:rFonts w:ascii="Verdana" w:eastAsia="Verdana" w:hAnsi="Verdana" w:cs="Verdana"/>
          <w:spacing w:val="-1"/>
          <w:lang w:val="es-ES"/>
        </w:rPr>
        <w:t xml:space="preserve"> </w:t>
      </w:r>
      <w:r w:rsidRPr="00515C0B">
        <w:rPr>
          <w:rFonts w:ascii="Verdana" w:eastAsia="Verdana" w:hAnsi="Verdana" w:cs="Verdana"/>
          <w:lang w:val="es-ES"/>
        </w:rPr>
        <w:t>vigente respecto a</w:t>
      </w:r>
      <w:r w:rsidRPr="00515C0B">
        <w:rPr>
          <w:rFonts w:ascii="Verdana" w:eastAsia="Verdana" w:hAnsi="Verdana" w:cs="Verdana"/>
          <w:spacing w:val="-1"/>
          <w:lang w:val="es-ES"/>
        </w:rPr>
        <w:t xml:space="preserve"> </w:t>
      </w:r>
      <w:r w:rsidRPr="00515C0B">
        <w:rPr>
          <w:rFonts w:ascii="Verdana" w:eastAsia="Verdana" w:hAnsi="Verdana" w:cs="Verdana"/>
          <w:lang w:val="es-ES"/>
        </w:rPr>
        <w:t>su régimen contractual establece:</w:t>
      </w:r>
    </w:p>
    <w:p w14:paraId="1886BE9E" w14:textId="37115641" w:rsidR="73D21086" w:rsidRDefault="73D21086" w:rsidP="00CE0712">
      <w:pPr>
        <w:widowControl w:val="0"/>
        <w:spacing w:after="0" w:line="240" w:lineRule="auto"/>
        <w:jc w:val="both"/>
        <w:rPr>
          <w:rFonts w:ascii="Verdana" w:eastAsia="Verdana" w:hAnsi="Verdana" w:cs="Verdana"/>
          <w:lang w:val="es-ES"/>
        </w:rPr>
      </w:pPr>
    </w:p>
    <w:p w14:paraId="74840EBE" w14:textId="77777777" w:rsidR="00103317" w:rsidRPr="00515C0B" w:rsidRDefault="00103317" w:rsidP="00103317">
      <w:pPr>
        <w:spacing w:after="0" w:line="240" w:lineRule="auto"/>
        <w:ind w:left="709" w:right="709"/>
        <w:contextualSpacing/>
        <w:jc w:val="both"/>
        <w:rPr>
          <w:rFonts w:ascii="Verdana" w:eastAsia="Times New Roman" w:hAnsi="Verdana" w:cs="Arial"/>
          <w:sz w:val="20"/>
          <w:szCs w:val="20"/>
          <w:lang w:eastAsia="es-ES"/>
        </w:rPr>
      </w:pPr>
      <w:r w:rsidRPr="73D21086">
        <w:rPr>
          <w:rFonts w:ascii="Verdana" w:eastAsia="Times New Roman" w:hAnsi="Verdana" w:cs="Arial"/>
          <w:sz w:val="20"/>
          <w:szCs w:val="20"/>
          <w:lang w:eastAsia="es-ES"/>
        </w:rPr>
        <w:t xml:space="preserve">“Artículo 14. Del régimen contractual de las empresas industriales y comerciales del estado, las sociedades de economía mixta, sus filiales y empresas con participación mayoritaria del estado. Las Empresas Industriales y Comerciales del Estado, las Sociedades de Economía Mixta en las que el Estado tenga participación superior al cincuenta por ciento </w:t>
      </w:r>
      <w:r w:rsidRPr="73D21086">
        <w:rPr>
          <w:rFonts w:ascii="Verdana" w:eastAsia="Times New Roman" w:hAnsi="Verdana" w:cs="Arial"/>
          <w:sz w:val="20"/>
          <w:szCs w:val="20"/>
          <w:lang w:eastAsia="es-ES"/>
        </w:rPr>
        <w:lastRenderedPageBreak/>
        <w:t>(50%), sus filiales y las Sociedades entre Entidades Públicas con participación mayoritaria del Estado superior al cincuenta por ciento (50%), estarán sometidas al Estatuto General de Contratación de la Administración Pública, con excepción de aquellas que desarrollen actividades comerciales en competencia con el sector privado y/o público, nacional o internacional o en mercados regulados, caso en el cual se regirán por las disposiciones legales y reglamentarias aplicables a sus actividades económicas y comerciales, sin perjuicio de lo previsto en el artículo 13 de la presente ley. Se exceptúan los contratos de ciencia y tecnología, que se regirán por la Ley 29 de 1990 y las disposiciones normativas existentes”</w:t>
      </w:r>
      <w:r w:rsidRPr="73D21086">
        <w:rPr>
          <w:rFonts w:ascii="Calibri" w:eastAsia="Times New Roman" w:hAnsi="Calibri" w:cs="Arial"/>
          <w:sz w:val="20"/>
          <w:szCs w:val="20"/>
          <w:vertAlign w:val="superscript"/>
          <w:lang w:eastAsia="es-ES"/>
        </w:rPr>
        <w:footnoteReference w:id="21"/>
      </w:r>
      <w:r w:rsidRPr="73D21086">
        <w:rPr>
          <w:rFonts w:ascii="Verdana" w:eastAsia="Times New Roman" w:hAnsi="Verdana" w:cs="Arial"/>
          <w:sz w:val="20"/>
          <w:szCs w:val="20"/>
          <w:lang w:eastAsia="es-ES"/>
        </w:rPr>
        <w:t>.</w:t>
      </w:r>
    </w:p>
    <w:p w14:paraId="093675D4" w14:textId="77777777" w:rsidR="00103317" w:rsidRPr="00515C0B" w:rsidRDefault="00103317" w:rsidP="00CE0712">
      <w:pPr>
        <w:spacing w:after="0"/>
        <w:ind w:right="709"/>
        <w:jc w:val="both"/>
        <w:rPr>
          <w:rFonts w:ascii="Verdana" w:eastAsia="Calibri" w:hAnsi="Verdana" w:cs="Times New Roman"/>
          <w:sz w:val="21"/>
          <w:szCs w:val="21"/>
        </w:rPr>
      </w:pPr>
    </w:p>
    <w:p w14:paraId="189CEDDF" w14:textId="575E3A1C" w:rsidR="00CE0712" w:rsidRPr="00CE0712" w:rsidRDefault="00103317" w:rsidP="00CE0712">
      <w:pPr>
        <w:spacing w:after="120" w:line="276" w:lineRule="auto"/>
        <w:ind w:firstLine="708"/>
        <w:jc w:val="both"/>
        <w:rPr>
          <w:rFonts w:ascii="Verdana" w:hAnsi="Verdana" w:cs="Arial"/>
          <w:bCs/>
          <w:color w:val="000000" w:themeColor="text1"/>
          <w:lang w:val="es-MX" w:eastAsia="x-none"/>
        </w:rPr>
      </w:pPr>
      <w:r w:rsidRPr="73D21086">
        <w:rPr>
          <w:rFonts w:ascii="Verdana" w:hAnsi="Verdana" w:cs="Arial"/>
          <w:color w:val="000000" w:themeColor="text1"/>
          <w:lang w:val="es-MX"/>
        </w:rPr>
        <w:t>Ahora bien, en relación con los destinatarios de las restricciones, el artículo 33 de la Ley 996 de 2005 los señala expresamente, en el sentido de que son “</w:t>
      </w:r>
      <w:r w:rsidRPr="73D21086">
        <w:rPr>
          <w:rFonts w:ascii="Verdana" w:hAnsi="Verdana" w:cs="Arial"/>
          <w:i/>
          <w:color w:val="000000" w:themeColor="text1"/>
          <w:lang w:val="es-MX"/>
        </w:rPr>
        <w:t>todos los entes del Estado</w:t>
      </w:r>
      <w:r w:rsidRPr="73D21086">
        <w:rPr>
          <w:rFonts w:ascii="Verdana" w:hAnsi="Verdana" w:cs="Arial"/>
          <w:color w:val="000000" w:themeColor="text1"/>
          <w:lang w:val="es-MX"/>
        </w:rPr>
        <w:t xml:space="preserve">”, expresión que contempla a los diferentes organismos o entidades autorizadas por la ley para suscribir contratos. En efecto, tal como lo ha sostenido el Consejo de Estado, el vocablo” todos” utilizado por el legislador comprende a la totalidad de los entes del Estado, sin distinción del régimen jurídico, forma de organización o naturaleza, su pertenencia a una u otra rama del poder público o su autonomía, e incluso si las entidades estatales tienen régimen especial de contratación y están exceptuadas del ámbito de aplicación del Estatuto General de Contratación de la Administración Pública. </w:t>
      </w:r>
    </w:p>
    <w:p w14:paraId="329C1545" w14:textId="54E8238E" w:rsidR="73D21086" w:rsidRDefault="00103317" w:rsidP="00CE0712">
      <w:pPr>
        <w:spacing w:after="120" w:line="276" w:lineRule="auto"/>
        <w:ind w:firstLine="708"/>
        <w:jc w:val="both"/>
        <w:rPr>
          <w:rFonts w:ascii="Verdana" w:hAnsi="Verdana" w:cs="Arial"/>
          <w:color w:val="000000" w:themeColor="text1"/>
          <w:lang w:val="es-MX"/>
        </w:rPr>
      </w:pPr>
      <w:r w:rsidRPr="73D21086">
        <w:rPr>
          <w:rFonts w:ascii="Verdana" w:hAnsi="Verdana" w:cs="Arial"/>
          <w:color w:val="000000" w:themeColor="text1"/>
          <w:lang w:val="es-MX"/>
        </w:rPr>
        <w:t>La Sala de Consulta y Servicio Civil del Consejo de Estado, en Concepto 1727 del 20 de febrero de 2006, consideró que el artículo 33 de la ley 996 de 2005, efectivamente se aplica incluso a las Entidades Estatales con régimen especial de contratación y que están exceptuadas del ámbito de aplicación del Estatuto General de Contratación de la Administración Pública, como por ejemplo “los prestadores de servicios públicos domiciliarios (empresas de servicios públicos oficiales y empresas industriales y comerciales del Estado) y a los municipios prestadores directos, incluyendo las excepciones contenidas en el segundo inciso de esta norma”</w:t>
      </w:r>
      <w:r w:rsidRPr="73D21086">
        <w:rPr>
          <w:rFonts w:ascii="Verdana" w:hAnsi="Verdana" w:cs="Arial"/>
          <w:color w:val="000000" w:themeColor="text1"/>
          <w:vertAlign w:val="superscript"/>
          <w:lang w:val="es-MX"/>
        </w:rPr>
        <w:footnoteReference w:id="22"/>
      </w:r>
      <w:r w:rsidRPr="73D21086">
        <w:rPr>
          <w:rFonts w:ascii="Verdana" w:hAnsi="Verdana" w:cs="Arial"/>
          <w:color w:val="000000" w:themeColor="text1"/>
          <w:lang w:val="es-MX"/>
        </w:rPr>
        <w:t xml:space="preserve">. </w:t>
      </w:r>
    </w:p>
    <w:p w14:paraId="46C260F6" w14:textId="68A8E130" w:rsidR="00103317" w:rsidRDefault="00103317" w:rsidP="00CE0712">
      <w:pPr>
        <w:spacing w:after="0" w:line="276" w:lineRule="auto"/>
        <w:ind w:firstLine="708"/>
        <w:jc w:val="both"/>
        <w:rPr>
          <w:rFonts w:ascii="Verdana" w:hAnsi="Verdana" w:cs="Arial"/>
          <w:color w:val="000000" w:themeColor="text1"/>
          <w:lang w:val="es-MX"/>
        </w:rPr>
      </w:pPr>
      <w:r w:rsidRPr="73D21086">
        <w:rPr>
          <w:rFonts w:ascii="Verdana" w:hAnsi="Verdana" w:cs="Arial"/>
          <w:color w:val="000000" w:themeColor="text1"/>
          <w:lang w:val="es-MX"/>
        </w:rPr>
        <w:lastRenderedPageBreak/>
        <w:t>De igual forma, en Concepto con radicado 1738 del 6 de abril de 2006, esa misma Corporación manifestó que “Las restricciones de la Ley de Garantías en materia de contratación directa y celebración de convenios interadministrativos, se aplican a las empresas industriales y comerciales del Estado y a las Sociedades de Economía Mixta, salvo cuando la celebración de un convenio interadministrativo sea ordenada, para ambas partes, por el Legislador”</w:t>
      </w:r>
      <w:r w:rsidRPr="00CE0D82">
        <w:rPr>
          <w:rFonts w:ascii="Verdana" w:hAnsi="Verdana" w:cs="Arial"/>
          <w:color w:val="000000" w:themeColor="text1"/>
          <w:vertAlign w:val="superscript"/>
          <w:lang w:val="es-MX"/>
        </w:rPr>
        <w:footnoteReference w:id="23"/>
      </w:r>
      <w:r w:rsidRPr="73D21086">
        <w:rPr>
          <w:rFonts w:ascii="Verdana" w:hAnsi="Verdana" w:cs="Arial"/>
          <w:color w:val="000000" w:themeColor="text1"/>
          <w:lang w:val="es-MX"/>
        </w:rPr>
        <w:t>.</w:t>
      </w:r>
      <w:r w:rsidRPr="00CE0D82">
        <w:rPr>
          <w:rFonts w:ascii="Verdana" w:hAnsi="Verdana" w:cs="Arial"/>
          <w:color w:val="000000" w:themeColor="text1"/>
          <w:lang w:val="es-MX"/>
        </w:rPr>
        <w:t xml:space="preserve"> Además, la Sala de Consulta y Servicio Civil del Consejo de Estado realizó la siguiente distinción, retomando el pronunciamiento de la misma sala del 20 de febrero de 2006, citado anteriormente:</w:t>
      </w:r>
    </w:p>
    <w:p w14:paraId="2AB058AA" w14:textId="77777777" w:rsidR="00CE0712" w:rsidRPr="00CE0D82" w:rsidRDefault="00CE0712" w:rsidP="00CE0712">
      <w:pPr>
        <w:spacing w:after="0" w:line="240" w:lineRule="auto"/>
        <w:ind w:firstLine="709"/>
        <w:jc w:val="both"/>
        <w:rPr>
          <w:rFonts w:ascii="Verdana" w:hAnsi="Verdana" w:cs="Arial"/>
          <w:color w:val="000000" w:themeColor="text1"/>
          <w:lang w:val="es-MX"/>
        </w:rPr>
      </w:pPr>
    </w:p>
    <w:p w14:paraId="2A0E8C6B" w14:textId="77777777" w:rsidR="00103317" w:rsidRDefault="00103317" w:rsidP="00103317">
      <w:pPr>
        <w:spacing w:after="0" w:line="240" w:lineRule="auto"/>
        <w:ind w:left="709" w:right="709"/>
        <w:jc w:val="both"/>
        <w:rPr>
          <w:rFonts w:ascii="Verdana" w:hAnsi="Verdana" w:cs="Arial"/>
          <w:color w:val="000000" w:themeColor="text1"/>
          <w:sz w:val="20"/>
          <w:szCs w:val="20"/>
          <w:lang w:val="es-MX"/>
        </w:rPr>
      </w:pPr>
      <w:r w:rsidRPr="005800D0">
        <w:rPr>
          <w:rFonts w:ascii="Verdana" w:hAnsi="Verdana" w:cs="Arial"/>
          <w:color w:val="000000" w:themeColor="text1"/>
          <w:sz w:val="20"/>
          <w:szCs w:val="20"/>
          <w:lang w:val="es-MX"/>
        </w:rPr>
        <w:t>“</w:t>
      </w:r>
      <w:r>
        <w:rPr>
          <w:rFonts w:ascii="Verdana" w:hAnsi="Verdana" w:cs="Arial"/>
          <w:color w:val="000000" w:themeColor="text1"/>
          <w:sz w:val="20"/>
          <w:szCs w:val="20"/>
          <w:lang w:val="es-MX"/>
        </w:rPr>
        <w:t>(…)</w:t>
      </w:r>
      <w:r w:rsidRPr="005800D0">
        <w:rPr>
          <w:rFonts w:ascii="Verdana" w:hAnsi="Verdana" w:cs="Arial"/>
          <w:color w:val="000000" w:themeColor="text1"/>
          <w:sz w:val="20"/>
          <w:szCs w:val="20"/>
          <w:lang w:val="es-MX"/>
        </w:rPr>
        <w:t xml:space="preserve"> En el concepto No. 1727 de fecha 20 de febrero de 2006, ésta Sala distinguió dos clases de contratos en relación con las empresas de servicios públicos domiciliarios: unos, en los que la posición de la empresa es la de consumidora de las prestaciones objeto del contrato, que utiliza para la prestación de los servicios a su cargo, y los otros, en los que la empresa entrega esos servicios a los usuarios, conforme a unas reglas uniformes para todos ellos y sin que haya privilegios o tratos desiguales. En los primeros contratos, es claro que la empresa debe adquirir esos bienes previa licitación pública, según se expuso anteriormente, pero en el segundo caso, las empresas no pueden dejar de entregar los servicios públicos a su cargo a nuevas personas, ni dejar de renovar los contratos existentes, pues significaría la parálisis de una actividad propia de la administración, que incluso podría desconocer los derechos fundamentales.</w:t>
      </w:r>
    </w:p>
    <w:p w14:paraId="0B2DB08D" w14:textId="77777777" w:rsidR="00103317" w:rsidRPr="005800D0" w:rsidRDefault="00103317" w:rsidP="00103317">
      <w:pPr>
        <w:spacing w:after="0" w:line="240" w:lineRule="auto"/>
        <w:ind w:left="709" w:right="709"/>
        <w:jc w:val="both"/>
        <w:rPr>
          <w:rFonts w:ascii="Verdana" w:hAnsi="Verdana" w:cs="Arial"/>
          <w:color w:val="000000" w:themeColor="text1"/>
          <w:sz w:val="20"/>
          <w:szCs w:val="20"/>
          <w:lang w:val="es-MX"/>
        </w:rPr>
      </w:pPr>
    </w:p>
    <w:p w14:paraId="72DAD63B" w14:textId="77777777" w:rsidR="00103317" w:rsidRPr="005800D0" w:rsidRDefault="00103317" w:rsidP="00103317">
      <w:pPr>
        <w:spacing w:after="0" w:line="240" w:lineRule="auto"/>
        <w:ind w:left="709" w:right="709"/>
        <w:jc w:val="both"/>
        <w:rPr>
          <w:rFonts w:ascii="Verdana" w:hAnsi="Verdana" w:cs="Arial"/>
          <w:color w:val="000000" w:themeColor="text1"/>
          <w:sz w:val="20"/>
          <w:szCs w:val="20"/>
          <w:lang w:val="es-MX"/>
        </w:rPr>
      </w:pPr>
      <w:r w:rsidRPr="005800D0">
        <w:rPr>
          <w:rFonts w:ascii="Verdana" w:hAnsi="Verdana" w:cs="Arial"/>
          <w:color w:val="000000" w:themeColor="text1"/>
          <w:sz w:val="20"/>
          <w:szCs w:val="20"/>
          <w:lang w:val="es-MX"/>
        </w:rPr>
        <w:t>Aplicando este razonamiento a los establecimientos de crédito, a las sociedades de servicios financieros y a las entidades aseguradoras, encontramos que no pueden adquirir los suministros de bienes y servicios necesarios para la realización de su actividad por contratación directa sino por el mecanismo de la licitación pública, pero es obvio que si una de éstas entidades va a prestar un servicio financiero o de seguros a un particular, lo puede hacer, pues éstos se ofrecen a toda la comunidad en condiciones de igualdad. Si se supusiera que está prohibida su contratación directa, significaría la parálisis de tal actividad de interés público, lo que de ninguna manera es lo querido por la ley 996 de 2005</w:t>
      </w:r>
      <w:r>
        <w:rPr>
          <w:rFonts w:ascii="Verdana" w:hAnsi="Verdana" w:cs="Arial"/>
          <w:color w:val="000000" w:themeColor="text1"/>
          <w:sz w:val="20"/>
          <w:szCs w:val="20"/>
          <w:lang w:val="es-MX"/>
        </w:rPr>
        <w:t>”</w:t>
      </w:r>
      <w:r w:rsidRPr="005800D0">
        <w:rPr>
          <w:rFonts w:ascii="Verdana" w:hAnsi="Verdana" w:cs="Arial"/>
          <w:color w:val="000000" w:themeColor="text1"/>
          <w:sz w:val="20"/>
          <w:szCs w:val="20"/>
          <w:vertAlign w:val="superscript"/>
          <w:lang w:val="es-MX"/>
        </w:rPr>
        <w:footnoteReference w:id="24"/>
      </w:r>
      <w:r w:rsidRPr="005800D0">
        <w:rPr>
          <w:rFonts w:ascii="Verdana" w:hAnsi="Verdana" w:cs="Arial"/>
          <w:color w:val="000000" w:themeColor="text1"/>
          <w:sz w:val="20"/>
          <w:szCs w:val="20"/>
          <w:lang w:val="es-MX" w:eastAsia="x-none"/>
        </w:rPr>
        <w:t>.</w:t>
      </w:r>
    </w:p>
    <w:p w14:paraId="50597A70" w14:textId="77777777" w:rsidR="00103317" w:rsidRDefault="00103317" w:rsidP="00103317">
      <w:pPr>
        <w:spacing w:after="0" w:line="276" w:lineRule="auto"/>
        <w:ind w:firstLine="709"/>
        <w:jc w:val="both"/>
        <w:rPr>
          <w:rFonts w:ascii="Verdana" w:hAnsi="Verdana" w:cs="Arial"/>
          <w:color w:val="000000" w:themeColor="text1"/>
          <w:lang w:val="es-MX"/>
        </w:rPr>
      </w:pPr>
    </w:p>
    <w:p w14:paraId="47A0E28D" w14:textId="54DA8418" w:rsidR="73D21086" w:rsidRDefault="00103317" w:rsidP="00CE0712">
      <w:pPr>
        <w:spacing w:after="120" w:line="276" w:lineRule="auto"/>
        <w:ind w:firstLine="709"/>
        <w:jc w:val="both"/>
        <w:rPr>
          <w:rFonts w:ascii="Verdana" w:hAnsi="Verdana" w:cs="Arial"/>
          <w:color w:val="000000" w:themeColor="text1"/>
          <w:lang w:eastAsia="es-CO"/>
        </w:rPr>
      </w:pPr>
      <w:r w:rsidRPr="00195E24">
        <w:rPr>
          <w:rFonts w:ascii="Verdana" w:hAnsi="Verdana" w:cs="Arial"/>
          <w:color w:val="000000" w:themeColor="text1"/>
          <w:lang w:val="es-MX"/>
        </w:rPr>
        <w:lastRenderedPageBreak/>
        <w:t>De acuerdo con estos pronunciamientos de la Sala de Consulta y Servicio Civil del Consejo de Estado, la prohibición de la contratación directa también aplica frente a las entidades exceptuadas del E</w:t>
      </w:r>
      <w:r>
        <w:rPr>
          <w:rFonts w:ascii="Verdana" w:hAnsi="Verdana" w:cs="Arial"/>
          <w:color w:val="000000" w:themeColor="text1"/>
          <w:lang w:val="es-MX"/>
        </w:rPr>
        <w:t xml:space="preserve">statuto </w:t>
      </w:r>
      <w:r w:rsidRPr="00195E24">
        <w:rPr>
          <w:rFonts w:ascii="Verdana" w:hAnsi="Verdana" w:cs="Arial"/>
          <w:color w:val="000000" w:themeColor="text1"/>
          <w:lang w:val="es-MX"/>
        </w:rPr>
        <w:t>G</w:t>
      </w:r>
      <w:r>
        <w:rPr>
          <w:rFonts w:ascii="Verdana" w:hAnsi="Verdana" w:cs="Arial"/>
          <w:color w:val="000000" w:themeColor="text1"/>
          <w:lang w:val="es-MX"/>
        </w:rPr>
        <w:t xml:space="preserve">eneral de </w:t>
      </w:r>
      <w:r w:rsidRPr="00195E24">
        <w:rPr>
          <w:rFonts w:ascii="Verdana" w:hAnsi="Verdana" w:cs="Arial"/>
          <w:color w:val="000000" w:themeColor="text1"/>
          <w:lang w:val="es-MX"/>
        </w:rPr>
        <w:t>C</w:t>
      </w:r>
      <w:r>
        <w:rPr>
          <w:rFonts w:ascii="Verdana" w:hAnsi="Verdana" w:cs="Arial"/>
          <w:color w:val="000000" w:themeColor="text1"/>
          <w:lang w:val="es-MX"/>
        </w:rPr>
        <w:t xml:space="preserve">ontratación de la </w:t>
      </w:r>
      <w:r w:rsidRPr="00195E24">
        <w:rPr>
          <w:rFonts w:ascii="Verdana" w:hAnsi="Verdana" w:cs="Arial"/>
          <w:color w:val="000000" w:themeColor="text1"/>
          <w:lang w:val="es-MX"/>
        </w:rPr>
        <w:t>A</w:t>
      </w:r>
      <w:r>
        <w:rPr>
          <w:rFonts w:ascii="Verdana" w:hAnsi="Verdana" w:cs="Arial"/>
          <w:color w:val="000000" w:themeColor="text1"/>
          <w:lang w:val="es-MX"/>
        </w:rPr>
        <w:t xml:space="preserve">dministración </w:t>
      </w:r>
      <w:r w:rsidRPr="00195E24">
        <w:rPr>
          <w:rFonts w:ascii="Verdana" w:hAnsi="Verdana" w:cs="Arial"/>
          <w:color w:val="000000" w:themeColor="text1"/>
          <w:lang w:val="es-MX"/>
        </w:rPr>
        <w:t>P</w:t>
      </w:r>
      <w:r>
        <w:rPr>
          <w:rFonts w:ascii="Verdana" w:hAnsi="Verdana" w:cs="Arial"/>
          <w:color w:val="000000" w:themeColor="text1"/>
          <w:lang w:val="es-MX"/>
        </w:rPr>
        <w:t>ública</w:t>
      </w:r>
      <w:r w:rsidRPr="00195E24">
        <w:rPr>
          <w:rFonts w:ascii="Verdana" w:hAnsi="Verdana" w:cs="Arial"/>
          <w:color w:val="000000" w:themeColor="text1"/>
          <w:lang w:val="es-MX"/>
        </w:rPr>
        <w:t xml:space="preserve"> y que se rigen en materia contractual por el derecho privado. Sin embargo, señaló que algunas de estas entidades, como sucede con las empresas de servicios públicos domiciliarios, los </w:t>
      </w:r>
      <w:r w:rsidRPr="73D21086">
        <w:rPr>
          <w:rFonts w:ascii="Verdana" w:hAnsi="Verdana" w:cs="Arial"/>
          <w:color w:val="000000" w:themeColor="text1"/>
          <w:lang w:val="es-MX"/>
        </w:rPr>
        <w:t>establecimientos de crédito, las sociedades de servicios financieros y las entidades aseguradoras</w:t>
      </w:r>
      <w:r w:rsidRPr="00195E24">
        <w:rPr>
          <w:rFonts w:ascii="Verdana" w:hAnsi="Verdana" w:cs="Arial"/>
          <w:color w:val="000000" w:themeColor="text1"/>
          <w:lang w:val="es-MX"/>
        </w:rPr>
        <w:t xml:space="preserve"> no pueden adquirir los suministros de bienes y servicios necesarios para la realización de su actividad por contratación directa, sino por mecanismos competitivos que impliquen convocatoria pública y la posibilidad de la existencia de pluralidad de oferentes, pero indicó que en estos casos “Las empresas no pueden dejar de entregar los servicios públicos a su cargo a nuevas personas, ni dejar de renovar los contratos existentes, pues significaría la parálisis de una actividad propia de la administración, que incluso podría desconocer los derechos fundamentales”</w:t>
      </w:r>
      <w:r w:rsidRPr="00195E24">
        <w:rPr>
          <w:rFonts w:ascii="Verdana" w:hAnsi="Verdana" w:cs="Arial"/>
          <w:color w:val="000000" w:themeColor="text1"/>
          <w:vertAlign w:val="superscript"/>
          <w:lang w:val="es-MX"/>
        </w:rPr>
        <w:footnoteReference w:id="25"/>
      </w:r>
      <w:r w:rsidRPr="00195E24">
        <w:rPr>
          <w:rFonts w:ascii="Verdana" w:hAnsi="Verdana" w:cs="Arial"/>
          <w:color w:val="000000" w:themeColor="text1"/>
          <w:lang w:val="es-MX"/>
        </w:rPr>
        <w:t>.</w:t>
      </w:r>
      <w:r w:rsidRPr="00195E24">
        <w:rPr>
          <w:rFonts w:ascii="Verdana" w:hAnsi="Verdana" w:cs="Arial"/>
          <w:color w:val="000000" w:themeColor="text1"/>
          <w:lang w:eastAsia="es-CO"/>
        </w:rPr>
        <w:t xml:space="preserve"> </w:t>
      </w:r>
    </w:p>
    <w:p w14:paraId="05693A8C" w14:textId="77777777" w:rsidR="00103317" w:rsidRPr="00195E24" w:rsidRDefault="00103317" w:rsidP="00103317">
      <w:pPr>
        <w:spacing w:after="120" w:line="276" w:lineRule="auto"/>
        <w:ind w:firstLine="709"/>
        <w:jc w:val="both"/>
        <w:rPr>
          <w:rFonts w:ascii="Verdana" w:hAnsi="Verdana" w:cs="Arial"/>
          <w:color w:val="000000" w:themeColor="text1"/>
          <w:lang w:eastAsia="es-CO"/>
        </w:rPr>
      </w:pPr>
      <w:r w:rsidRPr="00CE0D82">
        <w:rPr>
          <w:rFonts w:ascii="Verdana" w:hAnsi="Verdana" w:cs="Arial"/>
          <w:color w:val="000000" w:themeColor="text1"/>
          <w:lang w:eastAsia="es-CO"/>
        </w:rPr>
        <w:t>Sin perjuicio de estos pronunciamientos de la Sala de Consulta y Servicio Civil</w:t>
      </w:r>
      <w:r w:rsidRPr="00CE0D82">
        <w:rPr>
          <w:rFonts w:ascii="Verdana" w:hAnsi="Verdana" w:cs="Arial"/>
          <w:color w:val="000000" w:themeColor="text1"/>
          <w:lang w:val="es-MX"/>
        </w:rPr>
        <w:t xml:space="preserve">, como la ha señalado esa misma Corporación, la restricción prevista en la Ley 996 de 2005 </w:t>
      </w:r>
      <w:r w:rsidRPr="00CE0D82">
        <w:rPr>
          <w:rFonts w:ascii="Verdana" w:hAnsi="Verdana" w:cs="Arial"/>
          <w:bCs/>
          <w:color w:val="000000" w:themeColor="text1"/>
          <w:lang w:val="es-MX" w:eastAsia="x-none"/>
        </w:rPr>
        <w:t xml:space="preserve">cobija a cualquier entidad pública independiente del régimen jurídico, que pueda mediante la contratación directa romper el equilibrio entre los candidatos en desarrollo de las elecciones presidenciales. </w:t>
      </w:r>
      <w:r>
        <w:rPr>
          <w:rFonts w:ascii="Verdana" w:hAnsi="Verdana" w:cs="Arial"/>
          <w:color w:val="000000" w:themeColor="text1"/>
          <w:lang w:eastAsia="es-CO"/>
        </w:rPr>
        <w:t xml:space="preserve">En este sentido, respecto a su consulta, es pertinente señalar que las empresas industriales y comerciales del Estado en vigencia de la Ley de Garantías Electorales no podrán hacer contrataciones bajo la modalidad de contratación directa, </w:t>
      </w:r>
      <w:r w:rsidRPr="00195E24">
        <w:rPr>
          <w:rFonts w:ascii="Verdana" w:hAnsi="Verdana" w:cs="Arial"/>
          <w:color w:val="000000" w:themeColor="text1"/>
          <w:lang w:val="es-MX"/>
        </w:rPr>
        <w:t>sino por mecanismos competitivos que impliquen convocatoria pública y la posibilidad de la existencia de pluralidad de oferentes</w:t>
      </w:r>
      <w:r>
        <w:rPr>
          <w:rFonts w:ascii="Verdana" w:hAnsi="Verdana" w:cs="Arial"/>
          <w:color w:val="000000" w:themeColor="text1"/>
          <w:lang w:val="es-MX"/>
        </w:rPr>
        <w:t xml:space="preserve">. </w:t>
      </w:r>
    </w:p>
    <w:p w14:paraId="373A549B" w14:textId="5E0A75D7" w:rsidR="73D21086" w:rsidRPr="00CE0712" w:rsidRDefault="00103317" w:rsidP="00CE0712">
      <w:pPr>
        <w:spacing w:line="276" w:lineRule="auto"/>
        <w:ind w:firstLine="709"/>
        <w:jc w:val="both"/>
        <w:rPr>
          <w:rFonts w:ascii="Verdana" w:hAnsi="Verdana" w:cs="Arial"/>
          <w:bCs/>
          <w:color w:val="000000" w:themeColor="text1"/>
          <w:lang w:val="es-MX" w:eastAsia="x-none"/>
        </w:rPr>
      </w:pPr>
      <w:r w:rsidRPr="73D21086">
        <w:rPr>
          <w:rFonts w:ascii="Verdana" w:hAnsi="Verdana" w:cs="Arial"/>
          <w:color w:val="000000" w:themeColor="text1"/>
          <w:lang w:val="es-MX"/>
        </w:rPr>
        <w:t xml:space="preserve">Tampoco existe un supuesto de exoneración a la prohibición por tener un régimen especial de los actos o contratos, pues, la posibilidad de que los entes del Estado utilicen la contratación con fines políticos, esto es, con la intención de influir a los electores y alterar la voluntad popular en las contiendas electorales, puede presentarse tanto en la contratación regulada por la Ley 80 de 1993 como en la regida por normas especiales. </w:t>
      </w:r>
    </w:p>
    <w:p w14:paraId="2C7AAAD4" w14:textId="77777777" w:rsidR="00103317" w:rsidRPr="00062EAD" w:rsidRDefault="00103317" w:rsidP="00103317">
      <w:pPr>
        <w:widowControl w:val="0"/>
        <w:autoSpaceDE w:val="0"/>
        <w:autoSpaceDN w:val="0"/>
        <w:spacing w:after="120" w:line="276" w:lineRule="auto"/>
        <w:ind w:firstLine="709"/>
        <w:jc w:val="both"/>
        <w:rPr>
          <w:rFonts w:ascii="Verdana" w:eastAsia="Times New Roman" w:hAnsi="Verdana" w:cs="Arial"/>
          <w:bCs/>
          <w:lang w:val="es-ES" w:eastAsia="es-CO" w:bidi="es-ES"/>
        </w:rPr>
      </w:pPr>
      <w:r w:rsidRPr="00E36918">
        <w:rPr>
          <w:rFonts w:ascii="Verdana" w:eastAsia="Times New Roman" w:hAnsi="Verdana" w:cs="Arial"/>
          <w:bCs/>
          <w:lang w:val="es-ES" w:eastAsia="es-CO" w:bidi="es-ES"/>
        </w:rPr>
        <w:t xml:space="preserve">Ahora bien, las entidades públicas, de acuerdo con el inciso final del artículo 33 de la Ley 996 de 2005 –Ley de Garantías Electorales–, y previo análisis de la naturaleza de las actividades que adelantan, podrán realizar procedimientos de selección directa en períodos previos a la contienda electoral por la Presidencia, cuando el contrato a celebrar se enmarquen dentro de </w:t>
      </w:r>
      <w:r w:rsidRPr="00E36918">
        <w:rPr>
          <w:rFonts w:ascii="Verdana" w:eastAsia="Times New Roman" w:hAnsi="Verdana" w:cs="Arial"/>
          <w:bCs/>
          <w:lang w:val="es-ES" w:eastAsia="es-CO" w:bidi="es-ES"/>
        </w:rPr>
        <w:lastRenderedPageBreak/>
        <w:t xml:space="preserve">algunas de las excepciones consagradas en dicha disposición, esto es: i) la defensa y seguridad del Estado; ii) los contratos de crédito público; iii) los requeridos para cubrir las emergencias educativas, sanitarias y desastres; iv) los utilizados para la reconstrucción de vías, puentes, carreteras, infraestructura energética y de comunicaciones, en caso de que hayan sido objeto de atentados, acciones terroristas, desastres naturales o casos de fuerza mayor; y, v) los que deban realizar las entidades sanitarias y hospitalarias. En todo caso, </w:t>
      </w:r>
      <w:r w:rsidRPr="00E36918">
        <w:rPr>
          <w:rFonts w:ascii="Verdana" w:hAnsi="Verdana" w:cs="Arial"/>
          <w:bCs/>
          <w:lang w:eastAsia="x-none"/>
        </w:rPr>
        <w:t xml:space="preserve">se aclara que, la planeación, los estudios técnicos, jurídicos y económicos, que debe preceder la celebración de cada contrato, y que determinan su viabilidad desde tales perspectivas, son asuntos que competen a las entidades estatales que adelantan los procesos de contratación respectivos, con el apoyo de sus funcionarios y órganos asesores.   </w:t>
      </w:r>
      <w:r w:rsidRPr="00E36918">
        <w:rPr>
          <w:rFonts w:ascii="Verdana" w:eastAsia="Times New Roman" w:hAnsi="Verdana" w:cs="Arial"/>
          <w:bCs/>
          <w:lang w:val="es-ES" w:eastAsia="es-CO" w:bidi="es-ES"/>
        </w:rPr>
        <w:t xml:space="preserve"> </w:t>
      </w:r>
    </w:p>
    <w:p w14:paraId="78F851DE" w14:textId="77777777" w:rsidR="00103317" w:rsidRDefault="00103317" w:rsidP="00103317">
      <w:pPr>
        <w:tabs>
          <w:tab w:val="left" w:pos="142"/>
          <w:tab w:val="left" w:pos="284"/>
          <w:tab w:val="left" w:pos="3828"/>
        </w:tabs>
        <w:spacing w:after="0" w:line="240" w:lineRule="auto"/>
        <w:rPr>
          <w:rFonts w:ascii="Verdana" w:eastAsia="Century Gothic" w:hAnsi="Verdana" w:cs="Century Gothic"/>
          <w:b/>
          <w:bCs/>
        </w:rPr>
      </w:pPr>
      <w:bookmarkStart w:id="21" w:name="_Hlk204854194"/>
      <w:r w:rsidRPr="005644FE">
        <w:rPr>
          <w:rFonts w:ascii="Verdana" w:eastAsia="Century Gothic" w:hAnsi="Verdana" w:cs="Century Gothic"/>
          <w:b/>
          <w:bCs/>
        </w:rPr>
        <w:t>4. Referencias normativas</w:t>
      </w:r>
      <w:r>
        <w:rPr>
          <w:rFonts w:ascii="Verdana" w:eastAsia="Century Gothic" w:hAnsi="Verdana" w:cs="Century Gothic"/>
          <w:b/>
          <w:bCs/>
        </w:rPr>
        <w:t xml:space="preserve"> y jurisprudenciales</w:t>
      </w:r>
      <w:r w:rsidRPr="005644FE">
        <w:rPr>
          <w:rFonts w:ascii="Verdana" w:eastAsia="Century Gothic" w:hAnsi="Verdana" w:cs="Century Gothic"/>
          <w:b/>
          <w:bCs/>
        </w:rPr>
        <w:t>:</w:t>
      </w:r>
      <w:bookmarkEnd w:id="21"/>
    </w:p>
    <w:p w14:paraId="69699D18" w14:textId="77777777" w:rsidR="00103317" w:rsidRPr="005644FE" w:rsidRDefault="00103317" w:rsidP="00103317">
      <w:pPr>
        <w:tabs>
          <w:tab w:val="left" w:pos="142"/>
          <w:tab w:val="left" w:pos="284"/>
          <w:tab w:val="left" w:pos="3828"/>
        </w:tabs>
        <w:spacing w:after="0" w:line="240" w:lineRule="auto"/>
        <w:rPr>
          <w:rFonts w:ascii="Verdana" w:eastAsia="Century Gothic" w:hAnsi="Verdana" w:cs="Century Gothic"/>
          <w:b/>
          <w:bCs/>
        </w:rPr>
      </w:pPr>
    </w:p>
    <w:tbl>
      <w:tblPr>
        <w:tblStyle w:val="TableGrid"/>
        <w:tblW w:w="864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647"/>
      </w:tblGrid>
      <w:tr w:rsidR="00103317" w:rsidRPr="005644FE" w14:paraId="1C65FE39" w14:textId="77777777" w:rsidTr="009979FD">
        <w:trPr>
          <w:trHeight w:val="56"/>
          <w:jc w:val="center"/>
        </w:trPr>
        <w:tc>
          <w:tcPr>
            <w:tcW w:w="8647" w:type="dxa"/>
          </w:tcPr>
          <w:p w14:paraId="13BC8DD8"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Pr>
                <w:rFonts w:ascii="Verdana" w:eastAsia="Aptos" w:hAnsi="Verdana" w:cs="Arial"/>
              </w:rPr>
              <w:t xml:space="preserve">Constitución Política. Artículo 127. </w:t>
            </w:r>
          </w:p>
          <w:p w14:paraId="439A4F11"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Pr>
                <w:rFonts w:ascii="Verdana" w:eastAsia="Aptos" w:hAnsi="Verdana" w:cs="Arial"/>
              </w:rPr>
              <w:t>Ley 996 de 2005. Artículo 33.</w:t>
            </w:r>
          </w:p>
          <w:p w14:paraId="11D8107A"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Pr>
                <w:rFonts w:ascii="Verdana" w:eastAsia="Aptos" w:hAnsi="Verdana" w:cs="Arial"/>
              </w:rPr>
              <w:t xml:space="preserve">Ley 1150 de 2007. Artículo 2, 14. </w:t>
            </w:r>
          </w:p>
          <w:p w14:paraId="28FCCEDF"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Pr>
                <w:rFonts w:ascii="Verdana" w:eastAsia="Aptos" w:hAnsi="Verdana" w:cs="Arial"/>
              </w:rPr>
              <w:t xml:space="preserve">Ley 489 de 1998. Artículo 93. </w:t>
            </w:r>
          </w:p>
          <w:p w14:paraId="0598FD7C" w14:textId="77777777" w:rsidR="00103317" w:rsidRPr="00462044" w:rsidRDefault="00103317" w:rsidP="00103317">
            <w:pPr>
              <w:pStyle w:val="ListParagraph"/>
              <w:numPr>
                <w:ilvl w:val="0"/>
                <w:numId w:val="17"/>
              </w:numPr>
              <w:spacing w:after="120" w:line="276" w:lineRule="auto"/>
              <w:ind w:left="714" w:hanging="357"/>
              <w:jc w:val="both"/>
              <w:rPr>
                <w:rFonts w:ascii="Verdana" w:eastAsia="Aptos" w:hAnsi="Verdana" w:cs="Arial"/>
              </w:rPr>
            </w:pPr>
            <w:r>
              <w:rPr>
                <w:rFonts w:ascii="Verdana" w:eastAsia="Aptos" w:hAnsi="Verdana" w:cs="Arial"/>
              </w:rPr>
              <w:t>Ley 1474 de 2011. Artículo 93</w:t>
            </w:r>
          </w:p>
          <w:p w14:paraId="59412190"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sidRPr="00266133">
              <w:rPr>
                <w:rFonts w:ascii="Verdana" w:eastAsia="Aptos" w:hAnsi="Verdana" w:cs="Arial"/>
              </w:rPr>
              <w:t xml:space="preserve">Consejo de Estado. Sala de lo Contencioso Administrativo. Sección Primera. Sentencia de 3 de marzo de 2005. Radicado: 25001-23-15-000-2004-00823-01 (PI). C.P: Camilo Arciniegas Andrade. </w:t>
            </w:r>
          </w:p>
          <w:p w14:paraId="32B16EE6"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sidRPr="00266133">
              <w:rPr>
                <w:rFonts w:ascii="Verdana" w:eastAsia="Aptos" w:hAnsi="Verdana" w:cs="Arial"/>
              </w:rPr>
              <w:t>Consejo de Estado, Sala de Consulta y Servicio Civil. 24 de julio de 2013. Radicado: 11001-03-06-000-2013-00407-00 (2166). C.P</w:t>
            </w:r>
            <w:r>
              <w:rPr>
                <w:rFonts w:ascii="Verdana" w:eastAsia="Aptos" w:hAnsi="Verdana" w:cs="Arial"/>
              </w:rPr>
              <w:t>:</w:t>
            </w:r>
            <w:r w:rsidRPr="00266133">
              <w:rPr>
                <w:rFonts w:ascii="Verdana" w:eastAsia="Aptos" w:hAnsi="Verdana" w:cs="Arial"/>
              </w:rPr>
              <w:t xml:space="preserve"> Álvaro Namén Vargas.  </w:t>
            </w:r>
          </w:p>
          <w:p w14:paraId="5BF8425F"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sidRPr="00266133">
              <w:rPr>
                <w:rFonts w:ascii="Verdana" w:eastAsia="Aptos" w:hAnsi="Verdana" w:cs="Arial"/>
              </w:rPr>
              <w:t>Consejo de Estado. Sala de Consulta y Servicio Civil. Concepto del 17 de febrero de 2015. Radicado: 11001-03-06-000-2015-00164-00 (2269). C.P. William Zambrano Cetina.</w:t>
            </w:r>
          </w:p>
          <w:p w14:paraId="5E172807"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sidRPr="00266133">
              <w:rPr>
                <w:rFonts w:ascii="Verdana" w:eastAsia="Aptos" w:hAnsi="Verdana" w:cs="Arial"/>
              </w:rPr>
              <w:t>Consejo de Estado. Sala de Consulta y Servicio Civil. Concepto del 2 de septiembre de 2013. Radicación número: 11001-03-06-000-2013-00412-00 (2168). C.P: Álvaro Namén Vargas.</w:t>
            </w:r>
          </w:p>
          <w:p w14:paraId="39677580"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sidRPr="00462044">
              <w:rPr>
                <w:rFonts w:ascii="Verdana" w:eastAsia="Aptos" w:hAnsi="Verdana" w:cs="Arial"/>
              </w:rPr>
              <w:t>Consejo de Estado. Sala de Consulta y Servicio Civil, Concepto de 8 de mayo de 2018. Radicación Número: 11001-03-06-000-2018-00095-00 (2382). C.P: Álvaro Namén Vargas.</w:t>
            </w:r>
          </w:p>
          <w:p w14:paraId="51138AFD"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sidRPr="00462044">
              <w:rPr>
                <w:rFonts w:ascii="Verdana" w:eastAsia="Aptos" w:hAnsi="Verdana" w:cs="Arial"/>
              </w:rPr>
              <w:t>Consejo de Estado. Sala de Consulta y Servicio Civil. Concepto de 20 de febrero de 2006. Radicación Número: 11001-03-06-000-2006-00026-00 (1727). C.P: Enrique José Arboleda Perdomo.</w:t>
            </w:r>
          </w:p>
          <w:p w14:paraId="75C7DD6E"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sidRPr="00462044">
              <w:rPr>
                <w:rFonts w:ascii="Verdana" w:eastAsia="Aptos" w:hAnsi="Verdana" w:cs="Arial"/>
              </w:rPr>
              <w:lastRenderedPageBreak/>
              <w:t>Consejo de Estado. Sala de Consulta y Servicio Civil. Concepto de 6 de abril de 2006. Radicación Número: 11001-03-06-000-2006-00038-00 (1738). C.P: Enrique José Arboleda Perdomo</w:t>
            </w:r>
            <w:r>
              <w:rPr>
                <w:rFonts w:ascii="Verdana" w:eastAsia="Aptos" w:hAnsi="Verdana" w:cs="Arial"/>
              </w:rPr>
              <w:t>.</w:t>
            </w:r>
          </w:p>
          <w:p w14:paraId="0F86B6C8" w14:textId="77777777" w:rsidR="00103317" w:rsidRPr="00FD3CA5" w:rsidRDefault="00103317" w:rsidP="00103317">
            <w:pPr>
              <w:pStyle w:val="ListParagraph"/>
              <w:numPr>
                <w:ilvl w:val="0"/>
                <w:numId w:val="17"/>
              </w:numPr>
              <w:spacing w:after="120" w:line="276" w:lineRule="auto"/>
              <w:ind w:left="714" w:hanging="357"/>
              <w:jc w:val="both"/>
              <w:rPr>
                <w:rFonts w:ascii="Verdana" w:eastAsia="Aptos" w:hAnsi="Verdana" w:cs="Arial"/>
              </w:rPr>
            </w:pPr>
            <w:r w:rsidRPr="00FD3CA5">
              <w:rPr>
                <w:rFonts w:ascii="Verdana" w:eastAsia="Aptos" w:hAnsi="Verdana" w:cs="Arial"/>
              </w:rPr>
              <w:t>Corte Constitucional. Sentencia C- 1153 de 2005, M.P: Marco Gerardo Monroy Cabra.</w:t>
            </w:r>
          </w:p>
          <w:p w14:paraId="3E1EC6D6"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sidRPr="00FD3CA5">
              <w:rPr>
                <w:rFonts w:ascii="Verdana" w:eastAsia="Aptos" w:hAnsi="Verdana" w:cs="Arial"/>
              </w:rPr>
              <w:t>Corte Constitucional. Sentencia C-233 de 4 de abril de 2002. M.P: Álvaro Tafur Galvis</w:t>
            </w:r>
            <w:r>
              <w:rPr>
                <w:rFonts w:ascii="Verdana" w:eastAsia="Aptos" w:hAnsi="Verdana" w:cs="Arial"/>
              </w:rPr>
              <w:t>.</w:t>
            </w:r>
          </w:p>
          <w:p w14:paraId="3DBED1B7"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sidRPr="00FD3CA5">
              <w:rPr>
                <w:rFonts w:ascii="Verdana" w:eastAsia="Aptos" w:hAnsi="Verdana" w:cs="Arial"/>
              </w:rPr>
              <w:t>Corte Constitucional. Sentencia C-551 de 9 de julio de 2003. M.P: Eduardo Montealegre Lynnet</w:t>
            </w:r>
            <w:r>
              <w:rPr>
                <w:rFonts w:ascii="Verdana" w:eastAsia="Aptos" w:hAnsi="Verdana" w:cs="Arial"/>
              </w:rPr>
              <w:t>.</w:t>
            </w:r>
          </w:p>
          <w:p w14:paraId="5C802861" w14:textId="77777777" w:rsidR="00103317" w:rsidRDefault="00103317" w:rsidP="00103317">
            <w:pPr>
              <w:pStyle w:val="ListParagraph"/>
              <w:numPr>
                <w:ilvl w:val="0"/>
                <w:numId w:val="17"/>
              </w:numPr>
              <w:spacing w:after="120" w:line="276" w:lineRule="auto"/>
              <w:ind w:left="714" w:hanging="357"/>
              <w:jc w:val="both"/>
              <w:rPr>
                <w:rFonts w:ascii="Verdana" w:eastAsia="Aptos" w:hAnsi="Verdana" w:cs="Arial"/>
              </w:rPr>
            </w:pPr>
            <w:r w:rsidRPr="00FD3CA5">
              <w:rPr>
                <w:rFonts w:ascii="Verdana" w:eastAsia="Aptos" w:hAnsi="Verdana" w:cs="Arial"/>
              </w:rPr>
              <w:t>Corte Constitucional. Sentencia C-353 de 20 de mayo de 2009. M.P: Jorge Iván Palacio Palacio</w:t>
            </w:r>
            <w:r>
              <w:rPr>
                <w:rFonts w:ascii="Verdana" w:eastAsia="Aptos" w:hAnsi="Verdana" w:cs="Arial"/>
              </w:rPr>
              <w:t>.</w:t>
            </w:r>
          </w:p>
          <w:p w14:paraId="3B99F558" w14:textId="77777777" w:rsidR="00103317" w:rsidRPr="00462044" w:rsidRDefault="00103317" w:rsidP="00103317">
            <w:pPr>
              <w:pStyle w:val="ListParagraph"/>
              <w:numPr>
                <w:ilvl w:val="0"/>
                <w:numId w:val="17"/>
              </w:numPr>
              <w:spacing w:after="120" w:line="276" w:lineRule="auto"/>
              <w:ind w:left="714" w:hanging="357"/>
              <w:jc w:val="both"/>
              <w:rPr>
                <w:rFonts w:ascii="Verdana" w:eastAsia="Aptos" w:hAnsi="Verdana" w:cs="Arial"/>
              </w:rPr>
            </w:pPr>
            <w:r w:rsidRPr="00FD3CA5">
              <w:rPr>
                <w:rFonts w:ascii="Verdana" w:eastAsia="Aptos" w:hAnsi="Verdana" w:cs="Arial"/>
              </w:rPr>
              <w:t>Corte Constitucional. Sentencia C-541 de 30 de junio de 2010. M.P: Gabriel Eduardo Mendoza Martelo.</w:t>
            </w:r>
          </w:p>
        </w:tc>
      </w:tr>
    </w:tbl>
    <w:p w14:paraId="0FD68E9A" w14:textId="77777777" w:rsidR="00103317" w:rsidRDefault="00103317" w:rsidP="00103317">
      <w:pPr>
        <w:tabs>
          <w:tab w:val="left" w:pos="142"/>
          <w:tab w:val="left" w:pos="284"/>
          <w:tab w:val="left" w:pos="3828"/>
        </w:tabs>
        <w:spacing w:after="0" w:line="276" w:lineRule="auto"/>
        <w:jc w:val="both"/>
        <w:rPr>
          <w:rFonts w:ascii="Verdana" w:eastAsia="Century Gothic" w:hAnsi="Verdana" w:cs="Century Gothic"/>
          <w:b/>
          <w:bCs/>
        </w:rPr>
      </w:pPr>
    </w:p>
    <w:p w14:paraId="35295EC5" w14:textId="77777777" w:rsidR="00103317" w:rsidRPr="005644FE" w:rsidRDefault="00103317" w:rsidP="00103317">
      <w:pPr>
        <w:tabs>
          <w:tab w:val="left" w:pos="142"/>
          <w:tab w:val="left" w:pos="284"/>
          <w:tab w:val="left" w:pos="3828"/>
        </w:tabs>
        <w:spacing w:after="0" w:line="276" w:lineRule="auto"/>
        <w:jc w:val="both"/>
        <w:rPr>
          <w:rFonts w:ascii="Verdana" w:eastAsia="Century Gothic" w:hAnsi="Verdana" w:cs="Century Gothic"/>
          <w:b/>
          <w:bCs/>
        </w:rPr>
      </w:pPr>
      <w:r w:rsidRPr="005644FE">
        <w:rPr>
          <w:rFonts w:ascii="Verdana" w:eastAsia="Century Gothic" w:hAnsi="Verdana" w:cs="Century Gothic"/>
          <w:b/>
          <w:bCs/>
        </w:rPr>
        <w:t>5. Doctrina de la Agencia Nacional de Contratación Pública:</w:t>
      </w:r>
    </w:p>
    <w:p w14:paraId="0F258795" w14:textId="77777777" w:rsidR="00103317" w:rsidRPr="005644FE" w:rsidRDefault="00103317" w:rsidP="00103317">
      <w:pPr>
        <w:widowControl w:val="0"/>
        <w:tabs>
          <w:tab w:val="left" w:pos="3828"/>
        </w:tabs>
        <w:autoSpaceDE w:val="0"/>
        <w:autoSpaceDN w:val="0"/>
        <w:spacing w:after="0" w:line="240" w:lineRule="auto"/>
        <w:jc w:val="both"/>
        <w:rPr>
          <w:rFonts w:ascii="Verdana" w:hAnsi="Verdana" w:cs="Arial"/>
          <w:shd w:val="clear" w:color="auto" w:fill="FFFFFF"/>
        </w:rPr>
      </w:pPr>
    </w:p>
    <w:p w14:paraId="2DCF14B4" w14:textId="77777777" w:rsidR="00103317" w:rsidRPr="00C27319" w:rsidRDefault="00103317" w:rsidP="00103317">
      <w:pPr>
        <w:widowControl w:val="0"/>
        <w:autoSpaceDE w:val="0"/>
        <w:autoSpaceDN w:val="0"/>
        <w:spacing w:after="0" w:line="276" w:lineRule="auto"/>
        <w:jc w:val="both"/>
        <w:rPr>
          <w:rFonts w:ascii="Verdana" w:hAnsi="Verdana" w:cs="Arial"/>
          <w:shd w:val="clear" w:color="auto" w:fill="FFFFFF"/>
          <w:lang w:val="es-ES"/>
        </w:rPr>
      </w:pPr>
      <w:r w:rsidRPr="00301140">
        <w:rPr>
          <w:rStyle w:val="normaltextrun"/>
          <w:rFonts w:ascii="Verdana" w:hAnsi="Verdana" w:cs="Arial"/>
          <w:shd w:val="clear" w:color="auto" w:fill="FFFFFF"/>
          <w:lang w:val="es-ES"/>
        </w:rPr>
        <w:t xml:space="preserve">Esta Subdirección se ha pronunciado sobre </w:t>
      </w:r>
      <w:r w:rsidRPr="00AB70DD">
        <w:rPr>
          <w:rFonts w:ascii="Verdana" w:hAnsi="Verdana" w:cs="Arial"/>
          <w:shd w:val="clear" w:color="auto" w:fill="FFFFFF"/>
          <w:lang w:val="es-ES"/>
        </w:rPr>
        <w:t>la finalidad y propósito de la Ley de Garantías Electorales, en los</w:t>
      </w:r>
      <w:r>
        <w:rPr>
          <w:rFonts w:ascii="Verdana" w:hAnsi="Verdana" w:cs="Arial"/>
          <w:shd w:val="clear" w:color="auto" w:fill="FFFFFF"/>
          <w:lang w:val="es-ES"/>
        </w:rPr>
        <w:t xml:space="preserve"> c</w:t>
      </w:r>
      <w:r w:rsidRPr="00AB70DD">
        <w:rPr>
          <w:rFonts w:ascii="Verdana" w:hAnsi="Verdana" w:cs="Arial"/>
          <w:shd w:val="clear" w:color="auto" w:fill="FFFFFF"/>
          <w:lang w:val="es-ES"/>
        </w:rPr>
        <w:t>onceptos C-227 del 24 de mayo de 2021</w:t>
      </w:r>
      <w:r>
        <w:rPr>
          <w:rFonts w:ascii="Verdana" w:hAnsi="Verdana" w:cs="Arial"/>
          <w:shd w:val="clear" w:color="auto" w:fill="FFFFFF"/>
          <w:lang w:val="es-ES"/>
        </w:rPr>
        <w:t>, C-</w:t>
      </w:r>
      <w:r w:rsidRPr="00AB70DD">
        <w:rPr>
          <w:rFonts w:ascii="Verdana" w:hAnsi="Verdana" w:cs="Arial"/>
          <w:shd w:val="clear" w:color="auto" w:fill="FFFFFF"/>
          <w:lang w:val="es-ES"/>
        </w:rPr>
        <w:t>396 del 13 de agosto de 2021, C-439 del 27 de agosto de 2021, C-481 del 9 de septiembre de 2021, C-528 del 27 de septiembre de 2021, C-550 del 5 de octubre de 2021</w:t>
      </w:r>
      <w:r>
        <w:rPr>
          <w:rFonts w:ascii="Verdana" w:hAnsi="Verdana" w:cs="Arial"/>
          <w:shd w:val="clear" w:color="auto" w:fill="FFFFFF"/>
          <w:lang w:val="es-ES"/>
        </w:rPr>
        <w:t xml:space="preserve">, </w:t>
      </w:r>
      <w:r w:rsidRPr="00AB70DD">
        <w:rPr>
          <w:rFonts w:ascii="Verdana" w:hAnsi="Verdana" w:cs="Arial"/>
          <w:shd w:val="clear" w:color="auto" w:fill="FFFFFF"/>
          <w:lang w:val="es-ES"/>
        </w:rPr>
        <w:t>C-523 del 10 de octubre de 2021, C-606 del 28 de octubre de 2021</w:t>
      </w:r>
      <w:r>
        <w:rPr>
          <w:rFonts w:ascii="Verdana" w:hAnsi="Verdana" w:cs="Arial"/>
          <w:shd w:val="clear" w:color="auto" w:fill="FFFFFF"/>
          <w:lang w:val="es-ES"/>
        </w:rPr>
        <w:t>,</w:t>
      </w:r>
      <w:r w:rsidRPr="00AB70DD">
        <w:rPr>
          <w:rFonts w:ascii="Verdana" w:hAnsi="Verdana" w:cs="Arial"/>
          <w:shd w:val="clear" w:color="auto" w:fill="FFFFFF"/>
          <w:lang w:val="es-ES"/>
        </w:rPr>
        <w:t xml:space="preserve"> C-614 del 2 de noviembre de 2021, </w:t>
      </w:r>
      <w:r>
        <w:rPr>
          <w:rFonts w:ascii="Verdana" w:hAnsi="Verdana" w:cs="Arial"/>
          <w:shd w:val="clear" w:color="auto" w:fill="FFFFFF"/>
          <w:lang w:val="es-ES"/>
        </w:rPr>
        <w:t xml:space="preserve">C-634 del 11 de noviembre de 2021, </w:t>
      </w:r>
      <w:r w:rsidRPr="00AB70DD">
        <w:rPr>
          <w:rFonts w:ascii="Verdana" w:hAnsi="Verdana" w:cs="Arial"/>
          <w:shd w:val="clear" w:color="auto" w:fill="FFFFFF"/>
          <w:lang w:val="es-ES"/>
        </w:rPr>
        <w:t xml:space="preserve">C-636 del 16 de noviembre de 2021, </w:t>
      </w:r>
      <w:r>
        <w:rPr>
          <w:rFonts w:ascii="Verdana" w:hAnsi="Verdana" w:cs="Arial"/>
          <w:shd w:val="clear" w:color="auto" w:fill="FFFFFF"/>
          <w:lang w:val="es-ES"/>
        </w:rPr>
        <w:t>C-</w:t>
      </w:r>
      <w:r w:rsidRPr="00AB70DD">
        <w:rPr>
          <w:rFonts w:ascii="Verdana" w:hAnsi="Verdana" w:cs="Arial"/>
          <w:shd w:val="clear" w:color="auto" w:fill="FFFFFF"/>
          <w:lang w:val="es-ES"/>
        </w:rPr>
        <w:t xml:space="preserve">681 del 7 de diciembre de 2021, C-686 del 21 de diciembre de 2021, </w:t>
      </w:r>
      <w:r>
        <w:rPr>
          <w:rFonts w:ascii="Verdana" w:hAnsi="Verdana" w:cs="Arial"/>
          <w:shd w:val="clear" w:color="auto" w:fill="FFFFFF"/>
          <w:lang w:val="es-ES"/>
        </w:rPr>
        <w:t xml:space="preserve">C-054 del 22 de marzo de 2022, C-179 del 8 de abril de 2022, C-099 del 22 de marzo de 2022, C-161 del 17 de mayo de 2022, C-696 del 11 de julio de 2025, C-868 del 12 de agosto de 2025, C- 955 del 15 de agosto de 2025, C-1430 del 12 de noviembre de </w:t>
      </w:r>
      <w:r w:rsidRPr="00421B05">
        <w:rPr>
          <w:rFonts w:ascii="Verdana" w:hAnsi="Verdana" w:cs="Arial"/>
          <w:shd w:val="clear" w:color="auto" w:fill="FFFFFF"/>
          <w:lang w:val="es-ES"/>
        </w:rPr>
        <w:t>2025</w:t>
      </w:r>
      <w:r>
        <w:rPr>
          <w:rFonts w:ascii="Verdana" w:hAnsi="Verdana" w:cs="Arial"/>
          <w:shd w:val="clear" w:color="auto" w:fill="FFFFFF"/>
          <w:lang w:val="es-ES"/>
        </w:rPr>
        <w:t>, entre otros</w:t>
      </w:r>
      <w:r w:rsidRPr="00421B05">
        <w:rPr>
          <w:rFonts w:ascii="Verdana" w:hAnsi="Verdana" w:cs="Arial"/>
          <w:shd w:val="clear" w:color="auto" w:fill="FFFFFF"/>
          <w:lang w:val="es-ES"/>
        </w:rPr>
        <w:t>.</w:t>
      </w:r>
      <w:r w:rsidRPr="00421B05">
        <w:rPr>
          <w:rStyle w:val="normaltextrun"/>
          <w:rFonts w:ascii="Verdana" w:hAnsi="Verdana" w:cs="Arial"/>
          <w:shd w:val="clear" w:color="auto" w:fill="FFFFFF"/>
          <w:lang w:val="es-ES"/>
        </w:rPr>
        <w:t xml:space="preserve"> </w:t>
      </w:r>
      <w:r w:rsidRPr="00421B05">
        <w:rPr>
          <w:rFonts w:ascii="Verdana" w:hAnsi="Verdana" w:cs="Arial"/>
        </w:rPr>
        <w:t>Estos y otros</w:t>
      </w:r>
      <w:r w:rsidRPr="001715C8">
        <w:rPr>
          <w:rFonts w:ascii="Verdana" w:hAnsi="Verdana" w:cs="Arial"/>
        </w:rPr>
        <w:t xml:space="preserve"> </w:t>
      </w:r>
      <w:r w:rsidRPr="001715C8">
        <w:rPr>
          <w:rFonts w:ascii="Verdana" w:hAnsi="Verdana"/>
        </w:rPr>
        <w:t>conceptos se encuentran disponibles para consulta en el Sistema de relatoría de la Agencia, al cual se puede acceder a través del siguiente enlace:</w:t>
      </w:r>
      <w:r w:rsidRPr="001715C8">
        <w:rPr>
          <w:rFonts w:ascii="Verdana" w:hAnsi="Verdana" w:cs="Arial"/>
          <w:shd w:val="clear" w:color="auto" w:fill="FFFFFF"/>
        </w:rPr>
        <w:t xml:space="preserve"> </w:t>
      </w:r>
      <w:hyperlink r:id="rId11" w:history="1">
        <w:r w:rsidRPr="001715C8">
          <w:rPr>
            <w:rStyle w:val="Hyperlink"/>
            <w:rFonts w:ascii="Verdana" w:hAnsi="Verdana" w:cs="Arial"/>
            <w:shd w:val="clear" w:color="auto" w:fill="FFFFFF"/>
          </w:rPr>
          <w:t>https://relatoria.colombiacompra.gov.co/busqueda/conceptos</w:t>
        </w:r>
      </w:hyperlink>
      <w:r w:rsidRPr="001715C8">
        <w:rPr>
          <w:rFonts w:ascii="Verdana" w:hAnsi="Verdana" w:cs="Arial"/>
          <w:shd w:val="clear" w:color="auto" w:fill="FFFFFF"/>
        </w:rPr>
        <w:t>.</w:t>
      </w:r>
      <w:r w:rsidRPr="005644FE">
        <w:rPr>
          <w:rFonts w:ascii="Verdana" w:hAnsi="Verdana" w:cs="Arial"/>
          <w:color w:val="FF0000"/>
          <w:shd w:val="clear" w:color="auto" w:fill="FFFFFF"/>
        </w:rPr>
        <w:t xml:space="preserve"> </w:t>
      </w:r>
      <w:r w:rsidRPr="005644FE">
        <w:rPr>
          <w:rFonts w:ascii="Verdana" w:hAnsi="Verdana" w:cs="Arial"/>
          <w:color w:val="000000" w:themeColor="text1"/>
          <w:shd w:val="clear" w:color="auto" w:fill="FFFFFF"/>
        </w:rPr>
        <w:t>  </w:t>
      </w:r>
    </w:p>
    <w:p w14:paraId="7C5A125B" w14:textId="77777777" w:rsidR="00103317" w:rsidRPr="006B4FA1" w:rsidRDefault="00103317" w:rsidP="00103317">
      <w:pPr>
        <w:spacing w:after="0" w:line="240" w:lineRule="auto"/>
        <w:jc w:val="both"/>
        <w:rPr>
          <w:rFonts w:ascii="Verdana" w:eastAsia="Century Gothic" w:hAnsi="Verdana" w:cs="Century Gothic"/>
        </w:rPr>
      </w:pPr>
    </w:p>
    <w:p w14:paraId="267F2C83" w14:textId="77777777" w:rsidR="00103317" w:rsidRPr="00116940" w:rsidRDefault="00103317" w:rsidP="00103317">
      <w:pPr>
        <w:spacing w:after="0"/>
        <w:jc w:val="both"/>
        <w:rPr>
          <w:rFonts w:ascii="Verdana" w:hAnsi="Verdana"/>
        </w:rPr>
      </w:pPr>
      <w:r w:rsidRPr="00E02524">
        <w:rPr>
          <w:rFonts w:ascii="Verdana" w:hAnsi="Verdana"/>
        </w:rPr>
        <w:t xml:space="preserve">Por último, aprovechamos la oportunidad de manifestar la entera disposición de la </w:t>
      </w:r>
      <w:r w:rsidRPr="00116940">
        <w:rPr>
          <w:rFonts w:ascii="Verdana" w:hAnsi="Verdana"/>
        </w:rPr>
        <w:t xml:space="preserve">Agencia Nacional de Contratación Pública –Colombia Compra Eficiente– para atender las peticiones o solicitudes, así como para brindar el apoyo que se requiera en el marco de nuestras funciones a través de nuestros diferentes canales de atención: </w:t>
      </w:r>
    </w:p>
    <w:p w14:paraId="77DB7660" w14:textId="77777777" w:rsidR="00103317" w:rsidRPr="00116940" w:rsidRDefault="00103317" w:rsidP="00103317">
      <w:pPr>
        <w:spacing w:after="0"/>
        <w:jc w:val="both"/>
        <w:rPr>
          <w:rFonts w:ascii="Verdana" w:hAnsi="Verdana"/>
        </w:rPr>
      </w:pPr>
    </w:p>
    <w:p w14:paraId="39594A72" w14:textId="77777777" w:rsidR="00103317" w:rsidRPr="00116940" w:rsidRDefault="00103317" w:rsidP="00103317">
      <w:pPr>
        <w:pStyle w:val="ListParagraph"/>
        <w:numPr>
          <w:ilvl w:val="0"/>
          <w:numId w:val="15"/>
        </w:numPr>
        <w:spacing w:after="0" w:line="240" w:lineRule="auto"/>
        <w:jc w:val="both"/>
        <w:rPr>
          <w:rFonts w:ascii="Verdana" w:eastAsia="Verdana" w:hAnsi="Verdana" w:cs="Verdana"/>
          <w:color w:val="4472C4" w:themeColor="accent1"/>
          <w:u w:val="single"/>
          <w:lang w:val="es-MX"/>
        </w:rPr>
      </w:pPr>
      <w:r w:rsidRPr="00116940">
        <w:rPr>
          <w:rFonts w:ascii="Verdana" w:eastAsia="Verdana" w:hAnsi="Verdana" w:cs="Verdana"/>
          <w:lang w:val="es-MX"/>
        </w:rPr>
        <w:lastRenderedPageBreak/>
        <w:t xml:space="preserve">Línea nacional gratuita o servicio a la ciudadanía (Mesa de servicio): </w:t>
      </w:r>
      <w:r w:rsidRPr="00116940">
        <w:rPr>
          <w:rStyle w:val="Hyperlink"/>
          <w:rFonts w:ascii="Verdana" w:hAnsi="Verdana"/>
        </w:rPr>
        <w:t>01800 0520808</w:t>
      </w:r>
    </w:p>
    <w:p w14:paraId="3189BDC6" w14:textId="77777777" w:rsidR="00103317" w:rsidRPr="00116940" w:rsidRDefault="00103317" w:rsidP="00103317">
      <w:pPr>
        <w:pStyle w:val="ListParagraph"/>
        <w:numPr>
          <w:ilvl w:val="0"/>
          <w:numId w:val="15"/>
        </w:numPr>
        <w:spacing w:after="0"/>
        <w:rPr>
          <w:rFonts w:ascii="Verdana" w:eastAsia="Verdana" w:hAnsi="Verdana" w:cs="Verdana"/>
          <w:color w:val="4472C4" w:themeColor="accent1"/>
          <w:u w:val="single"/>
          <w:lang w:val="es-MX"/>
        </w:rPr>
      </w:pPr>
      <w:r w:rsidRPr="00116940">
        <w:rPr>
          <w:rFonts w:ascii="Verdana" w:eastAsia="Verdana" w:hAnsi="Verdana" w:cs="Verdana"/>
          <w:lang w:val="es-MX"/>
        </w:rPr>
        <w:t>Línea en Bogotá (Mesa de servicio):</w:t>
      </w:r>
      <w:r w:rsidRPr="00116940">
        <w:rPr>
          <w:rStyle w:val="Hyperlink"/>
          <w:rFonts w:ascii="Verdana" w:hAnsi="Verdana"/>
        </w:rPr>
        <w:t>+57 601 7456788</w:t>
      </w:r>
    </w:p>
    <w:p w14:paraId="0C421DEA" w14:textId="77777777" w:rsidR="00103317" w:rsidRPr="00116940" w:rsidRDefault="00103317" w:rsidP="00103317">
      <w:pPr>
        <w:pStyle w:val="ListParagraph"/>
        <w:numPr>
          <w:ilvl w:val="0"/>
          <w:numId w:val="15"/>
        </w:numPr>
        <w:spacing w:after="0"/>
        <w:rPr>
          <w:rFonts w:ascii="Verdana" w:eastAsia="Verdana" w:hAnsi="Verdana" w:cs="Verdana"/>
          <w:color w:val="0000FF"/>
          <w:u w:val="single"/>
          <w:lang w:val="es-MX"/>
        </w:rPr>
      </w:pPr>
      <w:r w:rsidRPr="00116940">
        <w:rPr>
          <w:rFonts w:ascii="Verdana" w:eastAsia="Verdana" w:hAnsi="Verdana" w:cs="Verdana"/>
          <w:lang w:val="es-MX"/>
        </w:rPr>
        <w:t xml:space="preserve">Correo de radicación de correspondencia: </w:t>
      </w:r>
      <w:hyperlink r:id="rId12">
        <w:r w:rsidRPr="00116940">
          <w:rPr>
            <w:rStyle w:val="Hyperlink"/>
            <w:rFonts w:ascii="Verdana" w:eastAsia="Verdana" w:hAnsi="Verdana" w:cs="Verdana"/>
            <w:lang w:val="es-MX"/>
          </w:rPr>
          <w:t>ventanilladeradicacion@colombiacompra.gov.co</w:t>
        </w:r>
      </w:hyperlink>
    </w:p>
    <w:p w14:paraId="5F824A56" w14:textId="77777777" w:rsidR="00103317" w:rsidRPr="00116940" w:rsidRDefault="00103317" w:rsidP="00103317">
      <w:pPr>
        <w:pStyle w:val="ListParagraph"/>
        <w:numPr>
          <w:ilvl w:val="0"/>
          <w:numId w:val="15"/>
        </w:numPr>
        <w:spacing w:after="0"/>
        <w:rPr>
          <w:rFonts w:ascii="Verdana" w:eastAsia="Verdana" w:hAnsi="Verdana" w:cs="Verdana"/>
          <w:color w:val="0000FF"/>
          <w:u w:val="single"/>
          <w:lang w:val="es-MX"/>
        </w:rPr>
      </w:pPr>
      <w:r w:rsidRPr="00116940">
        <w:rPr>
          <w:rFonts w:ascii="Verdana" w:eastAsia="Verdana" w:hAnsi="Verdana" w:cs="Verdana"/>
        </w:rPr>
        <w:t>Formulario web para</w:t>
      </w:r>
      <w:r w:rsidRPr="00116940">
        <w:rPr>
          <w:rFonts w:ascii="Verdana" w:eastAsia="Verdana" w:hAnsi="Verdana" w:cs="Verdana"/>
          <w:lang w:val="es"/>
        </w:rPr>
        <w:t xml:space="preserve"> PQRSD: </w:t>
      </w:r>
      <w:hyperlink r:id="rId13">
        <w:r w:rsidRPr="00116940">
          <w:rPr>
            <w:rStyle w:val="Hyperlink"/>
            <w:rFonts w:ascii="Verdana" w:eastAsia="Verdana" w:hAnsi="Verdana" w:cs="Verdana"/>
            <w:lang w:val="es-MX"/>
          </w:rPr>
          <w:t>https://www.colombiacompra.gov.co/pqrsd/informacion-importante-antes-de-formular-una-pqrsd</w:t>
        </w:r>
      </w:hyperlink>
    </w:p>
    <w:p w14:paraId="246AA527" w14:textId="77777777" w:rsidR="00103317" w:rsidRPr="00116940" w:rsidRDefault="00103317" w:rsidP="00103317">
      <w:pPr>
        <w:spacing w:after="0" w:line="240" w:lineRule="auto"/>
        <w:ind w:left="720"/>
        <w:jc w:val="both"/>
        <w:rPr>
          <w:rFonts w:ascii="Verdana" w:hAnsi="Verdana"/>
        </w:rPr>
      </w:pPr>
    </w:p>
    <w:p w14:paraId="2A4E8FD4" w14:textId="77777777" w:rsidR="00103317" w:rsidRPr="00116940" w:rsidRDefault="00103317" w:rsidP="00103317">
      <w:pPr>
        <w:spacing w:after="0" w:line="240" w:lineRule="auto"/>
        <w:rPr>
          <w:rFonts w:ascii="Verdana" w:hAnsi="Verdana"/>
        </w:rPr>
      </w:pPr>
      <w:r w:rsidRPr="00116940">
        <w:rPr>
          <w:rFonts w:ascii="Verdana" w:hAnsi="Verdana"/>
        </w:rPr>
        <w:t>Evalúa el servicio que ofrece la Agencia por el canal de atención de PQRSD en el siguiente enlace :</w:t>
      </w:r>
      <w:hyperlink r:id="rId14" w:tgtFrame="_blank" w:tooltip="https://forms.office.com/r/pphywvs2sz" w:history="1">
        <w:r w:rsidRPr="00116940">
          <w:rPr>
            <w:rStyle w:val="Hyperlink"/>
            <w:rFonts w:ascii="Verdana" w:hAnsi="Verdana"/>
          </w:rPr>
          <w:t>https://forms.office.com/r/pPHyWVs2SZ</w:t>
        </w:r>
      </w:hyperlink>
      <w:r w:rsidRPr="00116940">
        <w:rPr>
          <w:rFonts w:ascii="Verdana" w:hAnsi="Verdana"/>
        </w:rPr>
        <w:t xml:space="preserve"> .¡Ayúdanos a mejorar porque el compromiso es de todos!</w:t>
      </w:r>
    </w:p>
    <w:p w14:paraId="22F07682" w14:textId="77777777" w:rsidR="00103317" w:rsidRPr="00116940" w:rsidRDefault="00103317" w:rsidP="00103317">
      <w:pPr>
        <w:spacing w:after="0" w:line="240" w:lineRule="auto"/>
        <w:rPr>
          <w:rFonts w:ascii="Verdana" w:hAnsi="Verdana"/>
        </w:rPr>
      </w:pPr>
    </w:p>
    <w:p w14:paraId="7DFF1F6E" w14:textId="77777777" w:rsidR="00103317" w:rsidRPr="00116940" w:rsidRDefault="00103317" w:rsidP="00103317">
      <w:pPr>
        <w:spacing w:after="0" w:line="240" w:lineRule="auto"/>
        <w:jc w:val="both"/>
        <w:rPr>
          <w:rFonts w:ascii="Verdana" w:hAnsi="Verdana"/>
        </w:rPr>
      </w:pPr>
      <w:r w:rsidRPr="00116940">
        <w:rPr>
          <w:rFonts w:ascii="Verdana" w:hAnsi="Verdana"/>
        </w:rPr>
        <w:t xml:space="preserve">Por último, lo invitamos a seguirnos en las redes sociales en las cuales se difunde información institucional: </w:t>
      </w:r>
    </w:p>
    <w:p w14:paraId="3F65C6BB" w14:textId="77777777" w:rsidR="00103317" w:rsidRPr="00116940" w:rsidRDefault="00103317" w:rsidP="00103317">
      <w:pPr>
        <w:spacing w:after="0" w:line="240" w:lineRule="auto"/>
        <w:jc w:val="both"/>
        <w:rPr>
          <w:rFonts w:ascii="Verdana" w:hAnsi="Verdana"/>
        </w:rPr>
      </w:pPr>
    </w:p>
    <w:p w14:paraId="3E85D2DE" w14:textId="77777777" w:rsidR="00103317" w:rsidRPr="00116940" w:rsidRDefault="00103317" w:rsidP="00103317">
      <w:pPr>
        <w:spacing w:after="0" w:line="240" w:lineRule="auto"/>
        <w:jc w:val="both"/>
        <w:rPr>
          <w:rFonts w:ascii="Verdana" w:hAnsi="Verdana"/>
        </w:rPr>
      </w:pPr>
      <w:r w:rsidRPr="00116940">
        <w:rPr>
          <w:rFonts w:ascii="Verdana" w:hAnsi="Verdana"/>
        </w:rPr>
        <w:t xml:space="preserve">Twitter: </w:t>
      </w:r>
      <w:r w:rsidRPr="00116940">
        <w:rPr>
          <w:rStyle w:val="Hyperlink"/>
          <w:rFonts w:ascii="Verdana" w:hAnsi="Verdana"/>
        </w:rPr>
        <w:t>@colombiacompra</w:t>
      </w:r>
      <w:r w:rsidRPr="00116940">
        <w:rPr>
          <w:rFonts w:ascii="Verdana" w:hAnsi="Verdana"/>
        </w:rPr>
        <w:t xml:space="preserve"> </w:t>
      </w:r>
    </w:p>
    <w:p w14:paraId="2EF76DCF" w14:textId="77777777" w:rsidR="00103317" w:rsidRPr="00116940" w:rsidRDefault="00103317" w:rsidP="00103317">
      <w:pPr>
        <w:spacing w:after="0" w:line="240" w:lineRule="auto"/>
        <w:jc w:val="both"/>
        <w:rPr>
          <w:rFonts w:ascii="Verdana" w:hAnsi="Verdana"/>
        </w:rPr>
      </w:pPr>
      <w:r w:rsidRPr="00116940">
        <w:rPr>
          <w:rFonts w:ascii="Verdana" w:hAnsi="Verdana"/>
        </w:rPr>
        <w:t xml:space="preserve">Facebook: </w:t>
      </w:r>
      <w:r w:rsidRPr="00116940">
        <w:rPr>
          <w:rStyle w:val="Hyperlink"/>
          <w:rFonts w:ascii="Verdana" w:hAnsi="Verdana"/>
        </w:rPr>
        <w:t>ColombiaCompraEficiente</w:t>
      </w:r>
    </w:p>
    <w:p w14:paraId="653C6BE6" w14:textId="77777777" w:rsidR="00103317" w:rsidRPr="00116940" w:rsidRDefault="00103317" w:rsidP="00103317">
      <w:pPr>
        <w:spacing w:after="0" w:line="240" w:lineRule="auto"/>
        <w:jc w:val="both"/>
        <w:rPr>
          <w:rFonts w:ascii="Verdana" w:hAnsi="Verdana"/>
        </w:rPr>
      </w:pPr>
      <w:r w:rsidRPr="00116940">
        <w:rPr>
          <w:rFonts w:ascii="Verdana" w:hAnsi="Verdana"/>
        </w:rPr>
        <w:t xml:space="preserve">LinkedIn: </w:t>
      </w:r>
      <w:r w:rsidRPr="00116940">
        <w:rPr>
          <w:rStyle w:val="Hyperlink"/>
          <w:rFonts w:ascii="Verdana" w:hAnsi="Verdana"/>
        </w:rPr>
        <w:t>Agencia Nacional de Contratación Pública - Colombia Compra Eficiente</w:t>
      </w:r>
      <w:r w:rsidRPr="00116940">
        <w:rPr>
          <w:rFonts w:ascii="Verdana" w:hAnsi="Verdana"/>
        </w:rPr>
        <w:t xml:space="preserve"> Instagram: </w:t>
      </w:r>
      <w:r w:rsidRPr="00116940">
        <w:rPr>
          <w:rStyle w:val="Hyperlink"/>
          <w:rFonts w:ascii="Verdana" w:hAnsi="Verdana"/>
        </w:rPr>
        <w:t>@colombiacompraeficiente_cce</w:t>
      </w:r>
    </w:p>
    <w:p w14:paraId="5A043E41" w14:textId="77777777" w:rsidR="00103317" w:rsidRPr="00116940" w:rsidRDefault="00103317" w:rsidP="00103317">
      <w:pPr>
        <w:spacing w:after="0" w:line="240" w:lineRule="auto"/>
        <w:jc w:val="both"/>
        <w:rPr>
          <w:rFonts w:ascii="Verdana" w:hAnsi="Verdana"/>
        </w:rPr>
      </w:pPr>
    </w:p>
    <w:p w14:paraId="5F760B3C" w14:textId="022CFE82" w:rsidR="00103317" w:rsidRPr="00103317" w:rsidRDefault="00103317" w:rsidP="00103317">
      <w:pPr>
        <w:spacing w:after="0" w:line="240" w:lineRule="auto"/>
        <w:jc w:val="both"/>
        <w:rPr>
          <w:rFonts w:ascii="Verdana" w:hAnsi="Verdana"/>
          <w:lang w:val="es-MX"/>
        </w:rPr>
      </w:pPr>
      <w:r w:rsidRPr="00E02524">
        <w:rPr>
          <w:rFonts w:ascii="Verdana" w:hAnsi="Verdana"/>
          <w:lang w:val="es-MX"/>
        </w:rPr>
        <w:t>Cordialmente,</w:t>
      </w:r>
    </w:p>
    <w:p w14:paraId="4E99D729" w14:textId="3F5A403C" w:rsidR="00103317" w:rsidRDefault="00103317" w:rsidP="00103317">
      <w:pPr>
        <w:spacing w:after="0" w:line="256" w:lineRule="auto"/>
        <w:jc w:val="center"/>
        <w:rPr>
          <w:rFonts w:ascii="Century Gothic" w:hAnsi="Century Gothic"/>
          <w:noProof/>
        </w:rPr>
      </w:pPr>
    </w:p>
    <w:p w14:paraId="5537D788" w14:textId="134CF2DE" w:rsidR="00272C1A" w:rsidRPr="00272C1A" w:rsidRDefault="00904AD4" w:rsidP="00904AD4">
      <w:pPr>
        <w:spacing w:after="0" w:line="256" w:lineRule="auto"/>
        <w:jc w:val="center"/>
      </w:pPr>
      <w:r w:rsidRPr="00904AD4">
        <w:rPr>
          <w:noProof/>
        </w:rPr>
        <w:drawing>
          <wp:inline distT="0" distB="0" distL="0" distR="0" wp14:anchorId="0A0DE99F" wp14:editId="787D25BF">
            <wp:extent cx="3376478" cy="1165225"/>
            <wp:effectExtent l="0" t="0" r="0" b="0"/>
            <wp:docPr id="1529018025"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018025" name="Imagen 1" descr="Texto, Carta&#10;&#10;El contenido generado por IA puede ser incorrecto."/>
                    <pic:cNvPicPr/>
                  </pic:nvPicPr>
                  <pic:blipFill>
                    <a:blip r:embed="rId15"/>
                    <a:stretch>
                      <a:fillRect/>
                    </a:stretch>
                  </pic:blipFill>
                  <pic:spPr>
                    <a:xfrm>
                      <a:off x="0" y="0"/>
                      <a:ext cx="3394738" cy="1171527"/>
                    </a:xfrm>
                    <a:prstGeom prst="rect">
                      <a:avLst/>
                    </a:prstGeom>
                  </pic:spPr>
                </pic:pic>
              </a:graphicData>
            </a:graphic>
          </wp:inline>
        </w:drawing>
      </w:r>
    </w:p>
    <w:tbl>
      <w:tblPr>
        <w:tblStyle w:val="TableGrid"/>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5061"/>
      </w:tblGrid>
      <w:tr w:rsidR="00103317" w:rsidRPr="005644FE" w14:paraId="4D8E026E" w14:textId="77777777" w:rsidTr="009979FD">
        <w:trPr>
          <w:trHeight w:val="315"/>
        </w:trPr>
        <w:tc>
          <w:tcPr>
            <w:tcW w:w="893" w:type="dxa"/>
            <w:vAlign w:val="center"/>
            <w:hideMark/>
          </w:tcPr>
          <w:p w14:paraId="7EE01BFA" w14:textId="77777777" w:rsidR="00103317" w:rsidRPr="005644FE" w:rsidRDefault="00103317" w:rsidP="009979FD">
            <w:pPr>
              <w:contextualSpacing/>
              <w:rPr>
                <w:rFonts w:ascii="Verdana" w:hAnsi="Verdana" w:cs="Arial"/>
                <w:sz w:val="16"/>
                <w:szCs w:val="16"/>
                <w:lang w:eastAsia="es-ES"/>
              </w:rPr>
            </w:pPr>
            <w:r w:rsidRPr="005644FE">
              <w:rPr>
                <w:rFonts w:ascii="Verdana" w:hAnsi="Verdana" w:cs="Arial"/>
                <w:sz w:val="16"/>
                <w:szCs w:val="16"/>
                <w:lang w:eastAsia="es-ES"/>
              </w:rPr>
              <w:t>Elaboró:</w:t>
            </w:r>
          </w:p>
        </w:tc>
        <w:tc>
          <w:tcPr>
            <w:tcW w:w="5061" w:type="dxa"/>
            <w:tcBorders>
              <w:top w:val="nil"/>
              <w:left w:val="nil"/>
              <w:bottom w:val="dotted" w:sz="4" w:space="0" w:color="7F7F7F" w:themeColor="text1" w:themeTint="80"/>
              <w:right w:val="nil"/>
            </w:tcBorders>
            <w:vAlign w:val="center"/>
            <w:hideMark/>
          </w:tcPr>
          <w:p w14:paraId="769E4F16" w14:textId="77777777" w:rsidR="00103317" w:rsidRPr="005644FE" w:rsidRDefault="00103317" w:rsidP="009979FD">
            <w:pPr>
              <w:contextualSpacing/>
              <w:rPr>
                <w:rStyle w:val="normaltextrun"/>
                <w:rFonts w:ascii="Verdana" w:hAnsi="Verdana"/>
                <w:sz w:val="16"/>
                <w:szCs w:val="16"/>
              </w:rPr>
            </w:pPr>
            <w:r w:rsidRPr="005644FE">
              <w:rPr>
                <w:rStyle w:val="normaltextrun"/>
                <w:rFonts w:ascii="Verdana" w:hAnsi="Verdana"/>
                <w:sz w:val="16"/>
                <w:szCs w:val="16"/>
              </w:rPr>
              <w:t xml:space="preserve">Esperanza Contreras P </w:t>
            </w:r>
          </w:p>
          <w:p w14:paraId="324CF634" w14:textId="77777777" w:rsidR="00103317" w:rsidRPr="005644FE" w:rsidRDefault="00103317" w:rsidP="009979FD">
            <w:pPr>
              <w:contextualSpacing/>
              <w:rPr>
                <w:rFonts w:ascii="Verdana" w:eastAsia="Arial" w:hAnsi="Verdana" w:cs="Arial"/>
                <w:sz w:val="16"/>
                <w:szCs w:val="16"/>
              </w:rPr>
            </w:pPr>
            <w:r w:rsidRPr="005644FE">
              <w:rPr>
                <w:rStyle w:val="normaltextrun"/>
                <w:rFonts w:ascii="Verdana" w:hAnsi="Verdana" w:cs="Arial"/>
                <w:sz w:val="16"/>
                <w:szCs w:val="16"/>
              </w:rPr>
              <w:t>Contratista de la Subdirección de Gestión Contractual</w:t>
            </w:r>
            <w:r w:rsidRPr="005644FE">
              <w:rPr>
                <w:rStyle w:val="eop"/>
                <w:rFonts w:ascii="Verdana" w:hAnsi="Verdana" w:cs="Arial"/>
                <w:sz w:val="16"/>
                <w:szCs w:val="16"/>
              </w:rPr>
              <w:t> </w:t>
            </w:r>
          </w:p>
        </w:tc>
      </w:tr>
      <w:tr w:rsidR="00103317" w:rsidRPr="005644FE" w14:paraId="36BA68E4" w14:textId="77777777" w:rsidTr="009979FD">
        <w:trPr>
          <w:trHeight w:val="330"/>
        </w:trPr>
        <w:tc>
          <w:tcPr>
            <w:tcW w:w="893" w:type="dxa"/>
            <w:vAlign w:val="center"/>
            <w:hideMark/>
          </w:tcPr>
          <w:p w14:paraId="5C00121F" w14:textId="77777777" w:rsidR="00103317" w:rsidRPr="005644FE" w:rsidRDefault="00103317" w:rsidP="009979FD">
            <w:pPr>
              <w:contextualSpacing/>
              <w:rPr>
                <w:rFonts w:ascii="Verdana" w:hAnsi="Verdana" w:cs="Arial"/>
                <w:sz w:val="16"/>
                <w:szCs w:val="16"/>
                <w:lang w:eastAsia="es-ES"/>
              </w:rPr>
            </w:pPr>
            <w:r w:rsidRPr="005644FE">
              <w:rPr>
                <w:rFonts w:ascii="Verdana" w:hAnsi="Verdana" w:cs="Arial"/>
                <w:sz w:val="16"/>
                <w:szCs w:val="16"/>
                <w:lang w:eastAsia="es-ES"/>
              </w:rPr>
              <w:t>Revisó:</w:t>
            </w:r>
          </w:p>
        </w:tc>
        <w:tc>
          <w:tcPr>
            <w:tcW w:w="5061" w:type="dxa"/>
            <w:tcBorders>
              <w:top w:val="dotted" w:sz="4" w:space="0" w:color="7F7F7F" w:themeColor="text1" w:themeTint="80"/>
              <w:left w:val="nil"/>
              <w:bottom w:val="dotted" w:sz="4" w:space="0" w:color="7F7F7F" w:themeColor="text1" w:themeTint="80"/>
              <w:right w:val="nil"/>
            </w:tcBorders>
            <w:vAlign w:val="center"/>
            <w:hideMark/>
          </w:tcPr>
          <w:p w14:paraId="09C41924" w14:textId="77777777" w:rsidR="00103317" w:rsidRPr="00F25EB7" w:rsidRDefault="00103317" w:rsidP="009979FD">
            <w:pPr>
              <w:pStyle w:val="paragraph"/>
              <w:spacing w:before="0" w:beforeAutospacing="0" w:after="0" w:afterAutospacing="0"/>
              <w:contextualSpacing/>
              <w:textAlignment w:val="baseline"/>
              <w:rPr>
                <w:rStyle w:val="normaltextrun"/>
                <w:rFonts w:ascii="Verdana" w:hAnsi="Verdana"/>
                <w:sz w:val="16"/>
                <w:szCs w:val="16"/>
              </w:rPr>
            </w:pPr>
            <w:r w:rsidRPr="00F25EB7">
              <w:rPr>
                <w:rStyle w:val="normaltextrun"/>
                <w:rFonts w:ascii="Verdana" w:hAnsi="Verdana"/>
                <w:sz w:val="16"/>
                <w:szCs w:val="16"/>
              </w:rPr>
              <w:t>Juan Carlos González Vásquez</w:t>
            </w:r>
          </w:p>
          <w:p w14:paraId="43052071" w14:textId="77777777" w:rsidR="00103317" w:rsidRPr="005644FE" w:rsidRDefault="00103317" w:rsidP="009979FD">
            <w:pPr>
              <w:pStyle w:val="paragraph"/>
              <w:spacing w:before="0" w:beforeAutospacing="0" w:after="0" w:afterAutospacing="0"/>
              <w:contextualSpacing/>
              <w:textAlignment w:val="baseline"/>
              <w:rPr>
                <w:rFonts w:ascii="Verdana" w:hAnsi="Verdana" w:cs="Segoe UI"/>
                <w:sz w:val="16"/>
                <w:szCs w:val="16"/>
              </w:rPr>
            </w:pPr>
            <w:r w:rsidRPr="005644FE">
              <w:rPr>
                <w:rStyle w:val="normaltextrun"/>
                <w:rFonts w:ascii="Verdana" w:hAnsi="Verdana" w:cs="Arial"/>
                <w:sz w:val="16"/>
                <w:szCs w:val="16"/>
              </w:rPr>
              <w:t>Contratista de la Subdirección de Gestión Contractual</w:t>
            </w:r>
            <w:r w:rsidRPr="005644FE">
              <w:rPr>
                <w:rStyle w:val="eop"/>
                <w:rFonts w:ascii="Verdana" w:hAnsi="Verdana" w:cs="Arial"/>
                <w:sz w:val="16"/>
                <w:szCs w:val="16"/>
              </w:rPr>
              <w:t> </w:t>
            </w:r>
          </w:p>
        </w:tc>
      </w:tr>
      <w:tr w:rsidR="00103317" w:rsidRPr="005644FE" w14:paraId="3D37ACD7" w14:textId="77777777" w:rsidTr="009979FD">
        <w:trPr>
          <w:trHeight w:val="300"/>
        </w:trPr>
        <w:tc>
          <w:tcPr>
            <w:tcW w:w="893" w:type="dxa"/>
            <w:vAlign w:val="center"/>
          </w:tcPr>
          <w:p w14:paraId="2856C480" w14:textId="77777777" w:rsidR="00103317" w:rsidRPr="005644FE" w:rsidRDefault="00103317" w:rsidP="009979FD">
            <w:pPr>
              <w:contextualSpacing/>
              <w:rPr>
                <w:rFonts w:ascii="Verdana" w:hAnsi="Verdana" w:cs="Arial"/>
                <w:sz w:val="16"/>
                <w:szCs w:val="16"/>
                <w:lang w:eastAsia="es-ES"/>
              </w:rPr>
            </w:pPr>
            <w:r w:rsidRPr="005644FE">
              <w:rPr>
                <w:rFonts w:ascii="Verdana" w:hAnsi="Verdana" w:cs="Arial"/>
                <w:sz w:val="16"/>
                <w:szCs w:val="16"/>
                <w:lang w:eastAsia="es-ES"/>
              </w:rPr>
              <w:t>Aprobó:</w:t>
            </w:r>
          </w:p>
        </w:tc>
        <w:tc>
          <w:tcPr>
            <w:tcW w:w="5061" w:type="dxa"/>
            <w:tcBorders>
              <w:top w:val="dotted" w:sz="4" w:space="0" w:color="7F7F7F" w:themeColor="text1" w:themeTint="80"/>
              <w:left w:val="nil"/>
              <w:bottom w:val="dotted" w:sz="4" w:space="0" w:color="7F7F7F" w:themeColor="text1" w:themeTint="80"/>
              <w:right w:val="nil"/>
            </w:tcBorders>
            <w:vAlign w:val="center"/>
          </w:tcPr>
          <w:p w14:paraId="23BD3BE4" w14:textId="77777777" w:rsidR="00103317" w:rsidRPr="005644FE" w:rsidRDefault="00103317" w:rsidP="009979FD">
            <w:pPr>
              <w:contextualSpacing/>
              <w:rPr>
                <w:rFonts w:ascii="Verdana" w:eastAsia="Calibri" w:hAnsi="Verdana" w:cs="Arial"/>
                <w:sz w:val="16"/>
                <w:szCs w:val="16"/>
                <w:lang w:eastAsia="es-ES"/>
              </w:rPr>
            </w:pPr>
            <w:r w:rsidRPr="005644FE">
              <w:rPr>
                <w:rFonts w:ascii="Verdana" w:eastAsia="Calibri" w:hAnsi="Verdana" w:cs="Arial"/>
                <w:sz w:val="16"/>
                <w:szCs w:val="16"/>
                <w:lang w:eastAsia="es-ES"/>
              </w:rPr>
              <w:t>Carolina Quintero Gacharná</w:t>
            </w:r>
          </w:p>
          <w:p w14:paraId="2DAF680E" w14:textId="77777777" w:rsidR="00103317" w:rsidRPr="005644FE" w:rsidRDefault="00103317" w:rsidP="009979FD">
            <w:pPr>
              <w:contextualSpacing/>
              <w:rPr>
                <w:rFonts w:ascii="Verdana" w:eastAsia="Calibri" w:hAnsi="Verdana" w:cs="Arial"/>
                <w:sz w:val="16"/>
                <w:szCs w:val="16"/>
                <w:lang w:eastAsia="es-ES"/>
              </w:rPr>
            </w:pPr>
            <w:r w:rsidRPr="005644FE">
              <w:rPr>
                <w:rFonts w:ascii="Verdana" w:eastAsia="Calibri" w:hAnsi="Verdana" w:cs="Arial"/>
                <w:sz w:val="16"/>
                <w:szCs w:val="16"/>
                <w:lang w:eastAsia="es-ES"/>
              </w:rPr>
              <w:t>Subdirectora de Gestión Contractual ANCP – CCE</w:t>
            </w:r>
          </w:p>
        </w:tc>
      </w:tr>
    </w:tbl>
    <w:p w14:paraId="1BEE8016" w14:textId="77777777" w:rsidR="00103317" w:rsidRDefault="00103317" w:rsidP="00103317"/>
    <w:p w14:paraId="27B48683" w14:textId="77777777" w:rsidR="00103317" w:rsidRPr="005644FE" w:rsidRDefault="00103317" w:rsidP="00103317"/>
    <w:bookmarkEnd w:id="0"/>
    <w:p w14:paraId="5399241C" w14:textId="77777777" w:rsidR="00103317" w:rsidRPr="0015699B" w:rsidRDefault="00103317" w:rsidP="00103317">
      <w:pPr>
        <w:spacing w:after="0" w:line="240" w:lineRule="auto"/>
        <w:jc w:val="both"/>
        <w:textAlignment w:val="baseline"/>
        <w:rPr>
          <w:rFonts w:ascii="Verdana" w:eastAsia="Times New Roman" w:hAnsi="Verdana" w:cs="Segoe UI"/>
          <w:lang w:eastAsia="es-CO"/>
        </w:rPr>
      </w:pPr>
    </w:p>
    <w:bookmarkEnd w:id="1"/>
    <w:p w14:paraId="350B1BD1" w14:textId="77777777" w:rsidR="00103317" w:rsidRDefault="00103317" w:rsidP="00103317"/>
    <w:bookmarkEnd w:id="2"/>
    <w:p w14:paraId="0F293BF4" w14:textId="479871FA" w:rsidR="00127233" w:rsidRPr="00103317" w:rsidRDefault="00127233" w:rsidP="000B15D0">
      <w:pPr>
        <w:spacing w:after="0" w:line="240" w:lineRule="auto"/>
        <w:jc w:val="both"/>
        <w:textAlignment w:val="baseline"/>
        <w:rPr>
          <w:rFonts w:ascii="Verdana" w:eastAsia="Times New Roman" w:hAnsi="Verdana" w:cs="Segoe UI"/>
          <w:lang w:eastAsia="es-CO"/>
        </w:rPr>
      </w:pPr>
    </w:p>
    <w:sectPr w:rsidR="00127233" w:rsidRPr="00103317" w:rsidSect="00286DC5">
      <w:headerReference w:type="even" r:id="rId16"/>
      <w:headerReference w:type="default" r:id="rId17"/>
      <w:footerReference w:type="even" r:id="rId18"/>
      <w:footerReference w:type="default" r:id="rId19"/>
      <w:headerReference w:type="first" r:id="rId20"/>
      <w:footerReference w:type="first" r:id="rId21"/>
      <w:pgSz w:w="12240" w:h="15840" w:code="1"/>
      <w:pgMar w:top="1417" w:right="1701" w:bottom="1417"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815A" w14:textId="77777777" w:rsidR="00195C7C" w:rsidRDefault="00195C7C" w:rsidP="004A1847">
      <w:pPr>
        <w:spacing w:after="0" w:line="240" w:lineRule="auto"/>
      </w:pPr>
      <w:r>
        <w:separator/>
      </w:r>
    </w:p>
  </w:endnote>
  <w:endnote w:type="continuationSeparator" w:id="0">
    <w:p w14:paraId="11C9A453" w14:textId="77777777" w:rsidR="00195C7C" w:rsidRDefault="00195C7C" w:rsidP="004A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manist Light">
    <w:altName w:val="Calibri"/>
    <w:panose1 w:val="00000000000000000000"/>
    <w:charset w:val="00"/>
    <w:family w:val="modern"/>
    <w:notTrueType/>
    <w:pitch w:val="variable"/>
    <w:sig w:usb0="A000002F" w:usb1="1000004A" w:usb2="00000000" w:usb3="00000000" w:csb0="00000193" w:csb1="00000000"/>
  </w:font>
  <w:font w:name="Geomanist">
    <w:altName w:val="Calibri"/>
    <w:panose1 w:val="00000000000000000000"/>
    <w:charset w:val="00"/>
    <w:family w:val="modern"/>
    <w:notTrueType/>
    <w:pitch w:val="variable"/>
    <w:sig w:usb0="A000002F" w:usb1="1000004A" w:usb2="00000000" w:usb3="00000000" w:csb0="000001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eomanist Bold">
    <w:altName w:val="Calibri"/>
    <w:panose1 w:val="00000000000000000000"/>
    <w:charset w:val="00"/>
    <w:family w:val="modern"/>
    <w:notTrueType/>
    <w:pitch w:val="variable"/>
    <w:sig w:usb0="A000002F" w:usb1="1000004A" w:usb2="00000000" w:usb3="00000000" w:csb0="00000193" w:csb1="00000000"/>
  </w:font>
  <w:font w:name="Geo">
    <w:altName w:val="Calibri"/>
    <w:charset w:val="00"/>
    <w:family w:val="auto"/>
    <w:pitch w:val="variable"/>
    <w:sig w:usb0="8000002F" w:usb1="40000048"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6F83" w14:textId="77777777" w:rsidR="00157E6F" w:rsidRDefault="00157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1A32" w14:textId="6CE791A4" w:rsidR="004A1847" w:rsidRDefault="004A1847">
    <w:pPr>
      <w:pStyle w:val="Footer"/>
    </w:pPr>
  </w:p>
  <w:p w14:paraId="594D6D9F" w14:textId="77777777" w:rsidR="00D520D8" w:rsidRPr="00174B77" w:rsidRDefault="00D520D8" w:rsidP="00D520D8">
    <w:pPr>
      <w:pBdr>
        <w:top w:val="single" w:sz="4" w:space="1" w:color="auto"/>
      </w:pBdr>
      <w:spacing w:after="0"/>
      <w:rPr>
        <w:rFonts w:ascii="Verdana" w:hAnsi="Verdana"/>
        <w:b/>
        <w:bCs/>
        <w:sz w:val="20"/>
        <w:szCs w:val="20"/>
      </w:rPr>
    </w:pPr>
    <w:r>
      <w:rPr>
        <w:rFonts w:ascii="Verdana" w:hAnsi="Verdana"/>
        <w:b/>
        <w:bCs/>
        <w:sz w:val="20"/>
        <w:szCs w:val="20"/>
      </w:rPr>
      <w:t>A</w:t>
    </w:r>
    <w:r w:rsidRPr="008E4D59">
      <w:rPr>
        <w:rFonts w:ascii="Verdana" w:hAnsi="Verdana"/>
        <w:b/>
        <w:bCs/>
        <w:sz w:val="20"/>
        <w:szCs w:val="20"/>
      </w:rPr>
      <w:t>gencia Nacional de Contratación</w:t>
    </w:r>
    <w:r>
      <w:rPr>
        <w:rFonts w:ascii="Verdana" w:hAnsi="Verdana"/>
        <w:b/>
        <w:bCs/>
        <w:sz w:val="20"/>
        <w:szCs w:val="20"/>
      </w:rPr>
      <w:t xml:space="preserve"> </w:t>
    </w:r>
    <w:r w:rsidRPr="008E4D59">
      <w:rPr>
        <w:rFonts w:ascii="Verdana" w:hAnsi="Verdana"/>
        <w:b/>
        <w:bCs/>
        <w:sz w:val="20"/>
        <w:szCs w:val="20"/>
      </w:rPr>
      <w:t>Pública</w:t>
    </w:r>
    <w:r>
      <w:rPr>
        <w:rFonts w:ascii="Verdana" w:hAnsi="Verdana"/>
        <w:b/>
        <w:bCs/>
        <w:sz w:val="20"/>
        <w:szCs w:val="20"/>
      </w:rPr>
      <w:t xml:space="preserve">                                              </w:t>
    </w:r>
    <w:r w:rsidRPr="002E1330">
      <w:rPr>
        <w:rFonts w:ascii="Verdana" w:eastAsiaTheme="majorEastAsia" w:hAnsi="Verdana" w:cstheme="majorBidi"/>
        <w:b/>
        <w:bCs/>
        <w:sz w:val="16"/>
        <w:szCs w:val="16"/>
        <w:lang w:val="es-ES"/>
      </w:rPr>
      <w:t xml:space="preserve">pág. </w:t>
    </w:r>
    <w:r w:rsidRPr="002E1330">
      <w:rPr>
        <w:rFonts w:ascii="Verdana" w:eastAsiaTheme="minorEastAsia" w:hAnsi="Verdana"/>
        <w:b/>
        <w:bCs/>
        <w:sz w:val="16"/>
        <w:szCs w:val="16"/>
      </w:rPr>
      <w:fldChar w:fldCharType="begin"/>
    </w:r>
    <w:r w:rsidRPr="002E1330">
      <w:rPr>
        <w:rFonts w:ascii="Verdana" w:hAnsi="Verdana"/>
        <w:b/>
        <w:bCs/>
        <w:sz w:val="16"/>
        <w:szCs w:val="16"/>
      </w:rPr>
      <w:instrText>PAGE    \* MERGEFORMAT</w:instrText>
    </w:r>
    <w:r w:rsidRPr="002E1330">
      <w:rPr>
        <w:rFonts w:ascii="Verdana" w:eastAsiaTheme="minorEastAsia" w:hAnsi="Verdana"/>
        <w:b/>
        <w:bCs/>
        <w:sz w:val="16"/>
        <w:szCs w:val="16"/>
      </w:rPr>
      <w:fldChar w:fldCharType="separate"/>
    </w:r>
    <w:r>
      <w:rPr>
        <w:rFonts w:ascii="Verdana" w:eastAsiaTheme="minorEastAsia" w:hAnsi="Verdana"/>
        <w:b/>
        <w:bCs/>
        <w:sz w:val="16"/>
        <w:szCs w:val="16"/>
      </w:rPr>
      <w:t>1</w:t>
    </w:r>
    <w:r w:rsidRPr="002E1330">
      <w:rPr>
        <w:rFonts w:ascii="Verdana" w:eastAsiaTheme="majorEastAsia" w:hAnsi="Verdana" w:cstheme="majorBidi"/>
        <w:b/>
        <w:bCs/>
        <w:sz w:val="16"/>
        <w:szCs w:val="16"/>
      </w:rPr>
      <w:fldChar w:fldCharType="end"/>
    </w:r>
    <w:r>
      <w:rPr>
        <w:rFonts w:ascii="Verdana" w:hAnsi="Verdana"/>
        <w:b/>
        <w:bCs/>
        <w:sz w:val="20"/>
        <w:szCs w:val="20"/>
      </w:rPr>
      <w:t xml:space="preserve">              </w:t>
    </w:r>
    <w:r w:rsidRPr="008E4D59">
      <w:rPr>
        <w:rFonts w:ascii="Verdana" w:hAnsi="Verdana"/>
        <w:b/>
        <w:bCs/>
        <w:sz w:val="20"/>
        <w:szCs w:val="20"/>
      </w:rPr>
      <w:t xml:space="preserve">Colombia Compra Eficiente         </w:t>
    </w:r>
    <w:r w:rsidRPr="008E4D59">
      <w:rPr>
        <w:rFonts w:ascii="Verdana" w:hAnsi="Verdana"/>
        <w:b/>
        <w:bCs/>
        <w:sz w:val="20"/>
        <w:szCs w:val="20"/>
        <w:lang w:val="es-ES"/>
      </w:rPr>
      <w:t xml:space="preserve"> </w:t>
    </w:r>
    <w:r>
      <w:rPr>
        <w:rFonts w:ascii="Verdana" w:hAnsi="Verdana"/>
        <w:b/>
        <w:bCs/>
        <w:sz w:val="20"/>
        <w:szCs w:val="20"/>
      </w:rPr>
      <w:t xml:space="preserve">                                                  </w:t>
    </w:r>
  </w:p>
  <w:p w14:paraId="0A735DD5" w14:textId="77777777" w:rsidR="00D520D8" w:rsidRDefault="00D520D8" w:rsidP="00D520D8">
    <w:pPr>
      <w:spacing w:after="0"/>
      <w:jc w:val="both"/>
      <w:rPr>
        <w:rFonts w:ascii="Verdana" w:hAnsi="Verdana"/>
        <w:sz w:val="18"/>
        <w:szCs w:val="18"/>
      </w:rPr>
    </w:pPr>
    <w:r w:rsidRPr="00E41027">
      <w:rPr>
        <w:rFonts w:ascii="Verdana" w:hAnsi="Verdana"/>
        <w:sz w:val="18"/>
        <w:szCs w:val="18"/>
      </w:rPr>
      <w:t>Dirección: Carrera 7 # 26 – 20 - Bogotá, Colombia</w:t>
    </w:r>
  </w:p>
  <w:p w14:paraId="06E36B88" w14:textId="77777777" w:rsidR="00D520D8" w:rsidRPr="00E41027" w:rsidRDefault="00D520D8" w:rsidP="00D520D8">
    <w:pPr>
      <w:spacing w:after="0"/>
      <w:jc w:val="both"/>
      <w:rPr>
        <w:rFonts w:ascii="Verdana" w:hAnsi="Verdana"/>
        <w:sz w:val="18"/>
        <w:szCs w:val="18"/>
      </w:rPr>
    </w:pPr>
    <w:r w:rsidRPr="00E41027">
      <w:rPr>
        <w:rFonts w:ascii="Verdana" w:hAnsi="Verdana"/>
        <w:sz w:val="18"/>
        <w:szCs w:val="18"/>
      </w:rPr>
      <w:t>Mesa de servicio: (+57) 601 7456788</w:t>
    </w:r>
  </w:p>
  <w:p w14:paraId="744661F5" w14:textId="22B9E88F" w:rsidR="006219F8" w:rsidRDefault="356CEDFD" w:rsidP="356CEDFD">
    <w:pPr>
      <w:pBdr>
        <w:top w:val="nil"/>
        <w:left w:val="nil"/>
        <w:bottom w:val="nil"/>
        <w:right w:val="nil"/>
        <w:between w:val="nil"/>
      </w:pBdr>
      <w:tabs>
        <w:tab w:val="center" w:pos="4419"/>
        <w:tab w:val="right" w:pos="8838"/>
        <w:tab w:val="center" w:pos="5400"/>
      </w:tabs>
      <w:spacing w:after="0"/>
      <w:jc w:val="right"/>
    </w:pPr>
    <w:r w:rsidRPr="356CEDFD">
      <w:rPr>
        <w:rFonts w:ascii="Century Gothic" w:eastAsia="Geo" w:hAnsi="Century Gothic" w:cs="Geo"/>
        <w:b/>
        <w:bCs/>
        <w:color w:val="000000" w:themeColor="text1"/>
        <w:sz w:val="16"/>
        <w:szCs w:val="16"/>
        <w:lang w:eastAsia="es-CO"/>
      </w:rPr>
      <w:t xml:space="preserve">Código: </w:t>
    </w:r>
    <w:r w:rsidRPr="356CEDFD">
      <w:rPr>
        <w:rFonts w:ascii="Century Gothic" w:eastAsia="Geo" w:hAnsi="Century Gothic" w:cs="Geo"/>
        <w:color w:val="000000" w:themeColor="text1"/>
        <w:sz w:val="16"/>
        <w:szCs w:val="16"/>
        <w:lang w:eastAsia="es-CO"/>
      </w:rPr>
      <w:t xml:space="preserve">CCE-REC-FM-17 </w:t>
    </w:r>
    <w:r w:rsidRPr="356CEDFD">
      <w:rPr>
        <w:rFonts w:ascii="Century Gothic" w:eastAsia="Geo" w:hAnsi="Century Gothic" w:cs="Geo"/>
        <w:b/>
        <w:bCs/>
        <w:color w:val="000000" w:themeColor="text1"/>
        <w:sz w:val="16"/>
        <w:szCs w:val="16"/>
        <w:lang w:eastAsia="es-CO"/>
      </w:rPr>
      <w:t>V</w:t>
    </w:r>
    <w:r w:rsidRPr="356CEDFD">
      <w:rPr>
        <w:rFonts w:ascii="Century Gothic" w:eastAsia="Arial Nova" w:hAnsi="Century Gothic" w:cs="Arial Nova"/>
        <w:b/>
        <w:bCs/>
        <w:color w:val="000000" w:themeColor="text1"/>
        <w:sz w:val="16"/>
        <w:szCs w:val="16"/>
        <w:lang w:eastAsia="es-CO"/>
      </w:rPr>
      <w:t xml:space="preserve">: </w:t>
    </w:r>
    <w:r w:rsidRPr="356CEDFD">
      <w:rPr>
        <w:rFonts w:ascii="Century Gothic" w:eastAsia="Geo" w:hAnsi="Century Gothic" w:cs="Geo"/>
        <w:sz w:val="16"/>
        <w:szCs w:val="16"/>
        <w:lang w:eastAsia="es-CO"/>
      </w:rPr>
      <w:t>03 Fecha: 21-10-2025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6445" w14:textId="77777777" w:rsidR="00157E6F" w:rsidRDefault="00157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0A0B" w14:textId="77777777" w:rsidR="00195C7C" w:rsidRDefault="00195C7C" w:rsidP="004A1847">
      <w:pPr>
        <w:spacing w:after="0" w:line="240" w:lineRule="auto"/>
      </w:pPr>
      <w:r>
        <w:separator/>
      </w:r>
    </w:p>
  </w:footnote>
  <w:footnote w:type="continuationSeparator" w:id="0">
    <w:p w14:paraId="267E1866" w14:textId="77777777" w:rsidR="00195C7C" w:rsidRDefault="00195C7C" w:rsidP="004A1847">
      <w:pPr>
        <w:spacing w:after="0" w:line="240" w:lineRule="auto"/>
      </w:pPr>
      <w:r>
        <w:continuationSeparator/>
      </w:r>
    </w:p>
  </w:footnote>
  <w:footnote w:id="1">
    <w:p w14:paraId="5E2EA84D" w14:textId="77777777" w:rsidR="00103317" w:rsidRPr="00BE126A" w:rsidRDefault="00103317" w:rsidP="00103317">
      <w:pPr>
        <w:pStyle w:val="FootnoteText"/>
        <w:ind w:firstLine="709"/>
        <w:contextualSpacing/>
        <w:jc w:val="both"/>
        <w:rPr>
          <w:rFonts w:ascii="Verdana" w:hAnsi="Verdana" w:cs="Arial"/>
          <w:sz w:val="16"/>
          <w:szCs w:val="16"/>
        </w:rPr>
      </w:pPr>
      <w:r w:rsidRPr="00BE126A">
        <w:rPr>
          <w:rStyle w:val="FootnoteReference"/>
          <w:rFonts w:ascii="Verdana" w:hAnsi="Verdana" w:cs="Arial"/>
          <w:sz w:val="16"/>
          <w:szCs w:val="16"/>
        </w:rPr>
        <w:footnoteRef/>
      </w:r>
      <w:r w:rsidRPr="00BE126A">
        <w:rPr>
          <w:rFonts w:ascii="Verdana" w:hAnsi="Verdana" w:cs="Arial"/>
          <w:sz w:val="16"/>
          <w:szCs w:val="16"/>
        </w:rPr>
        <w:t xml:space="preserve"> El artículo 127 de la Constitución Política señala: “Los servidores públicos no podrán celebrar, por si o por interpuesta persona, o en representación de otro, contrato alguno con entidades públicas o con personas privadas que manejen o administren recursos públicos, salvo las excepciones legales. </w:t>
      </w:r>
    </w:p>
    <w:p w14:paraId="3EFB897C" w14:textId="77777777" w:rsidR="00103317" w:rsidRDefault="00103317" w:rsidP="00103317">
      <w:pPr>
        <w:pStyle w:val="FootnoteText"/>
        <w:ind w:firstLine="709"/>
        <w:contextualSpacing/>
        <w:jc w:val="both"/>
        <w:rPr>
          <w:rFonts w:ascii="Verdana" w:hAnsi="Verdana" w:cs="Arial"/>
          <w:sz w:val="16"/>
          <w:szCs w:val="16"/>
        </w:rPr>
      </w:pPr>
      <w:r w:rsidRPr="00BE126A">
        <w:rPr>
          <w:rFonts w:ascii="Verdana" w:hAnsi="Verdana" w:cs="Arial"/>
          <w:sz w:val="16"/>
          <w:szCs w:val="16"/>
        </w:rPr>
        <w:t>A los empleados del Estado que se desempeñen en la Rama Judicial, en los órganos electorales, de control y de seguridad les está prohibido tomar parte en las actividades de los partidos y movimientos y en las controversias políticas, sin perjuicio de ejercer libremente el derecho al sufragio. A los miembros de la Fuerza Pública en servicio activo se les aplican las limitaciones contempladas en el artículo 219 de la Constitución. Los empleados no contemplados en esta prohibición solo podrán participar en dichas actividades y controversias en las condiciones que señale la Ley Estatutaria”.</w:t>
      </w:r>
    </w:p>
    <w:p w14:paraId="52D62905" w14:textId="77777777" w:rsidR="00103317" w:rsidRPr="00BE126A" w:rsidRDefault="00103317" w:rsidP="00103317">
      <w:pPr>
        <w:pStyle w:val="FootnoteText"/>
        <w:ind w:firstLine="709"/>
        <w:contextualSpacing/>
        <w:jc w:val="both"/>
        <w:rPr>
          <w:rFonts w:ascii="Verdana" w:hAnsi="Verdana" w:cs="Arial"/>
          <w:sz w:val="16"/>
          <w:szCs w:val="16"/>
        </w:rPr>
      </w:pPr>
    </w:p>
  </w:footnote>
  <w:footnote w:id="2">
    <w:p w14:paraId="7CF08FE3" w14:textId="77777777" w:rsidR="00103317" w:rsidRDefault="00103317" w:rsidP="00103317">
      <w:pPr>
        <w:pStyle w:val="FootnoteText"/>
        <w:ind w:firstLine="709"/>
        <w:contextualSpacing/>
        <w:jc w:val="both"/>
        <w:rPr>
          <w:rFonts w:ascii="Verdana" w:hAnsi="Verdana" w:cs="Arial"/>
          <w:sz w:val="16"/>
          <w:szCs w:val="16"/>
        </w:rPr>
      </w:pPr>
      <w:r w:rsidRPr="00BE126A">
        <w:rPr>
          <w:rStyle w:val="FootnoteReference"/>
          <w:rFonts w:ascii="Verdana" w:hAnsi="Verdana" w:cs="Arial"/>
          <w:sz w:val="16"/>
          <w:szCs w:val="16"/>
        </w:rPr>
        <w:footnoteRef/>
      </w:r>
      <w:r w:rsidRPr="00BE126A">
        <w:rPr>
          <w:rFonts w:ascii="Verdana" w:hAnsi="Verdana" w:cs="Arial"/>
          <w:sz w:val="16"/>
          <w:szCs w:val="16"/>
        </w:rPr>
        <w:t xml:space="preserve"> Gaceta del Congreso de la República No. 71 del 2005.</w:t>
      </w:r>
    </w:p>
    <w:p w14:paraId="33CCE6F6" w14:textId="77777777" w:rsidR="00103317" w:rsidRPr="00BE126A" w:rsidRDefault="00103317" w:rsidP="00103317">
      <w:pPr>
        <w:pStyle w:val="FootnoteText"/>
        <w:ind w:firstLine="709"/>
        <w:contextualSpacing/>
        <w:jc w:val="both"/>
        <w:rPr>
          <w:rFonts w:ascii="Verdana" w:hAnsi="Verdana" w:cs="Arial"/>
          <w:sz w:val="16"/>
          <w:szCs w:val="16"/>
        </w:rPr>
      </w:pPr>
    </w:p>
  </w:footnote>
  <w:footnote w:id="3">
    <w:p w14:paraId="56C529A2" w14:textId="77777777" w:rsidR="00103317" w:rsidRDefault="00103317" w:rsidP="00103317">
      <w:pPr>
        <w:pStyle w:val="FootnoteText"/>
        <w:tabs>
          <w:tab w:val="left" w:pos="8145"/>
        </w:tabs>
        <w:ind w:firstLine="709"/>
        <w:contextualSpacing/>
        <w:jc w:val="both"/>
        <w:rPr>
          <w:rFonts w:ascii="Verdana" w:hAnsi="Verdana" w:cs="Arial"/>
          <w:sz w:val="16"/>
          <w:szCs w:val="16"/>
          <w:lang w:val="pt-PT"/>
        </w:rPr>
      </w:pPr>
      <w:r w:rsidRPr="00BE126A">
        <w:rPr>
          <w:rStyle w:val="FootnoteReference"/>
          <w:rFonts w:ascii="Verdana" w:hAnsi="Verdana" w:cs="Arial"/>
          <w:sz w:val="16"/>
          <w:szCs w:val="16"/>
        </w:rPr>
        <w:footnoteRef/>
      </w:r>
      <w:r w:rsidRPr="005800D0">
        <w:rPr>
          <w:rFonts w:ascii="Verdana" w:hAnsi="Verdana" w:cs="Arial"/>
          <w:sz w:val="16"/>
          <w:szCs w:val="16"/>
          <w:lang w:val="pt-PT"/>
        </w:rPr>
        <w:t xml:space="preserve"> Corte Constitucional</w:t>
      </w:r>
      <w:r>
        <w:rPr>
          <w:rFonts w:ascii="Verdana" w:hAnsi="Verdana" w:cs="Arial"/>
          <w:sz w:val="16"/>
          <w:szCs w:val="16"/>
          <w:lang w:val="pt-PT"/>
        </w:rPr>
        <w:t>.</w:t>
      </w:r>
      <w:r w:rsidRPr="005800D0">
        <w:rPr>
          <w:rFonts w:ascii="Verdana" w:hAnsi="Verdana" w:cs="Arial"/>
          <w:sz w:val="16"/>
          <w:szCs w:val="16"/>
          <w:lang w:val="pt-PT"/>
        </w:rPr>
        <w:t xml:space="preserve"> Sentencia C- 1153 de 2005, M.P</w:t>
      </w:r>
      <w:r>
        <w:rPr>
          <w:rFonts w:ascii="Verdana" w:hAnsi="Verdana" w:cs="Arial"/>
          <w:sz w:val="16"/>
          <w:szCs w:val="16"/>
          <w:lang w:val="pt-PT"/>
        </w:rPr>
        <w:t>:</w:t>
      </w:r>
      <w:r w:rsidRPr="005800D0">
        <w:rPr>
          <w:rFonts w:ascii="Verdana" w:hAnsi="Verdana" w:cs="Arial"/>
          <w:sz w:val="16"/>
          <w:szCs w:val="16"/>
          <w:lang w:val="pt-PT"/>
        </w:rPr>
        <w:t xml:space="preserve"> Marco Gerardo Monroy Cabra.</w:t>
      </w:r>
      <w:r>
        <w:rPr>
          <w:rFonts w:ascii="Verdana" w:hAnsi="Verdana" w:cs="Arial"/>
          <w:sz w:val="16"/>
          <w:szCs w:val="16"/>
          <w:lang w:val="pt-PT"/>
        </w:rPr>
        <w:tab/>
      </w:r>
    </w:p>
    <w:p w14:paraId="64DB0384" w14:textId="77777777" w:rsidR="00103317" w:rsidRPr="005800D0" w:rsidRDefault="00103317" w:rsidP="00103317">
      <w:pPr>
        <w:pStyle w:val="FootnoteText"/>
        <w:tabs>
          <w:tab w:val="left" w:pos="8145"/>
        </w:tabs>
        <w:ind w:firstLine="709"/>
        <w:contextualSpacing/>
        <w:jc w:val="both"/>
        <w:rPr>
          <w:rFonts w:ascii="Verdana" w:hAnsi="Verdana" w:cs="Arial"/>
          <w:sz w:val="16"/>
          <w:szCs w:val="16"/>
          <w:lang w:val="pt-PT"/>
        </w:rPr>
      </w:pPr>
    </w:p>
  </w:footnote>
  <w:footnote w:id="4">
    <w:p w14:paraId="4122CCB9" w14:textId="77777777" w:rsidR="00103317" w:rsidRDefault="00103317" w:rsidP="00103317">
      <w:pPr>
        <w:pStyle w:val="FootnoteText"/>
        <w:ind w:firstLine="709"/>
        <w:contextualSpacing/>
        <w:jc w:val="both"/>
        <w:rPr>
          <w:rFonts w:ascii="Verdana" w:hAnsi="Verdana" w:cs="Arial"/>
          <w:sz w:val="16"/>
          <w:szCs w:val="16"/>
          <w:lang w:val="pt-PT"/>
        </w:rPr>
      </w:pPr>
      <w:r w:rsidRPr="00BE126A">
        <w:rPr>
          <w:rStyle w:val="FootnoteReference"/>
          <w:rFonts w:ascii="Verdana" w:hAnsi="Verdana" w:cs="Arial"/>
          <w:sz w:val="16"/>
          <w:szCs w:val="16"/>
        </w:rPr>
        <w:footnoteRef/>
      </w:r>
      <w:r w:rsidRPr="005800D0">
        <w:rPr>
          <w:rFonts w:ascii="Verdana" w:hAnsi="Verdana" w:cs="Arial"/>
          <w:sz w:val="16"/>
          <w:szCs w:val="16"/>
          <w:lang w:val="pt-PT"/>
        </w:rPr>
        <w:t xml:space="preserve"> </w:t>
      </w:r>
      <w:r w:rsidRPr="0045735C">
        <w:rPr>
          <w:rFonts w:ascii="Verdana" w:hAnsi="Verdana" w:cs="Arial"/>
          <w:sz w:val="16"/>
          <w:szCs w:val="16"/>
          <w:lang w:val="es-CO"/>
        </w:rPr>
        <w:t>Corte Constitucional. Sentencias: C-233 de 4 de abril de 2002. M.P: Álvaro Tafur Galvis; C-551 de 9 de julio de 2003. M.P: Eduardo Montealegre Lynnet; C-353 de 20 de mayo de 2009. M.P: Jorge Iván Palacio Palacio; C-541 de 30 de junio de 2010. M.P: Gabriel Eduardo Mendoza Martelo; entre otras.</w:t>
      </w:r>
    </w:p>
    <w:p w14:paraId="6F14B304" w14:textId="77777777" w:rsidR="00103317" w:rsidRPr="005800D0" w:rsidRDefault="00103317" w:rsidP="00103317">
      <w:pPr>
        <w:pStyle w:val="FootnoteText"/>
        <w:ind w:firstLine="709"/>
        <w:contextualSpacing/>
        <w:jc w:val="both"/>
        <w:rPr>
          <w:rFonts w:ascii="Verdana" w:hAnsi="Verdana" w:cs="Arial"/>
          <w:sz w:val="16"/>
          <w:szCs w:val="16"/>
          <w:lang w:val="pt-PT"/>
        </w:rPr>
      </w:pPr>
    </w:p>
  </w:footnote>
  <w:footnote w:id="5">
    <w:p w14:paraId="08248A2E" w14:textId="77777777" w:rsidR="00103317" w:rsidRDefault="00103317" w:rsidP="00103317">
      <w:pPr>
        <w:pStyle w:val="FootnoteText"/>
        <w:ind w:firstLine="709"/>
        <w:contextualSpacing/>
        <w:jc w:val="both"/>
        <w:rPr>
          <w:rFonts w:ascii="Verdana" w:hAnsi="Verdana" w:cs="Arial"/>
          <w:sz w:val="16"/>
          <w:szCs w:val="16"/>
          <w:lang w:val="es-CO"/>
        </w:rPr>
      </w:pPr>
      <w:r w:rsidRPr="00BE126A">
        <w:rPr>
          <w:rStyle w:val="FootnoteReference"/>
          <w:rFonts w:ascii="Verdana" w:hAnsi="Verdana" w:cs="Arial"/>
          <w:sz w:val="16"/>
          <w:szCs w:val="16"/>
        </w:rPr>
        <w:footnoteRef/>
      </w:r>
      <w:r w:rsidRPr="00BE126A">
        <w:rPr>
          <w:rFonts w:ascii="Verdana" w:hAnsi="Verdana" w:cs="Arial"/>
          <w:sz w:val="16"/>
          <w:szCs w:val="16"/>
          <w:lang w:val="es-CO"/>
        </w:rPr>
        <w:t xml:space="preserve"> </w:t>
      </w:r>
      <w:r w:rsidRPr="0045735C">
        <w:rPr>
          <w:rFonts w:ascii="Verdana" w:hAnsi="Verdana" w:cs="Arial"/>
          <w:sz w:val="16"/>
          <w:szCs w:val="16"/>
          <w:lang w:val="es-CO"/>
        </w:rPr>
        <w:t xml:space="preserve">Consejo de Estado. Sala de lo Contencioso Administrativo. Sección Primera. Sentencia de 3 de marzo de 2005. Radicado: </w:t>
      </w:r>
      <w:r w:rsidRPr="0045735C">
        <w:rPr>
          <w:rFonts w:ascii="Verdana" w:hAnsi="Verdana" w:cs="Arial"/>
          <w:sz w:val="16"/>
          <w:szCs w:val="16"/>
          <w:lang w:val="es-ES"/>
        </w:rPr>
        <w:t xml:space="preserve">25001-23-15-000-2004-00823-01 (PI). </w:t>
      </w:r>
      <w:r w:rsidRPr="0045735C">
        <w:rPr>
          <w:rFonts w:ascii="Verdana" w:hAnsi="Verdana" w:cs="Arial"/>
          <w:sz w:val="16"/>
          <w:szCs w:val="16"/>
          <w:lang w:val="es-CO"/>
        </w:rPr>
        <w:t>C.P: Camilo Arciniegas Andrade. Ver también, de la Sección Tercera. Sentencia de 22 de enero de 2002, expediente número 2001-0148-01 y, Sección Tercera. Sentencia de 20 de noviembre de 2001, expediente número 2001-0130-01(PI), entre otras.</w:t>
      </w:r>
    </w:p>
    <w:p w14:paraId="7CD5C593" w14:textId="77777777" w:rsidR="00103317" w:rsidRPr="00BE126A" w:rsidRDefault="00103317" w:rsidP="00103317">
      <w:pPr>
        <w:pStyle w:val="FootnoteText"/>
        <w:ind w:firstLine="709"/>
        <w:contextualSpacing/>
        <w:jc w:val="both"/>
        <w:rPr>
          <w:rFonts w:ascii="Verdana" w:hAnsi="Verdana" w:cs="Arial"/>
          <w:sz w:val="16"/>
          <w:szCs w:val="16"/>
          <w:lang w:val="es-CO"/>
        </w:rPr>
      </w:pPr>
    </w:p>
  </w:footnote>
  <w:footnote w:id="6">
    <w:p w14:paraId="30098174" w14:textId="77777777" w:rsidR="00103317" w:rsidRDefault="00103317" w:rsidP="00103317">
      <w:pPr>
        <w:pStyle w:val="FootnoteText"/>
        <w:ind w:firstLine="709"/>
        <w:contextualSpacing/>
        <w:jc w:val="both"/>
        <w:rPr>
          <w:rFonts w:ascii="Verdana" w:hAnsi="Verdana" w:cs="Arial"/>
          <w:sz w:val="16"/>
          <w:szCs w:val="16"/>
        </w:rPr>
      </w:pPr>
      <w:r w:rsidRPr="00BE126A">
        <w:rPr>
          <w:rStyle w:val="FootnoteReference"/>
          <w:rFonts w:ascii="Verdana" w:hAnsi="Verdana" w:cs="Arial"/>
          <w:sz w:val="16"/>
          <w:szCs w:val="16"/>
        </w:rPr>
        <w:footnoteRef/>
      </w:r>
      <w:r w:rsidRPr="00BE126A">
        <w:rPr>
          <w:rFonts w:ascii="Verdana" w:hAnsi="Verdana" w:cs="Arial"/>
          <w:sz w:val="16"/>
          <w:szCs w:val="16"/>
        </w:rPr>
        <w:t xml:space="preserve"> </w:t>
      </w:r>
      <w:r w:rsidRPr="0045735C">
        <w:rPr>
          <w:rFonts w:ascii="Verdana" w:hAnsi="Verdana" w:cs="Arial"/>
          <w:sz w:val="16"/>
          <w:szCs w:val="16"/>
        </w:rPr>
        <w:t xml:space="preserve">Consejo de Estado, Sala de Consulta y Servicio Civil. 24 de julio de 2013. Radicado: </w:t>
      </w:r>
      <w:r w:rsidRPr="0045735C">
        <w:rPr>
          <w:rFonts w:ascii="Verdana" w:hAnsi="Verdana" w:cs="Arial"/>
          <w:sz w:val="16"/>
          <w:szCs w:val="16"/>
          <w:lang w:val="es-CO"/>
        </w:rPr>
        <w:t xml:space="preserve">11001-03-06-000-2013-00407-00 </w:t>
      </w:r>
      <w:r w:rsidRPr="0045735C">
        <w:rPr>
          <w:rFonts w:ascii="Verdana" w:hAnsi="Verdana" w:cs="Arial"/>
          <w:sz w:val="16"/>
          <w:szCs w:val="16"/>
        </w:rPr>
        <w:t>(2166). C.P. Álvaro Namén Vargas</w:t>
      </w:r>
      <w:r w:rsidRPr="00BE126A">
        <w:rPr>
          <w:rFonts w:ascii="Verdana" w:hAnsi="Verdana" w:cs="Arial"/>
          <w:sz w:val="16"/>
          <w:szCs w:val="16"/>
        </w:rPr>
        <w:t xml:space="preserve">.  </w:t>
      </w:r>
    </w:p>
    <w:p w14:paraId="77B80C17" w14:textId="77777777" w:rsidR="00103317" w:rsidRPr="00BE126A" w:rsidRDefault="00103317" w:rsidP="00103317">
      <w:pPr>
        <w:pStyle w:val="FootnoteText"/>
        <w:ind w:firstLine="709"/>
        <w:contextualSpacing/>
        <w:jc w:val="both"/>
        <w:rPr>
          <w:rFonts w:ascii="Verdana" w:hAnsi="Verdana" w:cs="Arial"/>
          <w:sz w:val="16"/>
          <w:szCs w:val="16"/>
        </w:rPr>
      </w:pPr>
    </w:p>
  </w:footnote>
  <w:footnote w:id="7">
    <w:p w14:paraId="6AB4BD19" w14:textId="77777777" w:rsidR="00103317" w:rsidRPr="00BE126A" w:rsidRDefault="00103317" w:rsidP="00103317">
      <w:pPr>
        <w:spacing w:after="0" w:line="240" w:lineRule="auto"/>
        <w:ind w:firstLine="709"/>
        <w:contextualSpacing/>
        <w:jc w:val="both"/>
        <w:rPr>
          <w:rFonts w:ascii="Verdana" w:eastAsia="Times New Roman" w:hAnsi="Verdana" w:cs="Arial"/>
          <w:sz w:val="16"/>
          <w:szCs w:val="16"/>
        </w:rPr>
      </w:pPr>
      <w:r w:rsidRPr="00BE126A">
        <w:rPr>
          <w:rStyle w:val="FootnoteReference"/>
          <w:rFonts w:ascii="Verdana" w:hAnsi="Verdana" w:cs="Arial"/>
          <w:sz w:val="16"/>
          <w:szCs w:val="16"/>
        </w:rPr>
        <w:footnoteRef/>
      </w:r>
      <w:r w:rsidRPr="00BE126A">
        <w:rPr>
          <w:rFonts w:ascii="Verdana" w:hAnsi="Verdana" w:cs="Arial"/>
          <w:sz w:val="16"/>
          <w:szCs w:val="16"/>
        </w:rPr>
        <w:t xml:space="preserve"> </w:t>
      </w:r>
      <w:bookmarkStart w:id="5" w:name="33"/>
      <w:r w:rsidRPr="00BE126A">
        <w:rPr>
          <w:rFonts w:ascii="Verdana" w:eastAsia="Calibri" w:hAnsi="Verdana" w:cs="Arial"/>
          <w:bCs/>
          <w:color w:val="000000"/>
          <w:sz w:val="16"/>
          <w:szCs w:val="16"/>
        </w:rPr>
        <w:t>“</w:t>
      </w:r>
      <w:r w:rsidRPr="00BE126A">
        <w:rPr>
          <w:rFonts w:ascii="Verdana" w:eastAsia="Times New Roman" w:hAnsi="Verdana" w:cs="Arial"/>
          <w:sz w:val="16"/>
          <w:szCs w:val="16"/>
        </w:rPr>
        <w:t>Artículo 33. Restricciones a la contratación pública.</w:t>
      </w:r>
      <w:bookmarkEnd w:id="5"/>
      <w:r w:rsidRPr="00BE126A">
        <w:rPr>
          <w:rFonts w:ascii="Verdana" w:eastAsia="Times New Roman" w:hAnsi="Verdana" w:cs="Arial"/>
          <w:sz w:val="16"/>
          <w:szCs w:val="16"/>
        </w:rPr>
        <w:t> Durante los cuatro (4) meses anteriores a la elección presidencial y hasta la realización de la elección en la segunda vuelta, si fuere el caso, queda prohibida la contratación directa por parte de todos los entes del Estado.</w:t>
      </w:r>
    </w:p>
    <w:p w14:paraId="32C753E8" w14:textId="77777777" w:rsidR="00103317" w:rsidRDefault="00103317" w:rsidP="00103317">
      <w:pPr>
        <w:spacing w:after="0" w:line="240" w:lineRule="auto"/>
        <w:ind w:firstLine="709"/>
        <w:contextualSpacing/>
        <w:jc w:val="both"/>
        <w:rPr>
          <w:rFonts w:ascii="Verdana" w:eastAsia="Times New Roman" w:hAnsi="Verdana" w:cs="Arial"/>
          <w:sz w:val="16"/>
          <w:szCs w:val="16"/>
        </w:rPr>
      </w:pPr>
      <w:r w:rsidRPr="00BE126A">
        <w:rPr>
          <w:rFonts w:ascii="Verdana" w:eastAsia="Times New Roman" w:hAnsi="Verdana" w:cs="Arial"/>
          <w:sz w:val="16"/>
          <w:szCs w:val="16"/>
        </w:rPr>
        <w:t>Queda exceptuado lo referente a la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atentados, acciones terroristas, desastres naturales o casos de fuerza mayor, y los que deban realizar las entidades sanitarias y hospitalarias.</w:t>
      </w:r>
    </w:p>
    <w:p w14:paraId="23EAAD5F" w14:textId="77777777" w:rsidR="00103317" w:rsidRPr="00BE126A" w:rsidRDefault="00103317" w:rsidP="00103317">
      <w:pPr>
        <w:spacing w:after="0" w:line="240" w:lineRule="auto"/>
        <w:ind w:firstLine="709"/>
        <w:contextualSpacing/>
        <w:jc w:val="both"/>
        <w:rPr>
          <w:rFonts w:ascii="Verdana" w:eastAsia="Times New Roman" w:hAnsi="Verdana" w:cs="Arial"/>
          <w:sz w:val="16"/>
          <w:szCs w:val="16"/>
        </w:rPr>
      </w:pPr>
    </w:p>
  </w:footnote>
  <w:footnote w:id="8">
    <w:p w14:paraId="7D09D0ED" w14:textId="77777777" w:rsidR="00103317" w:rsidRPr="00BE126A" w:rsidRDefault="00103317" w:rsidP="00103317">
      <w:pPr>
        <w:pStyle w:val="NormalWeb"/>
        <w:spacing w:before="0" w:beforeAutospacing="0" w:after="0" w:afterAutospacing="0"/>
        <w:ind w:firstLine="709"/>
        <w:contextualSpacing/>
        <w:jc w:val="both"/>
        <w:rPr>
          <w:rFonts w:ascii="Verdana" w:hAnsi="Verdana" w:cs="Arial"/>
          <w:sz w:val="16"/>
          <w:szCs w:val="16"/>
          <w:lang w:val="es-MX"/>
        </w:rPr>
      </w:pPr>
      <w:r w:rsidRPr="00BE126A">
        <w:rPr>
          <w:rStyle w:val="FootnoteReference"/>
          <w:rFonts w:ascii="Verdana" w:hAnsi="Verdana" w:cs="Arial"/>
          <w:sz w:val="16"/>
          <w:szCs w:val="16"/>
        </w:rPr>
        <w:footnoteRef/>
      </w:r>
      <w:r w:rsidRPr="00BE126A">
        <w:rPr>
          <w:rFonts w:ascii="Verdana" w:hAnsi="Verdana" w:cs="Arial"/>
          <w:sz w:val="16"/>
          <w:szCs w:val="16"/>
        </w:rPr>
        <w:t xml:space="preserve"> </w:t>
      </w:r>
      <w:bookmarkStart w:id="6" w:name="38"/>
      <w:r w:rsidRPr="00BE126A">
        <w:rPr>
          <w:rFonts w:ascii="Verdana" w:eastAsia="Calibri" w:hAnsi="Verdana" w:cs="Arial"/>
          <w:bCs/>
          <w:color w:val="000000"/>
          <w:sz w:val="16"/>
          <w:szCs w:val="16"/>
        </w:rPr>
        <w:t>“</w:t>
      </w:r>
      <w:r w:rsidRPr="00BE126A">
        <w:rPr>
          <w:rFonts w:ascii="Verdana" w:hAnsi="Verdana" w:cs="Arial"/>
          <w:sz w:val="16"/>
          <w:szCs w:val="16"/>
          <w:lang w:val="es-MX"/>
        </w:rPr>
        <w:t>Artículo 38. Prohibiciones para los servidores públicos. A los empleados del Estado les está prohibido:</w:t>
      </w:r>
      <w:bookmarkEnd w:id="6"/>
    </w:p>
    <w:p w14:paraId="7CA115DF" w14:textId="77777777" w:rsidR="00103317" w:rsidRPr="00BE126A" w:rsidRDefault="00103317" w:rsidP="00103317">
      <w:pPr>
        <w:pStyle w:val="NormalWeb"/>
        <w:spacing w:before="0" w:beforeAutospacing="0" w:after="0" w:afterAutospacing="0"/>
        <w:ind w:firstLine="709"/>
        <w:contextualSpacing/>
        <w:jc w:val="both"/>
        <w:rPr>
          <w:rFonts w:ascii="Verdana" w:hAnsi="Verdana" w:cs="Arial"/>
          <w:sz w:val="16"/>
          <w:szCs w:val="16"/>
          <w:lang w:val="es-MX"/>
        </w:rPr>
      </w:pPr>
      <w:r>
        <w:rPr>
          <w:rFonts w:ascii="Verdana" w:hAnsi="Verdana" w:cs="Arial"/>
          <w:sz w:val="16"/>
          <w:szCs w:val="16"/>
          <w:lang w:val="es-MX"/>
        </w:rPr>
        <w:t>(…)</w:t>
      </w:r>
    </w:p>
    <w:p w14:paraId="4AD0FCEE" w14:textId="77777777" w:rsidR="00103317" w:rsidRDefault="00103317" w:rsidP="00103317">
      <w:pPr>
        <w:pStyle w:val="NormalWeb"/>
        <w:spacing w:before="0" w:beforeAutospacing="0" w:after="0" w:afterAutospacing="0"/>
        <w:ind w:firstLine="709"/>
        <w:contextualSpacing/>
        <w:jc w:val="both"/>
        <w:rPr>
          <w:rFonts w:ascii="Verdana" w:eastAsia="Calibri" w:hAnsi="Verdana" w:cs="Arial"/>
          <w:bCs/>
          <w:color w:val="000000"/>
          <w:sz w:val="16"/>
          <w:szCs w:val="16"/>
        </w:rPr>
      </w:pPr>
      <w:r w:rsidRPr="00BE126A">
        <w:rPr>
          <w:rStyle w:val="baj"/>
          <w:rFonts w:ascii="Verdana" w:hAnsi="Verdana" w:cs="Arial"/>
          <w:sz w:val="16"/>
          <w:szCs w:val="16"/>
          <w:lang w:val="es-MX"/>
        </w:rPr>
        <w:t>Parágrafo.</w:t>
      </w:r>
      <w:r w:rsidRPr="00BE126A">
        <w:rPr>
          <w:rFonts w:ascii="Verdana" w:hAnsi="Verdana" w:cs="Arial"/>
          <w:sz w:val="16"/>
          <w:szCs w:val="16"/>
          <w:lang w:val="es-MX"/>
        </w:rPr>
        <w:t> Los gobernadores, alcaldes municipales y/o distritales, secretarios, gerentes y directores de entidades descentralizadas del orden municipal, departamental o distrital, dentro de los cuatro (4) meses anteriores a las elecciones, no podrán celebrar convenios interadministrativos para la ejecución de recursos públicos, ni participar, promover y destinar recursos públicos de las entidades a su cargo, como tampoco de las que participen como miembros de sus juntas directivas, en o para reuniones de carácter proselitista</w:t>
      </w:r>
      <w:r w:rsidRPr="00BE126A">
        <w:rPr>
          <w:rFonts w:ascii="Verdana" w:eastAsia="Calibri" w:hAnsi="Verdana" w:cs="Arial"/>
          <w:bCs/>
          <w:color w:val="000000"/>
          <w:sz w:val="16"/>
          <w:szCs w:val="16"/>
        </w:rPr>
        <w:t>”</w:t>
      </w:r>
      <w:r>
        <w:rPr>
          <w:rFonts w:ascii="Verdana" w:eastAsia="Calibri" w:hAnsi="Verdana" w:cs="Arial"/>
          <w:bCs/>
          <w:color w:val="000000"/>
          <w:sz w:val="16"/>
          <w:szCs w:val="16"/>
        </w:rPr>
        <w:t>.</w:t>
      </w:r>
    </w:p>
    <w:p w14:paraId="4E84061C" w14:textId="77777777" w:rsidR="00103317" w:rsidRPr="00BE126A" w:rsidRDefault="00103317" w:rsidP="00103317">
      <w:pPr>
        <w:pStyle w:val="NormalWeb"/>
        <w:spacing w:before="0" w:beforeAutospacing="0" w:after="0" w:afterAutospacing="0"/>
        <w:ind w:firstLine="709"/>
        <w:contextualSpacing/>
        <w:jc w:val="both"/>
        <w:rPr>
          <w:rFonts w:ascii="Verdana" w:hAnsi="Verdana" w:cs="Arial"/>
          <w:sz w:val="16"/>
          <w:szCs w:val="16"/>
          <w:lang w:val="es-MX"/>
        </w:rPr>
      </w:pPr>
    </w:p>
  </w:footnote>
  <w:footnote w:id="9">
    <w:p w14:paraId="39EB3D3C" w14:textId="77777777" w:rsidR="00103317" w:rsidRPr="00BE126A" w:rsidRDefault="00103317" w:rsidP="00103317">
      <w:pPr>
        <w:spacing w:after="0" w:line="240" w:lineRule="auto"/>
        <w:ind w:left="100" w:right="244" w:firstLine="709"/>
        <w:contextualSpacing/>
        <w:jc w:val="both"/>
        <w:rPr>
          <w:rFonts w:ascii="Verdana" w:hAnsi="Verdana" w:cs="Arial"/>
          <w:sz w:val="16"/>
          <w:szCs w:val="16"/>
          <w:lang w:val="es-ES"/>
        </w:rPr>
      </w:pPr>
      <w:r w:rsidRPr="00BE126A">
        <w:rPr>
          <w:rStyle w:val="FootnoteReference"/>
          <w:rFonts w:ascii="Verdana" w:hAnsi="Verdana" w:cs="Arial"/>
          <w:sz w:val="16"/>
          <w:szCs w:val="16"/>
        </w:rPr>
        <w:footnoteRef/>
      </w:r>
      <w:r w:rsidRPr="00BE126A">
        <w:rPr>
          <w:rFonts w:ascii="Verdana" w:hAnsi="Verdana" w:cs="Arial"/>
          <w:sz w:val="16"/>
          <w:szCs w:val="16"/>
        </w:rPr>
        <w:t xml:space="preserve"> </w:t>
      </w:r>
      <w:r w:rsidRPr="00A04AF0">
        <w:rPr>
          <w:rFonts w:ascii="Verdana" w:hAnsi="Verdana" w:cs="Arial"/>
          <w:sz w:val="16"/>
          <w:szCs w:val="16"/>
        </w:rPr>
        <w:t>Consejo de Estado. Sala de Consulta y Servicio Civil. Concepto del 17 de febrero de 2015.</w:t>
      </w:r>
      <w:r>
        <w:rPr>
          <w:rFonts w:ascii="Verdana" w:hAnsi="Verdana" w:cs="Arial"/>
          <w:sz w:val="16"/>
          <w:szCs w:val="16"/>
        </w:rPr>
        <w:t xml:space="preserve"> </w:t>
      </w:r>
      <w:r w:rsidRPr="00A04AF0">
        <w:rPr>
          <w:rFonts w:ascii="Verdana" w:hAnsi="Verdana" w:cs="Arial"/>
          <w:sz w:val="16"/>
          <w:szCs w:val="16"/>
        </w:rPr>
        <w:t>Radicado: 11001-03-06-000-2015-00164-00 (2269). C.P. William Zambrano Cetina</w:t>
      </w:r>
      <w:r w:rsidRPr="00BE126A">
        <w:rPr>
          <w:rFonts w:ascii="Verdana" w:hAnsi="Verdana" w:cs="Arial"/>
          <w:sz w:val="16"/>
          <w:szCs w:val="16"/>
        </w:rPr>
        <w:t>.</w:t>
      </w:r>
    </w:p>
  </w:footnote>
  <w:footnote w:id="10">
    <w:p w14:paraId="1098F134" w14:textId="77777777" w:rsidR="00103317" w:rsidRDefault="00103317" w:rsidP="00103317">
      <w:pPr>
        <w:pStyle w:val="FootnoteText"/>
        <w:ind w:firstLine="709"/>
        <w:contextualSpacing/>
        <w:jc w:val="both"/>
        <w:rPr>
          <w:rFonts w:ascii="Verdana" w:hAnsi="Verdana" w:cs="Arial"/>
          <w:sz w:val="16"/>
          <w:szCs w:val="16"/>
        </w:rPr>
      </w:pPr>
      <w:r w:rsidRPr="00CE0D82">
        <w:rPr>
          <w:rStyle w:val="FootnoteReference"/>
          <w:rFonts w:ascii="Verdana" w:hAnsi="Verdana" w:cs="Arial"/>
          <w:sz w:val="16"/>
          <w:szCs w:val="16"/>
        </w:rPr>
        <w:footnoteRef/>
      </w:r>
      <w:r w:rsidRPr="00CE0D82">
        <w:rPr>
          <w:rFonts w:ascii="Verdana" w:hAnsi="Verdana" w:cs="Arial"/>
          <w:sz w:val="16"/>
          <w:szCs w:val="16"/>
        </w:rPr>
        <w:t xml:space="preserve"> “</w:t>
      </w:r>
      <w:r w:rsidRPr="00CE0D82">
        <w:rPr>
          <w:rFonts w:ascii="Verdana" w:hAnsi="Verdana" w:cs="Arial"/>
          <w:sz w:val="16"/>
          <w:szCs w:val="16"/>
          <w:lang w:val="es-ES"/>
        </w:rPr>
        <w:t xml:space="preserve">[25] </w:t>
      </w:r>
      <w:r w:rsidRPr="00CE0D82">
        <w:rPr>
          <w:rFonts w:ascii="Verdana" w:hAnsi="Verdana" w:cs="Arial"/>
          <w:sz w:val="16"/>
          <w:szCs w:val="16"/>
        </w:rPr>
        <w:t>Cfr. Consejo de Estado. Sección Tercera. Sentencia de 3 de diciembre de 2007. Radicados: 24.715, 25.206, 25.409, 24.524, 27.834, 25.410, 26.105, 28.244, 31.447 -acumulados-</w:t>
      </w:r>
      <w:r>
        <w:rPr>
          <w:rFonts w:ascii="Verdana" w:hAnsi="Verdana" w:cs="Arial"/>
          <w:sz w:val="16"/>
          <w:szCs w:val="16"/>
        </w:rPr>
        <w:t>“</w:t>
      </w:r>
      <w:r w:rsidRPr="00CE0D82">
        <w:rPr>
          <w:rFonts w:ascii="Verdana" w:hAnsi="Verdana" w:cs="Arial"/>
          <w:sz w:val="16"/>
          <w:szCs w:val="16"/>
        </w:rPr>
        <w:t>.</w:t>
      </w:r>
    </w:p>
    <w:p w14:paraId="566A1987" w14:textId="77777777" w:rsidR="00103317" w:rsidRPr="00CE0D82" w:rsidRDefault="00103317" w:rsidP="00103317">
      <w:pPr>
        <w:pStyle w:val="FootnoteText"/>
        <w:ind w:firstLine="709"/>
        <w:contextualSpacing/>
        <w:jc w:val="both"/>
        <w:rPr>
          <w:rFonts w:ascii="Verdana" w:hAnsi="Verdana" w:cs="Arial"/>
          <w:sz w:val="16"/>
          <w:szCs w:val="16"/>
        </w:rPr>
      </w:pPr>
    </w:p>
  </w:footnote>
  <w:footnote w:id="11">
    <w:p w14:paraId="3F622E61" w14:textId="77777777" w:rsidR="00103317" w:rsidRDefault="00103317" w:rsidP="00103317">
      <w:pPr>
        <w:pStyle w:val="FootnoteText"/>
        <w:ind w:firstLine="709"/>
        <w:contextualSpacing/>
        <w:jc w:val="both"/>
        <w:rPr>
          <w:rFonts w:ascii="Verdana" w:hAnsi="Verdana" w:cs="Arial"/>
          <w:sz w:val="16"/>
          <w:szCs w:val="16"/>
        </w:rPr>
      </w:pPr>
      <w:r w:rsidRPr="00CE0D82">
        <w:rPr>
          <w:rStyle w:val="FootnoteReference"/>
          <w:rFonts w:ascii="Verdana" w:hAnsi="Verdana" w:cs="Arial"/>
          <w:sz w:val="16"/>
          <w:szCs w:val="16"/>
        </w:rPr>
        <w:footnoteRef/>
      </w:r>
      <w:r w:rsidRPr="00CE0D82">
        <w:rPr>
          <w:rFonts w:ascii="Verdana" w:hAnsi="Verdana" w:cs="Arial"/>
          <w:sz w:val="16"/>
          <w:szCs w:val="16"/>
        </w:rPr>
        <w:t xml:space="preserve"> </w:t>
      </w:r>
      <w:bookmarkStart w:id="14" w:name="_Hlk74294506"/>
      <w:r w:rsidRPr="00CE0D82">
        <w:rPr>
          <w:rFonts w:ascii="Verdana" w:hAnsi="Verdana" w:cs="Arial"/>
          <w:sz w:val="16"/>
          <w:szCs w:val="16"/>
        </w:rPr>
        <w:t>“</w:t>
      </w:r>
      <w:r w:rsidRPr="00CE0D82">
        <w:rPr>
          <w:rFonts w:ascii="Verdana" w:hAnsi="Verdana" w:cs="Arial"/>
          <w:sz w:val="16"/>
          <w:szCs w:val="16"/>
          <w:lang w:val="es-ES"/>
        </w:rPr>
        <w:t xml:space="preserve">[26] </w:t>
      </w:r>
      <w:bookmarkEnd w:id="14"/>
      <w:r w:rsidRPr="00CE0D82">
        <w:rPr>
          <w:rFonts w:ascii="Verdana" w:hAnsi="Verdana" w:cs="Arial"/>
          <w:sz w:val="16"/>
          <w:szCs w:val="16"/>
        </w:rPr>
        <w:t>Al respecto ver el concepto 1712 de 2 de febrero de 2006. Consejo de Estado Sala de Consulta y Servicio Civil”.</w:t>
      </w:r>
    </w:p>
    <w:p w14:paraId="349A0D04" w14:textId="77777777" w:rsidR="00103317" w:rsidRPr="00CE0D82" w:rsidRDefault="00103317" w:rsidP="00103317">
      <w:pPr>
        <w:pStyle w:val="FootnoteText"/>
        <w:ind w:firstLine="709"/>
        <w:contextualSpacing/>
        <w:jc w:val="both"/>
        <w:rPr>
          <w:rFonts w:ascii="Verdana" w:hAnsi="Verdana" w:cs="Arial"/>
          <w:sz w:val="16"/>
          <w:szCs w:val="16"/>
        </w:rPr>
      </w:pPr>
    </w:p>
  </w:footnote>
  <w:footnote w:id="12">
    <w:p w14:paraId="14F21AC3" w14:textId="77777777" w:rsidR="00103317" w:rsidRDefault="00103317" w:rsidP="00103317">
      <w:pPr>
        <w:pStyle w:val="FootnoteText"/>
        <w:ind w:firstLine="709"/>
        <w:contextualSpacing/>
        <w:jc w:val="both"/>
        <w:rPr>
          <w:rFonts w:ascii="Verdana" w:hAnsi="Verdana" w:cs="Arial"/>
          <w:sz w:val="16"/>
          <w:szCs w:val="16"/>
        </w:rPr>
      </w:pPr>
      <w:r w:rsidRPr="00CE0D82">
        <w:rPr>
          <w:rStyle w:val="FootnoteReference"/>
          <w:rFonts w:ascii="Verdana" w:hAnsi="Verdana" w:cs="Arial"/>
          <w:sz w:val="16"/>
          <w:szCs w:val="16"/>
        </w:rPr>
        <w:footnoteRef/>
      </w:r>
      <w:r w:rsidRPr="00CE0D82">
        <w:rPr>
          <w:rFonts w:ascii="Verdana" w:hAnsi="Verdana" w:cs="Arial"/>
          <w:sz w:val="16"/>
          <w:szCs w:val="16"/>
        </w:rPr>
        <w:t xml:space="preserve"> </w:t>
      </w:r>
      <w:r w:rsidRPr="00235FCF">
        <w:rPr>
          <w:rFonts w:ascii="Verdana" w:hAnsi="Verdana" w:cs="Arial"/>
          <w:sz w:val="16"/>
          <w:szCs w:val="16"/>
        </w:rPr>
        <w:t>Consejo de Estado. Sala de Consulta y Servicio Civil. Concepto del 2 de septiembre de 2013. Radicación número: 11001-03-06-000-2013-00412-00 (2168). C</w:t>
      </w:r>
      <w:r>
        <w:rPr>
          <w:rFonts w:ascii="Verdana" w:hAnsi="Verdana" w:cs="Arial"/>
          <w:sz w:val="16"/>
          <w:szCs w:val="16"/>
        </w:rPr>
        <w:t>.P</w:t>
      </w:r>
      <w:r w:rsidRPr="00235FCF">
        <w:rPr>
          <w:rFonts w:ascii="Verdana" w:hAnsi="Verdana" w:cs="Arial"/>
          <w:sz w:val="16"/>
          <w:szCs w:val="16"/>
        </w:rPr>
        <w:t>: Álvaro Namén Vargas.</w:t>
      </w:r>
    </w:p>
    <w:p w14:paraId="26F9692F" w14:textId="77777777" w:rsidR="00103317" w:rsidRPr="005800D0" w:rsidRDefault="00103317" w:rsidP="00103317">
      <w:pPr>
        <w:pStyle w:val="FootnoteText"/>
        <w:ind w:firstLine="709"/>
        <w:contextualSpacing/>
        <w:jc w:val="both"/>
        <w:rPr>
          <w:rFonts w:ascii="Verdana" w:hAnsi="Verdana" w:cs="Arial"/>
          <w:sz w:val="16"/>
          <w:szCs w:val="16"/>
        </w:rPr>
      </w:pPr>
    </w:p>
  </w:footnote>
  <w:footnote w:id="13">
    <w:p w14:paraId="4944E858" w14:textId="77777777" w:rsidR="00103317" w:rsidRDefault="00103317" w:rsidP="00103317">
      <w:pPr>
        <w:pStyle w:val="FootnoteText"/>
        <w:ind w:firstLine="709"/>
        <w:contextualSpacing/>
        <w:rPr>
          <w:rFonts w:ascii="Verdana" w:hAnsi="Verdana" w:cs="Arial"/>
          <w:sz w:val="16"/>
          <w:szCs w:val="16"/>
          <w:lang w:val="es-ES"/>
        </w:rPr>
      </w:pPr>
      <w:r w:rsidRPr="00CE0D82">
        <w:rPr>
          <w:rStyle w:val="FootnoteReference"/>
          <w:rFonts w:ascii="Verdana" w:hAnsi="Verdana" w:cs="Arial"/>
          <w:sz w:val="16"/>
          <w:szCs w:val="16"/>
        </w:rPr>
        <w:footnoteRef/>
      </w:r>
      <w:r w:rsidRPr="00CE0D82">
        <w:rPr>
          <w:rFonts w:ascii="Verdana" w:hAnsi="Verdana" w:cs="Arial"/>
          <w:sz w:val="16"/>
          <w:szCs w:val="16"/>
        </w:rPr>
        <w:t xml:space="preserve"> </w:t>
      </w:r>
      <w:r w:rsidRPr="00CE0D82">
        <w:rPr>
          <w:rFonts w:ascii="Verdana" w:hAnsi="Verdana" w:cs="Arial"/>
          <w:sz w:val="16"/>
          <w:szCs w:val="16"/>
          <w:lang w:val="es-ES"/>
        </w:rPr>
        <w:t xml:space="preserve">Artículo 2. </w:t>
      </w:r>
    </w:p>
    <w:p w14:paraId="7392619D" w14:textId="77777777" w:rsidR="00103317" w:rsidRPr="00CE0D82" w:rsidRDefault="00103317" w:rsidP="00103317">
      <w:pPr>
        <w:pStyle w:val="FootnoteText"/>
        <w:ind w:firstLine="709"/>
        <w:contextualSpacing/>
        <w:rPr>
          <w:rFonts w:ascii="Verdana" w:hAnsi="Verdana" w:cs="Arial"/>
          <w:sz w:val="16"/>
          <w:szCs w:val="16"/>
          <w:lang w:val="es-ES"/>
        </w:rPr>
      </w:pPr>
    </w:p>
  </w:footnote>
  <w:footnote w:id="14">
    <w:p w14:paraId="51B7C895" w14:textId="77777777" w:rsidR="00103317" w:rsidRDefault="00103317" w:rsidP="00103317">
      <w:pPr>
        <w:pStyle w:val="FootnoteText"/>
        <w:ind w:firstLine="709"/>
        <w:contextualSpacing/>
        <w:rPr>
          <w:rFonts w:ascii="Verdana" w:hAnsi="Verdana" w:cs="Arial"/>
          <w:sz w:val="16"/>
          <w:szCs w:val="16"/>
          <w:lang w:val="es-ES"/>
        </w:rPr>
      </w:pPr>
      <w:r w:rsidRPr="00CE0D82">
        <w:rPr>
          <w:rStyle w:val="FootnoteReference"/>
          <w:rFonts w:ascii="Verdana" w:hAnsi="Verdana" w:cs="Arial"/>
          <w:sz w:val="16"/>
          <w:szCs w:val="16"/>
        </w:rPr>
        <w:footnoteRef/>
      </w:r>
      <w:r w:rsidRPr="00CE0D82">
        <w:rPr>
          <w:rFonts w:ascii="Verdana" w:hAnsi="Verdana" w:cs="Arial"/>
          <w:sz w:val="16"/>
          <w:szCs w:val="16"/>
        </w:rPr>
        <w:t xml:space="preserve"> </w:t>
      </w:r>
      <w:r w:rsidRPr="00CE0D82">
        <w:rPr>
          <w:rFonts w:ascii="Verdana" w:hAnsi="Verdana" w:cs="Arial"/>
          <w:i/>
          <w:sz w:val="16"/>
          <w:szCs w:val="16"/>
          <w:lang w:val="es-ES"/>
        </w:rPr>
        <w:t>Ídem</w:t>
      </w:r>
      <w:r w:rsidRPr="00CE0D82">
        <w:rPr>
          <w:rFonts w:ascii="Verdana" w:hAnsi="Verdana" w:cs="Arial"/>
          <w:sz w:val="16"/>
          <w:szCs w:val="16"/>
          <w:lang w:val="es-ES"/>
        </w:rPr>
        <w:t>.</w:t>
      </w:r>
    </w:p>
    <w:p w14:paraId="1296E269" w14:textId="77777777" w:rsidR="00103317" w:rsidRPr="00CE0D82" w:rsidRDefault="00103317" w:rsidP="00103317">
      <w:pPr>
        <w:pStyle w:val="FootnoteText"/>
        <w:ind w:firstLine="709"/>
        <w:contextualSpacing/>
        <w:rPr>
          <w:rFonts w:ascii="Verdana" w:hAnsi="Verdana" w:cs="Arial"/>
          <w:sz w:val="16"/>
          <w:szCs w:val="16"/>
          <w:lang w:val="es-ES"/>
        </w:rPr>
      </w:pPr>
    </w:p>
  </w:footnote>
  <w:footnote w:id="15">
    <w:p w14:paraId="4178874C" w14:textId="77777777" w:rsidR="00103317" w:rsidRDefault="00103317" w:rsidP="00103317">
      <w:pPr>
        <w:pStyle w:val="FootnoteText"/>
        <w:ind w:firstLine="709"/>
        <w:contextualSpacing/>
        <w:rPr>
          <w:rFonts w:ascii="Verdana" w:hAnsi="Verdana" w:cs="Arial"/>
          <w:sz w:val="16"/>
          <w:szCs w:val="16"/>
          <w:lang w:val="es-ES"/>
        </w:rPr>
      </w:pPr>
      <w:r w:rsidRPr="00CE0D82">
        <w:rPr>
          <w:rStyle w:val="FootnoteReference"/>
          <w:rFonts w:ascii="Verdana" w:hAnsi="Verdana" w:cs="Arial"/>
          <w:sz w:val="16"/>
          <w:szCs w:val="16"/>
        </w:rPr>
        <w:footnoteRef/>
      </w:r>
      <w:r w:rsidRPr="00CE0D82">
        <w:rPr>
          <w:rStyle w:val="FootnoteReference"/>
          <w:rFonts w:ascii="Verdana" w:hAnsi="Verdana" w:cs="Arial"/>
          <w:sz w:val="16"/>
          <w:szCs w:val="16"/>
        </w:rPr>
        <w:t xml:space="preserve"> </w:t>
      </w:r>
      <w:r w:rsidRPr="00CE0D82">
        <w:rPr>
          <w:rFonts w:ascii="Verdana" w:hAnsi="Verdana" w:cs="Arial"/>
          <w:sz w:val="16"/>
          <w:szCs w:val="16"/>
          <w:lang w:val="es-ES"/>
        </w:rPr>
        <w:t xml:space="preserve">[…] A este respecto, cabe recordar que el artículo 860 del Código de Comercio regula la licitación en el derecho privado. </w:t>
      </w:r>
    </w:p>
    <w:p w14:paraId="47EB4E71" w14:textId="77777777" w:rsidR="00103317" w:rsidRPr="00CE0D82" w:rsidRDefault="00103317" w:rsidP="00103317">
      <w:pPr>
        <w:pStyle w:val="FootnoteText"/>
        <w:ind w:firstLine="709"/>
        <w:contextualSpacing/>
        <w:rPr>
          <w:rFonts w:ascii="Verdana" w:hAnsi="Verdana" w:cs="Arial"/>
          <w:sz w:val="16"/>
          <w:szCs w:val="16"/>
          <w:lang w:val="es-ES"/>
        </w:rPr>
      </w:pPr>
    </w:p>
  </w:footnote>
  <w:footnote w:id="16">
    <w:p w14:paraId="292D2B1B" w14:textId="77777777" w:rsidR="00103317" w:rsidRDefault="00103317" w:rsidP="00103317">
      <w:pPr>
        <w:shd w:val="clear" w:color="auto" w:fill="FFFFFF"/>
        <w:spacing w:after="0" w:line="240" w:lineRule="auto"/>
        <w:ind w:firstLine="709"/>
        <w:contextualSpacing/>
        <w:jc w:val="both"/>
        <w:rPr>
          <w:rFonts w:ascii="Verdana" w:hAnsi="Verdana" w:cs="Arial"/>
          <w:sz w:val="16"/>
          <w:szCs w:val="16"/>
          <w:lang w:val="es-ES"/>
        </w:rPr>
      </w:pPr>
      <w:r w:rsidRPr="00CE0D82">
        <w:rPr>
          <w:rStyle w:val="FootnoteReference"/>
          <w:rFonts w:ascii="Verdana" w:hAnsi="Verdana" w:cs="Arial"/>
          <w:sz w:val="16"/>
          <w:szCs w:val="16"/>
        </w:rPr>
        <w:footnoteRef/>
      </w:r>
      <w:r w:rsidRPr="00CE0D82">
        <w:rPr>
          <w:rStyle w:val="FootnoteReference"/>
          <w:rFonts w:ascii="Verdana" w:hAnsi="Verdana" w:cs="Arial"/>
          <w:sz w:val="16"/>
          <w:szCs w:val="16"/>
        </w:rPr>
        <w:t xml:space="preserve"> </w:t>
      </w:r>
      <w:r w:rsidRPr="00CE0D82">
        <w:rPr>
          <w:rFonts w:ascii="Verdana" w:hAnsi="Verdana" w:cs="Arial"/>
          <w:sz w:val="16"/>
          <w:szCs w:val="16"/>
          <w:lang w:val="es-ES"/>
        </w:rPr>
        <w:t>Consejo de Estado. Sala de Consulta y Servicio Civil, Concepto de 8 de mayo de 2018. Radicación Número: 11001-03-06-000-2018-00095-00</w:t>
      </w:r>
      <w:r>
        <w:rPr>
          <w:rFonts w:ascii="Verdana" w:hAnsi="Verdana" w:cs="Arial"/>
          <w:sz w:val="16"/>
          <w:szCs w:val="16"/>
          <w:lang w:val="es-ES"/>
        </w:rPr>
        <w:t xml:space="preserve"> </w:t>
      </w:r>
      <w:r w:rsidRPr="00CE0D82">
        <w:rPr>
          <w:rFonts w:ascii="Verdana" w:hAnsi="Verdana" w:cs="Arial"/>
          <w:sz w:val="16"/>
          <w:szCs w:val="16"/>
          <w:lang w:val="es-ES"/>
        </w:rPr>
        <w:t xml:space="preserve">(2382). </w:t>
      </w:r>
      <w:r>
        <w:rPr>
          <w:rFonts w:ascii="Verdana" w:hAnsi="Verdana" w:cs="Arial"/>
          <w:sz w:val="16"/>
          <w:szCs w:val="16"/>
          <w:lang w:val="es-ES"/>
        </w:rPr>
        <w:t>C.P:</w:t>
      </w:r>
      <w:r w:rsidRPr="00CE0D82">
        <w:rPr>
          <w:rFonts w:ascii="Verdana" w:hAnsi="Verdana" w:cs="Arial"/>
          <w:sz w:val="16"/>
          <w:szCs w:val="16"/>
          <w:lang w:val="es-ES"/>
        </w:rPr>
        <w:t xml:space="preserve"> Álvaro Namén Vargas</w:t>
      </w:r>
      <w:r w:rsidRPr="005800D0">
        <w:rPr>
          <w:rFonts w:ascii="Verdana" w:hAnsi="Verdana" w:cs="Arial"/>
          <w:sz w:val="16"/>
          <w:szCs w:val="16"/>
          <w:lang w:val="es-ES"/>
        </w:rPr>
        <w:t>.</w:t>
      </w:r>
    </w:p>
    <w:p w14:paraId="44DB6D6B" w14:textId="77777777" w:rsidR="00103317" w:rsidRPr="005800D0" w:rsidRDefault="00103317" w:rsidP="00103317">
      <w:pPr>
        <w:shd w:val="clear" w:color="auto" w:fill="FFFFFF"/>
        <w:spacing w:after="0" w:line="240" w:lineRule="auto"/>
        <w:ind w:firstLine="709"/>
        <w:contextualSpacing/>
        <w:jc w:val="both"/>
        <w:rPr>
          <w:rFonts w:ascii="Verdana" w:hAnsi="Verdana" w:cs="Arial"/>
          <w:sz w:val="16"/>
          <w:szCs w:val="16"/>
          <w:lang w:val="es-ES"/>
        </w:rPr>
      </w:pPr>
    </w:p>
  </w:footnote>
  <w:footnote w:id="17">
    <w:p w14:paraId="31018E12" w14:textId="77777777" w:rsidR="00103317" w:rsidRDefault="00103317" w:rsidP="00103317">
      <w:pPr>
        <w:pStyle w:val="FootnoteText"/>
        <w:ind w:firstLine="709"/>
        <w:contextualSpacing/>
        <w:jc w:val="both"/>
        <w:rPr>
          <w:rFonts w:ascii="Verdana" w:hAnsi="Verdana" w:cs="Arial"/>
          <w:sz w:val="16"/>
          <w:szCs w:val="16"/>
        </w:rPr>
      </w:pPr>
      <w:r w:rsidRPr="00195E24">
        <w:rPr>
          <w:rStyle w:val="FootnoteReference"/>
          <w:rFonts w:ascii="Verdana" w:hAnsi="Verdana" w:cs="Arial"/>
          <w:sz w:val="16"/>
          <w:szCs w:val="16"/>
        </w:rPr>
        <w:footnoteRef/>
      </w:r>
      <w:r w:rsidRPr="00195E24">
        <w:rPr>
          <w:rFonts w:ascii="Verdana" w:hAnsi="Verdana" w:cs="Arial"/>
          <w:sz w:val="16"/>
          <w:szCs w:val="16"/>
        </w:rPr>
        <w:t xml:space="preserve"> Consejo de Estado. Sala de Consulta y Servicio Civil. Concepto del 08 de mayo de 2018. Exp. 2.382. C.P. Álvaro Namén Vargas.</w:t>
      </w:r>
    </w:p>
    <w:p w14:paraId="23B4071B" w14:textId="77777777" w:rsidR="00103317" w:rsidRPr="00195E24" w:rsidRDefault="00103317" w:rsidP="00103317">
      <w:pPr>
        <w:pStyle w:val="FootnoteText"/>
        <w:ind w:firstLine="709"/>
        <w:contextualSpacing/>
        <w:jc w:val="both"/>
        <w:rPr>
          <w:rFonts w:ascii="Verdana" w:hAnsi="Verdana" w:cs="Arial"/>
          <w:sz w:val="16"/>
          <w:szCs w:val="16"/>
        </w:rPr>
      </w:pPr>
    </w:p>
  </w:footnote>
  <w:footnote w:id="18">
    <w:p w14:paraId="4C8163FC" w14:textId="77777777" w:rsidR="00103317" w:rsidRPr="00195E24" w:rsidRDefault="00103317" w:rsidP="00103317">
      <w:pPr>
        <w:pStyle w:val="FootnoteText"/>
        <w:ind w:firstLine="708"/>
        <w:contextualSpacing/>
        <w:jc w:val="both"/>
        <w:rPr>
          <w:rFonts w:ascii="Verdana" w:hAnsi="Verdana" w:cs="Arial"/>
          <w:sz w:val="16"/>
          <w:szCs w:val="16"/>
        </w:rPr>
      </w:pPr>
      <w:r w:rsidRPr="00195E24">
        <w:rPr>
          <w:rStyle w:val="FootnoteReference"/>
          <w:rFonts w:ascii="Verdana" w:hAnsi="Verdana" w:cs="Arial"/>
          <w:sz w:val="16"/>
          <w:szCs w:val="16"/>
        </w:rPr>
        <w:footnoteRef/>
      </w:r>
      <w:r w:rsidRPr="00195E24">
        <w:rPr>
          <w:rFonts w:ascii="Verdana" w:hAnsi="Verdana" w:cs="Arial"/>
          <w:sz w:val="16"/>
          <w:szCs w:val="16"/>
        </w:rPr>
        <w:t xml:space="preserve"> Ley 489 de 1998: “Artículo 85. Empresas industriales y comerciales del Estado. Las empresas industriales y comerciales del Estado son organismos creados por la ley o autorizados por ésta, que desarrollan actividades de naturaleza industrial o comercial y de gestión económica conforme a las reglas del Derecho Privado, salvo las excepciones que consagra la ley, y que reúnen las siguientes características: </w:t>
      </w:r>
    </w:p>
    <w:p w14:paraId="1AE597D6" w14:textId="77777777" w:rsidR="00103317" w:rsidRPr="00195E24" w:rsidRDefault="00103317" w:rsidP="00103317">
      <w:pPr>
        <w:pStyle w:val="FootnoteText"/>
        <w:ind w:firstLine="708"/>
        <w:contextualSpacing/>
        <w:jc w:val="both"/>
        <w:rPr>
          <w:rFonts w:ascii="Verdana" w:hAnsi="Verdana" w:cs="Arial"/>
          <w:sz w:val="16"/>
          <w:szCs w:val="16"/>
        </w:rPr>
      </w:pPr>
      <w:r w:rsidRPr="00195E24">
        <w:rPr>
          <w:rFonts w:ascii="Verdana" w:hAnsi="Verdana" w:cs="Arial"/>
          <w:sz w:val="16"/>
          <w:szCs w:val="16"/>
        </w:rPr>
        <w:t xml:space="preserve">a) Personería jurídica; </w:t>
      </w:r>
    </w:p>
    <w:p w14:paraId="74FEA5AF" w14:textId="77777777" w:rsidR="00103317" w:rsidRPr="00195E24" w:rsidRDefault="00103317" w:rsidP="00103317">
      <w:pPr>
        <w:pStyle w:val="FootnoteText"/>
        <w:ind w:firstLine="708"/>
        <w:contextualSpacing/>
        <w:jc w:val="both"/>
        <w:rPr>
          <w:rFonts w:ascii="Verdana" w:hAnsi="Verdana" w:cs="Arial"/>
          <w:sz w:val="16"/>
          <w:szCs w:val="16"/>
        </w:rPr>
      </w:pPr>
      <w:r w:rsidRPr="00195E24">
        <w:rPr>
          <w:rFonts w:ascii="Verdana" w:hAnsi="Verdana" w:cs="Arial"/>
          <w:sz w:val="16"/>
          <w:szCs w:val="16"/>
        </w:rPr>
        <w:t xml:space="preserve">b) Autonomía administrativa y financiera; </w:t>
      </w:r>
    </w:p>
    <w:p w14:paraId="68272C93" w14:textId="77777777" w:rsidR="00103317" w:rsidRDefault="00103317" w:rsidP="00103317">
      <w:pPr>
        <w:pStyle w:val="FootnoteText"/>
        <w:ind w:firstLine="708"/>
        <w:contextualSpacing/>
        <w:jc w:val="both"/>
        <w:rPr>
          <w:rFonts w:ascii="Verdana" w:hAnsi="Verdana" w:cs="Arial"/>
          <w:sz w:val="16"/>
          <w:szCs w:val="16"/>
        </w:rPr>
      </w:pPr>
      <w:r w:rsidRPr="00195E24">
        <w:rPr>
          <w:rFonts w:ascii="Verdana" w:hAnsi="Verdana" w:cs="Arial"/>
          <w:sz w:val="16"/>
          <w:szCs w:val="16"/>
        </w:rPr>
        <w:t>c) Capital independiente, constituido totalmente con bienes o fondos públicos comunes, los productos de ellos, o el rendimiento de tasas que perciban por las funciones o servicios, y contribuciones de destinación especial en los casos autorizados por la Constitución</w:t>
      </w:r>
      <w:r>
        <w:rPr>
          <w:rFonts w:ascii="Verdana" w:hAnsi="Verdana" w:cs="Arial"/>
          <w:sz w:val="16"/>
          <w:szCs w:val="16"/>
        </w:rPr>
        <w:t>.</w:t>
      </w:r>
      <w:r w:rsidRPr="00CE0D82">
        <w:rPr>
          <w:rFonts w:ascii="Verdana" w:hAnsi="Verdana" w:cs="Arial"/>
          <w:sz w:val="16"/>
          <w:szCs w:val="16"/>
        </w:rPr>
        <w:t xml:space="preserve"> </w:t>
      </w:r>
    </w:p>
    <w:p w14:paraId="41E5E2F0" w14:textId="77777777" w:rsidR="00103317" w:rsidRPr="005800D0" w:rsidRDefault="00103317" w:rsidP="00103317">
      <w:pPr>
        <w:pStyle w:val="FootnoteText"/>
        <w:ind w:firstLine="708"/>
        <w:contextualSpacing/>
        <w:jc w:val="both"/>
        <w:rPr>
          <w:rFonts w:ascii="Verdana" w:hAnsi="Verdana" w:cs="Arial"/>
          <w:sz w:val="16"/>
          <w:szCs w:val="16"/>
        </w:rPr>
      </w:pPr>
    </w:p>
  </w:footnote>
  <w:footnote w:id="19">
    <w:p w14:paraId="2B3FDB5E" w14:textId="77777777" w:rsidR="00103317" w:rsidRDefault="00103317" w:rsidP="00103317">
      <w:pPr>
        <w:spacing w:after="0" w:line="240" w:lineRule="auto"/>
        <w:ind w:right="49" w:firstLine="709"/>
        <w:contextualSpacing/>
        <w:jc w:val="both"/>
        <w:rPr>
          <w:rFonts w:ascii="Verdana" w:hAnsi="Verdana"/>
          <w:spacing w:val="-2"/>
          <w:sz w:val="16"/>
          <w:szCs w:val="16"/>
        </w:rPr>
      </w:pPr>
      <w:r w:rsidRPr="005800D0">
        <w:rPr>
          <w:rStyle w:val="FootnoteReference"/>
          <w:rFonts w:ascii="Verdana" w:hAnsi="Verdana"/>
          <w:sz w:val="16"/>
          <w:szCs w:val="16"/>
        </w:rPr>
        <w:footnoteRef/>
      </w:r>
      <w:r w:rsidRPr="005800D0">
        <w:rPr>
          <w:rFonts w:ascii="Verdana" w:hAnsi="Verdana"/>
          <w:sz w:val="16"/>
          <w:szCs w:val="16"/>
        </w:rPr>
        <w:t xml:space="preserve"> El estatuto estableció como regla general para la selección del contratista la licitación pública o el concurso público, con algunas excepciones en las cuales la selección se haría mediante el procedimiento de contratación directa, entre ellas, la prevista en el literal m) del numeral 1 del artículo 24: “m) Los actos y contratos que tengan por objeto directo las actividades comerciales e industriales propias de las empresas industriales</w:t>
      </w:r>
      <w:r w:rsidRPr="005800D0">
        <w:rPr>
          <w:rFonts w:ascii="Verdana" w:hAnsi="Verdana"/>
          <w:spacing w:val="-15"/>
          <w:sz w:val="16"/>
          <w:szCs w:val="16"/>
        </w:rPr>
        <w:t xml:space="preserve"> </w:t>
      </w:r>
      <w:r w:rsidRPr="005800D0">
        <w:rPr>
          <w:rFonts w:ascii="Verdana" w:hAnsi="Verdana"/>
          <w:sz w:val="16"/>
          <w:szCs w:val="16"/>
        </w:rPr>
        <w:t>y comerciales estatales y de las sociedades de economía mixta, con excepción de los contratos que a título enunciativo identifica el artículo 32 de esta ley”, o sea, los de obra, consultoría, prestación de servicios,</w:t>
      </w:r>
      <w:r w:rsidRPr="005800D0">
        <w:rPr>
          <w:rFonts w:ascii="Verdana" w:hAnsi="Verdana"/>
          <w:spacing w:val="-7"/>
          <w:sz w:val="16"/>
          <w:szCs w:val="16"/>
        </w:rPr>
        <w:t xml:space="preserve"> </w:t>
      </w:r>
      <w:r w:rsidRPr="005800D0">
        <w:rPr>
          <w:rFonts w:ascii="Verdana" w:hAnsi="Verdana"/>
          <w:sz w:val="16"/>
          <w:szCs w:val="16"/>
        </w:rPr>
        <w:t>concesión,</w:t>
      </w:r>
      <w:r w:rsidRPr="005800D0">
        <w:rPr>
          <w:rFonts w:ascii="Verdana" w:hAnsi="Verdana"/>
          <w:spacing w:val="-7"/>
          <w:sz w:val="16"/>
          <w:szCs w:val="16"/>
        </w:rPr>
        <w:t xml:space="preserve"> </w:t>
      </w:r>
      <w:r w:rsidRPr="005800D0">
        <w:rPr>
          <w:rFonts w:ascii="Verdana" w:hAnsi="Verdana"/>
          <w:sz w:val="16"/>
          <w:szCs w:val="16"/>
        </w:rPr>
        <w:t>encargos</w:t>
      </w:r>
      <w:r w:rsidRPr="005800D0">
        <w:rPr>
          <w:rFonts w:ascii="Verdana" w:hAnsi="Verdana"/>
          <w:spacing w:val="-7"/>
          <w:sz w:val="16"/>
          <w:szCs w:val="16"/>
        </w:rPr>
        <w:t xml:space="preserve"> </w:t>
      </w:r>
      <w:r w:rsidRPr="005800D0">
        <w:rPr>
          <w:rFonts w:ascii="Verdana" w:hAnsi="Verdana"/>
          <w:sz w:val="16"/>
          <w:szCs w:val="16"/>
        </w:rPr>
        <w:t>fiduciarios</w:t>
      </w:r>
      <w:r w:rsidRPr="005800D0">
        <w:rPr>
          <w:rFonts w:ascii="Verdana" w:hAnsi="Verdana"/>
          <w:spacing w:val="-7"/>
          <w:sz w:val="16"/>
          <w:szCs w:val="16"/>
        </w:rPr>
        <w:t xml:space="preserve"> </w:t>
      </w:r>
      <w:r w:rsidRPr="005800D0">
        <w:rPr>
          <w:rFonts w:ascii="Verdana" w:hAnsi="Verdana"/>
          <w:sz w:val="16"/>
          <w:szCs w:val="16"/>
        </w:rPr>
        <w:t>y</w:t>
      </w:r>
      <w:r w:rsidRPr="005800D0">
        <w:rPr>
          <w:rFonts w:ascii="Verdana" w:hAnsi="Verdana"/>
          <w:spacing w:val="-8"/>
          <w:sz w:val="16"/>
          <w:szCs w:val="16"/>
        </w:rPr>
        <w:t xml:space="preserve"> </w:t>
      </w:r>
      <w:r w:rsidRPr="005800D0">
        <w:rPr>
          <w:rFonts w:ascii="Verdana" w:hAnsi="Verdana"/>
          <w:sz w:val="16"/>
          <w:szCs w:val="16"/>
        </w:rPr>
        <w:t>fiducia</w:t>
      </w:r>
      <w:r w:rsidRPr="005800D0">
        <w:rPr>
          <w:rFonts w:ascii="Verdana" w:hAnsi="Verdana"/>
          <w:spacing w:val="-9"/>
          <w:sz w:val="16"/>
          <w:szCs w:val="16"/>
        </w:rPr>
        <w:t xml:space="preserve"> </w:t>
      </w:r>
      <w:r w:rsidRPr="005800D0">
        <w:rPr>
          <w:rFonts w:ascii="Verdana" w:hAnsi="Verdana"/>
          <w:sz w:val="16"/>
          <w:szCs w:val="16"/>
        </w:rPr>
        <w:t>pública,</w:t>
      </w:r>
      <w:r w:rsidRPr="005800D0">
        <w:rPr>
          <w:rFonts w:ascii="Verdana" w:hAnsi="Verdana"/>
          <w:spacing w:val="-7"/>
          <w:sz w:val="16"/>
          <w:szCs w:val="16"/>
        </w:rPr>
        <w:t xml:space="preserve"> </w:t>
      </w:r>
      <w:r w:rsidRPr="005800D0">
        <w:rPr>
          <w:rFonts w:ascii="Verdana" w:hAnsi="Verdana"/>
          <w:sz w:val="16"/>
          <w:szCs w:val="16"/>
        </w:rPr>
        <w:t>que</w:t>
      </w:r>
      <w:r w:rsidRPr="005800D0">
        <w:rPr>
          <w:rFonts w:ascii="Verdana" w:hAnsi="Verdana"/>
          <w:spacing w:val="-13"/>
          <w:sz w:val="16"/>
          <w:szCs w:val="16"/>
        </w:rPr>
        <w:t xml:space="preserve"> </w:t>
      </w:r>
      <w:r w:rsidRPr="005800D0">
        <w:rPr>
          <w:rFonts w:ascii="Verdana" w:hAnsi="Verdana"/>
          <w:sz w:val="16"/>
          <w:szCs w:val="16"/>
        </w:rPr>
        <w:t>se</w:t>
      </w:r>
      <w:r w:rsidRPr="005800D0">
        <w:rPr>
          <w:rFonts w:ascii="Verdana" w:hAnsi="Verdana"/>
          <w:spacing w:val="-8"/>
          <w:sz w:val="16"/>
          <w:szCs w:val="16"/>
        </w:rPr>
        <w:t xml:space="preserve"> </w:t>
      </w:r>
      <w:r w:rsidRPr="005800D0">
        <w:rPr>
          <w:rFonts w:ascii="Verdana" w:hAnsi="Verdana"/>
          <w:sz w:val="16"/>
          <w:szCs w:val="16"/>
        </w:rPr>
        <w:t>regirían</w:t>
      </w:r>
      <w:r w:rsidRPr="005800D0">
        <w:rPr>
          <w:rFonts w:ascii="Verdana" w:hAnsi="Verdana"/>
          <w:spacing w:val="-9"/>
          <w:sz w:val="16"/>
          <w:szCs w:val="16"/>
        </w:rPr>
        <w:t xml:space="preserve"> </w:t>
      </w:r>
      <w:r w:rsidRPr="005800D0">
        <w:rPr>
          <w:rFonts w:ascii="Verdana" w:hAnsi="Verdana"/>
          <w:sz w:val="16"/>
          <w:szCs w:val="16"/>
        </w:rPr>
        <w:t>por</w:t>
      </w:r>
      <w:r w:rsidRPr="005800D0">
        <w:rPr>
          <w:rFonts w:ascii="Verdana" w:hAnsi="Verdana"/>
          <w:spacing w:val="-7"/>
          <w:sz w:val="16"/>
          <w:szCs w:val="16"/>
        </w:rPr>
        <w:t xml:space="preserve"> </w:t>
      </w:r>
      <w:r w:rsidRPr="005800D0">
        <w:rPr>
          <w:rFonts w:ascii="Verdana" w:hAnsi="Verdana"/>
          <w:sz w:val="16"/>
          <w:szCs w:val="16"/>
        </w:rPr>
        <w:t>la</w:t>
      </w:r>
      <w:r w:rsidRPr="005800D0">
        <w:rPr>
          <w:rFonts w:ascii="Verdana" w:hAnsi="Verdana"/>
          <w:spacing w:val="-9"/>
          <w:sz w:val="16"/>
          <w:szCs w:val="16"/>
        </w:rPr>
        <w:t xml:space="preserve"> </w:t>
      </w:r>
      <w:r w:rsidRPr="005800D0">
        <w:rPr>
          <w:rFonts w:ascii="Verdana" w:hAnsi="Verdana"/>
          <w:sz w:val="16"/>
          <w:szCs w:val="16"/>
        </w:rPr>
        <w:t>regla</w:t>
      </w:r>
      <w:r w:rsidRPr="005800D0">
        <w:rPr>
          <w:rFonts w:ascii="Verdana" w:hAnsi="Verdana"/>
          <w:spacing w:val="-9"/>
          <w:sz w:val="16"/>
          <w:szCs w:val="16"/>
        </w:rPr>
        <w:t xml:space="preserve"> </w:t>
      </w:r>
      <w:r w:rsidRPr="005800D0">
        <w:rPr>
          <w:rFonts w:ascii="Verdana" w:hAnsi="Verdana"/>
          <w:sz w:val="16"/>
          <w:szCs w:val="16"/>
        </w:rPr>
        <w:t>general,</w:t>
      </w:r>
      <w:r w:rsidRPr="005800D0">
        <w:rPr>
          <w:rFonts w:ascii="Verdana" w:hAnsi="Verdana"/>
          <w:spacing w:val="-7"/>
          <w:sz w:val="16"/>
          <w:szCs w:val="16"/>
        </w:rPr>
        <w:t xml:space="preserve"> </w:t>
      </w:r>
      <w:r w:rsidRPr="005800D0">
        <w:rPr>
          <w:rFonts w:ascii="Verdana" w:hAnsi="Verdana"/>
          <w:sz w:val="16"/>
          <w:szCs w:val="16"/>
        </w:rPr>
        <w:t>salvo</w:t>
      </w:r>
      <w:r w:rsidRPr="005800D0">
        <w:rPr>
          <w:rFonts w:ascii="Verdana" w:hAnsi="Verdana"/>
          <w:spacing w:val="-10"/>
          <w:sz w:val="16"/>
          <w:szCs w:val="16"/>
        </w:rPr>
        <w:t xml:space="preserve"> </w:t>
      </w:r>
      <w:r w:rsidRPr="005800D0">
        <w:rPr>
          <w:rFonts w:ascii="Verdana" w:hAnsi="Verdana"/>
          <w:sz w:val="16"/>
          <w:szCs w:val="16"/>
        </w:rPr>
        <w:t>los</w:t>
      </w:r>
      <w:r w:rsidRPr="005800D0">
        <w:rPr>
          <w:rFonts w:ascii="Verdana" w:hAnsi="Verdana"/>
          <w:spacing w:val="-7"/>
          <w:sz w:val="16"/>
          <w:szCs w:val="16"/>
        </w:rPr>
        <w:t xml:space="preserve"> </w:t>
      </w:r>
      <w:r w:rsidRPr="005800D0">
        <w:rPr>
          <w:rFonts w:ascii="Verdana" w:hAnsi="Verdana"/>
          <w:sz w:val="16"/>
          <w:szCs w:val="16"/>
        </w:rPr>
        <w:t>casos de</w:t>
      </w:r>
      <w:r w:rsidRPr="005800D0">
        <w:rPr>
          <w:rFonts w:ascii="Verdana" w:hAnsi="Verdana"/>
          <w:spacing w:val="-2"/>
          <w:sz w:val="16"/>
          <w:szCs w:val="16"/>
        </w:rPr>
        <w:t xml:space="preserve"> </w:t>
      </w:r>
      <w:r w:rsidRPr="005800D0">
        <w:rPr>
          <w:rFonts w:ascii="Verdana" w:hAnsi="Verdana"/>
          <w:sz w:val="16"/>
          <w:szCs w:val="16"/>
        </w:rPr>
        <w:t>menor cuantía –previstos en el ordinal a), numeral 1 del artículo 24, original, de la Ley 80 de 1993</w:t>
      </w:r>
      <w:r w:rsidRPr="005800D0">
        <w:rPr>
          <w:rFonts w:ascii="Verdana" w:hAnsi="Verdana"/>
          <w:spacing w:val="-15"/>
          <w:sz w:val="16"/>
          <w:szCs w:val="16"/>
        </w:rPr>
        <w:t xml:space="preserve"> </w:t>
      </w:r>
      <w:r w:rsidRPr="005800D0">
        <w:rPr>
          <w:rFonts w:ascii="Verdana" w:hAnsi="Verdana"/>
          <w:sz w:val="16"/>
          <w:szCs w:val="16"/>
        </w:rPr>
        <w:t>–. Además,</w:t>
      </w:r>
      <w:r w:rsidRPr="005800D0">
        <w:rPr>
          <w:rFonts w:ascii="Verdana" w:hAnsi="Verdana"/>
          <w:spacing w:val="-1"/>
          <w:sz w:val="16"/>
          <w:szCs w:val="16"/>
        </w:rPr>
        <w:t xml:space="preserve"> </w:t>
      </w:r>
      <w:r w:rsidRPr="005800D0">
        <w:rPr>
          <w:rFonts w:ascii="Verdana" w:hAnsi="Verdana"/>
          <w:sz w:val="16"/>
          <w:szCs w:val="16"/>
        </w:rPr>
        <w:t>en</w:t>
      </w:r>
      <w:r w:rsidRPr="005800D0">
        <w:rPr>
          <w:rFonts w:ascii="Verdana" w:hAnsi="Verdana"/>
          <w:spacing w:val="-5"/>
          <w:sz w:val="16"/>
          <w:szCs w:val="16"/>
        </w:rPr>
        <w:t xml:space="preserve"> </w:t>
      </w:r>
      <w:r w:rsidRPr="005800D0">
        <w:rPr>
          <w:rFonts w:ascii="Verdana" w:hAnsi="Verdana"/>
          <w:sz w:val="16"/>
          <w:szCs w:val="16"/>
        </w:rPr>
        <w:t>el</w:t>
      </w:r>
      <w:r w:rsidRPr="005800D0">
        <w:rPr>
          <w:rFonts w:ascii="Verdana" w:hAnsi="Verdana"/>
          <w:spacing w:val="-2"/>
          <w:sz w:val="16"/>
          <w:szCs w:val="16"/>
        </w:rPr>
        <w:t xml:space="preserve"> </w:t>
      </w:r>
      <w:r w:rsidRPr="005800D0">
        <w:rPr>
          <w:rFonts w:ascii="Verdana" w:hAnsi="Verdana"/>
          <w:sz w:val="16"/>
          <w:szCs w:val="16"/>
        </w:rPr>
        <w:t>parágrafo</w:t>
      </w:r>
      <w:r w:rsidRPr="005800D0">
        <w:rPr>
          <w:rFonts w:ascii="Verdana" w:hAnsi="Verdana"/>
          <w:spacing w:val="-5"/>
          <w:sz w:val="16"/>
          <w:szCs w:val="16"/>
        </w:rPr>
        <w:t xml:space="preserve"> </w:t>
      </w:r>
      <w:r w:rsidRPr="005800D0">
        <w:rPr>
          <w:rFonts w:ascii="Verdana" w:hAnsi="Verdana"/>
          <w:sz w:val="16"/>
          <w:szCs w:val="16"/>
        </w:rPr>
        <w:t>del</w:t>
      </w:r>
      <w:r w:rsidRPr="005800D0">
        <w:rPr>
          <w:rFonts w:ascii="Verdana" w:hAnsi="Verdana"/>
          <w:spacing w:val="-2"/>
          <w:sz w:val="16"/>
          <w:szCs w:val="16"/>
        </w:rPr>
        <w:t xml:space="preserve"> </w:t>
      </w:r>
      <w:r w:rsidRPr="005800D0">
        <w:rPr>
          <w:rFonts w:ascii="Verdana" w:hAnsi="Verdana"/>
          <w:sz w:val="16"/>
          <w:szCs w:val="16"/>
        </w:rPr>
        <w:t>artículo</w:t>
      </w:r>
      <w:r w:rsidRPr="005800D0">
        <w:rPr>
          <w:rFonts w:ascii="Verdana" w:hAnsi="Verdana"/>
          <w:spacing w:val="-5"/>
          <w:sz w:val="16"/>
          <w:szCs w:val="16"/>
        </w:rPr>
        <w:t xml:space="preserve"> </w:t>
      </w:r>
      <w:r w:rsidRPr="005800D0">
        <w:rPr>
          <w:rFonts w:ascii="Verdana" w:hAnsi="Verdana"/>
          <w:sz w:val="16"/>
          <w:szCs w:val="16"/>
        </w:rPr>
        <w:t>14</w:t>
      </w:r>
      <w:r w:rsidRPr="005800D0">
        <w:rPr>
          <w:rFonts w:ascii="Verdana" w:hAnsi="Verdana"/>
          <w:spacing w:val="-5"/>
          <w:sz w:val="16"/>
          <w:szCs w:val="16"/>
        </w:rPr>
        <w:t xml:space="preserve"> </w:t>
      </w:r>
      <w:r w:rsidRPr="005800D0">
        <w:rPr>
          <w:rFonts w:ascii="Verdana" w:hAnsi="Verdana"/>
          <w:sz w:val="16"/>
          <w:szCs w:val="16"/>
        </w:rPr>
        <w:t>de</w:t>
      </w:r>
      <w:r w:rsidRPr="005800D0">
        <w:rPr>
          <w:rFonts w:ascii="Verdana" w:hAnsi="Verdana"/>
          <w:spacing w:val="-3"/>
          <w:sz w:val="16"/>
          <w:szCs w:val="16"/>
        </w:rPr>
        <w:t xml:space="preserve"> </w:t>
      </w:r>
      <w:r w:rsidRPr="005800D0">
        <w:rPr>
          <w:rFonts w:ascii="Verdana" w:hAnsi="Verdana"/>
          <w:sz w:val="16"/>
          <w:szCs w:val="16"/>
        </w:rPr>
        <w:t>la</w:t>
      </w:r>
      <w:r w:rsidRPr="005800D0">
        <w:rPr>
          <w:rFonts w:ascii="Verdana" w:hAnsi="Verdana"/>
          <w:spacing w:val="-4"/>
          <w:sz w:val="16"/>
          <w:szCs w:val="16"/>
        </w:rPr>
        <w:t xml:space="preserve"> </w:t>
      </w:r>
      <w:r w:rsidRPr="005800D0">
        <w:rPr>
          <w:rFonts w:ascii="Verdana" w:hAnsi="Verdana"/>
          <w:sz w:val="16"/>
          <w:szCs w:val="16"/>
        </w:rPr>
        <w:t>Ley</w:t>
      </w:r>
      <w:r w:rsidRPr="005800D0">
        <w:rPr>
          <w:rFonts w:ascii="Verdana" w:hAnsi="Verdana"/>
          <w:spacing w:val="-3"/>
          <w:sz w:val="16"/>
          <w:szCs w:val="16"/>
        </w:rPr>
        <w:t xml:space="preserve"> </w:t>
      </w:r>
      <w:r w:rsidRPr="005800D0">
        <w:rPr>
          <w:rFonts w:ascii="Verdana" w:hAnsi="Verdana"/>
          <w:sz w:val="16"/>
          <w:szCs w:val="16"/>
        </w:rPr>
        <w:t>80</w:t>
      </w:r>
      <w:r w:rsidRPr="005800D0">
        <w:rPr>
          <w:rFonts w:ascii="Verdana" w:hAnsi="Verdana"/>
          <w:spacing w:val="-5"/>
          <w:sz w:val="16"/>
          <w:szCs w:val="16"/>
        </w:rPr>
        <w:t xml:space="preserve"> </w:t>
      </w:r>
      <w:r w:rsidRPr="005800D0">
        <w:rPr>
          <w:rFonts w:ascii="Verdana" w:hAnsi="Verdana"/>
          <w:sz w:val="16"/>
          <w:szCs w:val="16"/>
        </w:rPr>
        <w:t>de</w:t>
      </w:r>
      <w:r w:rsidRPr="005800D0">
        <w:rPr>
          <w:rFonts w:ascii="Verdana" w:hAnsi="Verdana"/>
          <w:spacing w:val="-3"/>
          <w:sz w:val="16"/>
          <w:szCs w:val="16"/>
        </w:rPr>
        <w:t xml:space="preserve"> </w:t>
      </w:r>
      <w:r w:rsidRPr="005800D0">
        <w:rPr>
          <w:rFonts w:ascii="Verdana" w:hAnsi="Verdana"/>
          <w:sz w:val="16"/>
          <w:szCs w:val="16"/>
        </w:rPr>
        <w:t>1993,</w:t>
      </w:r>
      <w:r w:rsidRPr="005800D0">
        <w:rPr>
          <w:rFonts w:ascii="Verdana" w:hAnsi="Verdana"/>
          <w:spacing w:val="-1"/>
          <w:sz w:val="16"/>
          <w:szCs w:val="16"/>
        </w:rPr>
        <w:t xml:space="preserve"> </w:t>
      </w:r>
      <w:r w:rsidRPr="005800D0">
        <w:rPr>
          <w:rFonts w:ascii="Verdana" w:hAnsi="Verdana"/>
          <w:sz w:val="16"/>
          <w:szCs w:val="16"/>
        </w:rPr>
        <w:t>se</w:t>
      </w:r>
      <w:r w:rsidRPr="005800D0">
        <w:rPr>
          <w:rFonts w:ascii="Verdana" w:hAnsi="Verdana"/>
          <w:spacing w:val="-3"/>
          <w:sz w:val="16"/>
          <w:szCs w:val="16"/>
        </w:rPr>
        <w:t xml:space="preserve"> </w:t>
      </w:r>
      <w:r w:rsidRPr="005800D0">
        <w:rPr>
          <w:rFonts w:ascii="Verdana" w:hAnsi="Verdana"/>
          <w:sz w:val="16"/>
          <w:szCs w:val="16"/>
        </w:rPr>
        <w:t>señaló</w:t>
      </w:r>
      <w:r w:rsidRPr="005800D0">
        <w:rPr>
          <w:rFonts w:ascii="Verdana" w:hAnsi="Verdana"/>
          <w:spacing w:val="-5"/>
          <w:sz w:val="16"/>
          <w:szCs w:val="16"/>
        </w:rPr>
        <w:t xml:space="preserve"> </w:t>
      </w:r>
      <w:r w:rsidRPr="005800D0">
        <w:rPr>
          <w:rFonts w:ascii="Verdana" w:hAnsi="Verdana"/>
          <w:sz w:val="16"/>
          <w:szCs w:val="16"/>
        </w:rPr>
        <w:t>que</w:t>
      </w:r>
      <w:r w:rsidRPr="005800D0">
        <w:rPr>
          <w:rFonts w:ascii="Verdana" w:hAnsi="Verdana"/>
          <w:spacing w:val="-3"/>
          <w:sz w:val="16"/>
          <w:szCs w:val="16"/>
        </w:rPr>
        <w:t xml:space="preserve"> </w:t>
      </w:r>
      <w:r w:rsidRPr="005800D0">
        <w:rPr>
          <w:rFonts w:ascii="Verdana" w:hAnsi="Verdana"/>
          <w:sz w:val="16"/>
          <w:szCs w:val="16"/>
        </w:rPr>
        <w:t>“en</w:t>
      </w:r>
      <w:r w:rsidRPr="005800D0">
        <w:rPr>
          <w:rFonts w:ascii="Verdana" w:hAnsi="Verdana"/>
          <w:spacing w:val="-5"/>
          <w:sz w:val="16"/>
          <w:szCs w:val="16"/>
        </w:rPr>
        <w:t xml:space="preserve"> </w:t>
      </w:r>
      <w:r w:rsidRPr="005800D0">
        <w:rPr>
          <w:rFonts w:ascii="Verdana" w:hAnsi="Verdana"/>
          <w:sz w:val="16"/>
          <w:szCs w:val="16"/>
        </w:rPr>
        <w:t>los</w:t>
      </w:r>
      <w:r w:rsidRPr="005800D0">
        <w:rPr>
          <w:rFonts w:ascii="Verdana" w:hAnsi="Verdana"/>
          <w:spacing w:val="-2"/>
          <w:sz w:val="16"/>
          <w:szCs w:val="16"/>
        </w:rPr>
        <w:t xml:space="preserve"> </w:t>
      </w:r>
      <w:r w:rsidRPr="005800D0">
        <w:rPr>
          <w:rFonts w:ascii="Verdana" w:hAnsi="Verdana"/>
          <w:sz w:val="16"/>
          <w:szCs w:val="16"/>
        </w:rPr>
        <w:t>contratos</w:t>
      </w:r>
      <w:r w:rsidRPr="005800D0">
        <w:rPr>
          <w:rFonts w:ascii="Verdana" w:hAnsi="Verdana"/>
          <w:spacing w:val="-2"/>
          <w:sz w:val="16"/>
          <w:szCs w:val="16"/>
        </w:rPr>
        <w:t xml:space="preserve"> </w:t>
      </w:r>
      <w:r w:rsidRPr="005800D0">
        <w:rPr>
          <w:rFonts w:ascii="Verdana" w:hAnsi="Verdana"/>
          <w:sz w:val="16"/>
          <w:szCs w:val="16"/>
        </w:rPr>
        <w:t>que</w:t>
      </w:r>
      <w:r w:rsidRPr="005800D0">
        <w:rPr>
          <w:rFonts w:ascii="Verdana" w:hAnsi="Verdana"/>
          <w:spacing w:val="-3"/>
          <w:sz w:val="16"/>
          <w:szCs w:val="16"/>
        </w:rPr>
        <w:t xml:space="preserve"> </w:t>
      </w:r>
      <w:r w:rsidRPr="005800D0">
        <w:rPr>
          <w:rFonts w:ascii="Verdana" w:hAnsi="Verdana"/>
          <w:sz w:val="16"/>
          <w:szCs w:val="16"/>
        </w:rPr>
        <w:t>tengan</w:t>
      </w:r>
      <w:r w:rsidRPr="005800D0">
        <w:rPr>
          <w:rFonts w:ascii="Verdana" w:hAnsi="Verdana"/>
          <w:spacing w:val="-4"/>
          <w:sz w:val="16"/>
          <w:szCs w:val="16"/>
        </w:rPr>
        <w:t xml:space="preserve"> </w:t>
      </w:r>
      <w:r w:rsidRPr="005800D0">
        <w:rPr>
          <w:rFonts w:ascii="Verdana" w:hAnsi="Verdana"/>
          <w:sz w:val="16"/>
          <w:szCs w:val="16"/>
        </w:rPr>
        <w:t>por objeto</w:t>
      </w:r>
      <w:r w:rsidRPr="005800D0">
        <w:rPr>
          <w:rFonts w:ascii="Verdana" w:hAnsi="Verdana"/>
          <w:spacing w:val="-1"/>
          <w:sz w:val="16"/>
          <w:szCs w:val="16"/>
        </w:rPr>
        <w:t xml:space="preserve"> </w:t>
      </w:r>
      <w:r w:rsidRPr="005800D0">
        <w:rPr>
          <w:rFonts w:ascii="Verdana" w:hAnsi="Verdana"/>
          <w:sz w:val="16"/>
          <w:szCs w:val="16"/>
        </w:rPr>
        <w:t>actividades comerciales o</w:t>
      </w:r>
      <w:r w:rsidRPr="005800D0">
        <w:rPr>
          <w:rFonts w:ascii="Verdana" w:hAnsi="Verdana"/>
          <w:spacing w:val="-1"/>
          <w:sz w:val="16"/>
          <w:szCs w:val="16"/>
        </w:rPr>
        <w:t xml:space="preserve"> </w:t>
      </w:r>
      <w:r w:rsidRPr="005800D0">
        <w:rPr>
          <w:rFonts w:ascii="Verdana" w:hAnsi="Verdana"/>
          <w:sz w:val="16"/>
          <w:szCs w:val="16"/>
        </w:rPr>
        <w:t>industriales de las entidades</w:t>
      </w:r>
      <w:r w:rsidRPr="005800D0">
        <w:rPr>
          <w:rFonts w:ascii="Verdana" w:hAnsi="Verdana"/>
          <w:spacing w:val="-3"/>
          <w:sz w:val="16"/>
          <w:szCs w:val="16"/>
        </w:rPr>
        <w:t xml:space="preserve"> </w:t>
      </w:r>
      <w:r w:rsidRPr="005800D0">
        <w:rPr>
          <w:rFonts w:ascii="Verdana" w:hAnsi="Verdana"/>
          <w:sz w:val="16"/>
          <w:szCs w:val="16"/>
        </w:rPr>
        <w:t>estatales que no</w:t>
      </w:r>
      <w:r w:rsidRPr="005800D0">
        <w:rPr>
          <w:rFonts w:ascii="Verdana" w:hAnsi="Verdana"/>
          <w:spacing w:val="-1"/>
          <w:sz w:val="16"/>
          <w:szCs w:val="16"/>
        </w:rPr>
        <w:t xml:space="preserve"> </w:t>
      </w:r>
      <w:r w:rsidRPr="005800D0">
        <w:rPr>
          <w:rFonts w:ascii="Verdana" w:hAnsi="Verdana"/>
          <w:sz w:val="16"/>
          <w:szCs w:val="16"/>
        </w:rPr>
        <w:t xml:space="preserve">correspondan a las señaladas en el numeral 2º de este artículo (…) se prescindirá de la utilización de las cláusulas o estipulaciones </w:t>
      </w:r>
      <w:r w:rsidRPr="005800D0">
        <w:rPr>
          <w:rFonts w:ascii="Verdana" w:hAnsi="Verdana"/>
          <w:spacing w:val="-2"/>
          <w:sz w:val="16"/>
          <w:szCs w:val="16"/>
        </w:rPr>
        <w:t>excepcionales”.</w:t>
      </w:r>
    </w:p>
    <w:p w14:paraId="4BCF783E" w14:textId="77777777" w:rsidR="00103317" w:rsidRPr="005800D0" w:rsidRDefault="00103317" w:rsidP="00103317">
      <w:pPr>
        <w:spacing w:after="0" w:line="240" w:lineRule="auto"/>
        <w:ind w:right="49" w:firstLine="709"/>
        <w:contextualSpacing/>
        <w:jc w:val="both"/>
        <w:rPr>
          <w:rFonts w:ascii="Verdana" w:hAnsi="Verdana"/>
          <w:sz w:val="16"/>
          <w:szCs w:val="16"/>
        </w:rPr>
      </w:pPr>
    </w:p>
  </w:footnote>
  <w:footnote w:id="20">
    <w:p w14:paraId="7144CD38" w14:textId="77777777" w:rsidR="00103317" w:rsidRDefault="00103317" w:rsidP="00103317">
      <w:pPr>
        <w:tabs>
          <w:tab w:val="left" w:pos="142"/>
          <w:tab w:val="left" w:pos="8789"/>
        </w:tabs>
        <w:spacing w:after="0" w:line="240" w:lineRule="auto"/>
        <w:ind w:right="49" w:firstLine="709"/>
        <w:contextualSpacing/>
        <w:jc w:val="both"/>
        <w:rPr>
          <w:rFonts w:ascii="Verdana" w:hAnsi="Verdana"/>
          <w:sz w:val="16"/>
          <w:szCs w:val="16"/>
        </w:rPr>
      </w:pPr>
      <w:r w:rsidRPr="005800D0">
        <w:rPr>
          <w:rStyle w:val="FootnoteReference"/>
          <w:rFonts w:ascii="Verdana" w:hAnsi="Verdana"/>
          <w:sz w:val="16"/>
          <w:szCs w:val="16"/>
        </w:rPr>
        <w:footnoteRef/>
      </w:r>
      <w:r w:rsidRPr="005800D0">
        <w:rPr>
          <w:rFonts w:ascii="Verdana" w:hAnsi="Verdana"/>
          <w:sz w:val="16"/>
          <w:szCs w:val="16"/>
        </w:rPr>
        <w:t xml:space="preserve"> </w:t>
      </w:r>
      <w:bookmarkStart w:id="19" w:name="_Hlk199860326"/>
      <w:r w:rsidRPr="005800D0">
        <w:rPr>
          <w:rFonts w:ascii="Verdana" w:hAnsi="Verdana"/>
          <w:sz w:val="16"/>
          <w:szCs w:val="16"/>
        </w:rPr>
        <w:t>Sin perjuicio</w:t>
      </w:r>
      <w:r w:rsidRPr="005800D0">
        <w:rPr>
          <w:rFonts w:ascii="Verdana" w:hAnsi="Verdana"/>
          <w:spacing w:val="-1"/>
          <w:sz w:val="16"/>
          <w:szCs w:val="16"/>
        </w:rPr>
        <w:t xml:space="preserve"> </w:t>
      </w:r>
      <w:r w:rsidRPr="005800D0">
        <w:rPr>
          <w:rFonts w:ascii="Verdana" w:hAnsi="Verdana"/>
          <w:sz w:val="16"/>
          <w:szCs w:val="16"/>
        </w:rPr>
        <w:t>de la regla indicada, es importante</w:t>
      </w:r>
      <w:r w:rsidRPr="005800D0">
        <w:rPr>
          <w:rFonts w:ascii="Verdana" w:hAnsi="Verdana"/>
          <w:spacing w:val="-4"/>
          <w:sz w:val="16"/>
          <w:szCs w:val="16"/>
        </w:rPr>
        <w:t xml:space="preserve"> </w:t>
      </w:r>
      <w:r w:rsidRPr="005800D0">
        <w:rPr>
          <w:rFonts w:ascii="Verdana" w:hAnsi="Verdana"/>
          <w:sz w:val="16"/>
          <w:szCs w:val="16"/>
        </w:rPr>
        <w:t>señalar que el literal</w:t>
      </w:r>
      <w:r w:rsidRPr="005800D0">
        <w:rPr>
          <w:rFonts w:ascii="Verdana" w:hAnsi="Verdana"/>
          <w:spacing w:val="-3"/>
          <w:sz w:val="16"/>
          <w:szCs w:val="16"/>
        </w:rPr>
        <w:t xml:space="preserve"> </w:t>
      </w:r>
      <w:r w:rsidRPr="005800D0">
        <w:rPr>
          <w:rFonts w:ascii="Verdana" w:hAnsi="Verdana"/>
          <w:sz w:val="16"/>
          <w:szCs w:val="16"/>
        </w:rPr>
        <w:t>g, numeral 2, artículo</w:t>
      </w:r>
      <w:r w:rsidRPr="005800D0">
        <w:rPr>
          <w:rFonts w:ascii="Verdana" w:hAnsi="Verdana"/>
          <w:spacing w:val="-1"/>
          <w:sz w:val="16"/>
          <w:szCs w:val="16"/>
        </w:rPr>
        <w:t xml:space="preserve"> </w:t>
      </w:r>
      <w:r w:rsidRPr="005800D0">
        <w:rPr>
          <w:rFonts w:ascii="Verdana" w:hAnsi="Verdana"/>
          <w:sz w:val="16"/>
          <w:szCs w:val="16"/>
        </w:rPr>
        <w:t>2</w:t>
      </w:r>
      <w:r w:rsidRPr="005800D0">
        <w:rPr>
          <w:rFonts w:ascii="Verdana" w:hAnsi="Verdana"/>
          <w:spacing w:val="-1"/>
          <w:sz w:val="16"/>
          <w:szCs w:val="16"/>
        </w:rPr>
        <w:t xml:space="preserve"> </w:t>
      </w:r>
      <w:r w:rsidRPr="005800D0">
        <w:rPr>
          <w:rFonts w:ascii="Verdana" w:hAnsi="Verdana"/>
          <w:sz w:val="16"/>
          <w:szCs w:val="16"/>
        </w:rPr>
        <w:t>de la Ley 1150 de 2007, prevé como causal de selección abreviada: “Los actos y contratos que tengan por objeto directo</w:t>
      </w:r>
      <w:r w:rsidRPr="005800D0">
        <w:rPr>
          <w:rFonts w:ascii="Verdana" w:hAnsi="Verdana"/>
          <w:spacing w:val="-10"/>
          <w:sz w:val="16"/>
          <w:szCs w:val="16"/>
        </w:rPr>
        <w:t xml:space="preserve"> </w:t>
      </w:r>
      <w:r w:rsidRPr="005800D0">
        <w:rPr>
          <w:rFonts w:ascii="Verdana" w:hAnsi="Verdana"/>
          <w:sz w:val="16"/>
          <w:szCs w:val="16"/>
        </w:rPr>
        <w:t>las</w:t>
      </w:r>
      <w:r w:rsidRPr="005800D0">
        <w:rPr>
          <w:rFonts w:ascii="Verdana" w:hAnsi="Verdana"/>
          <w:spacing w:val="-7"/>
          <w:sz w:val="16"/>
          <w:szCs w:val="16"/>
        </w:rPr>
        <w:t xml:space="preserve"> </w:t>
      </w:r>
      <w:r w:rsidRPr="005800D0">
        <w:rPr>
          <w:rFonts w:ascii="Verdana" w:hAnsi="Verdana"/>
          <w:sz w:val="16"/>
          <w:szCs w:val="16"/>
        </w:rPr>
        <w:t>actividades</w:t>
      </w:r>
      <w:r w:rsidRPr="005800D0">
        <w:rPr>
          <w:rFonts w:ascii="Verdana" w:hAnsi="Verdana"/>
          <w:spacing w:val="-7"/>
          <w:sz w:val="16"/>
          <w:szCs w:val="16"/>
        </w:rPr>
        <w:t xml:space="preserve"> </w:t>
      </w:r>
      <w:r w:rsidRPr="005800D0">
        <w:rPr>
          <w:rFonts w:ascii="Verdana" w:hAnsi="Verdana"/>
          <w:sz w:val="16"/>
          <w:szCs w:val="16"/>
        </w:rPr>
        <w:t>comerciales</w:t>
      </w:r>
      <w:r w:rsidRPr="005800D0">
        <w:rPr>
          <w:rFonts w:ascii="Verdana" w:hAnsi="Verdana"/>
          <w:spacing w:val="-7"/>
          <w:sz w:val="16"/>
          <w:szCs w:val="16"/>
        </w:rPr>
        <w:t xml:space="preserve"> </w:t>
      </w:r>
      <w:r w:rsidRPr="005800D0">
        <w:rPr>
          <w:rFonts w:ascii="Verdana" w:hAnsi="Verdana"/>
          <w:sz w:val="16"/>
          <w:szCs w:val="16"/>
        </w:rPr>
        <w:t>e</w:t>
      </w:r>
      <w:r w:rsidRPr="005800D0">
        <w:rPr>
          <w:rFonts w:ascii="Verdana" w:hAnsi="Verdana"/>
          <w:spacing w:val="-8"/>
          <w:sz w:val="16"/>
          <w:szCs w:val="16"/>
        </w:rPr>
        <w:t xml:space="preserve"> </w:t>
      </w:r>
      <w:r w:rsidRPr="005800D0">
        <w:rPr>
          <w:rFonts w:ascii="Verdana" w:hAnsi="Verdana"/>
          <w:sz w:val="16"/>
          <w:szCs w:val="16"/>
        </w:rPr>
        <w:t>industriales</w:t>
      </w:r>
      <w:r w:rsidRPr="005800D0">
        <w:rPr>
          <w:rFonts w:ascii="Verdana" w:hAnsi="Verdana"/>
          <w:spacing w:val="-7"/>
          <w:sz w:val="16"/>
          <w:szCs w:val="16"/>
        </w:rPr>
        <w:t xml:space="preserve"> </w:t>
      </w:r>
      <w:r w:rsidRPr="005800D0">
        <w:rPr>
          <w:rFonts w:ascii="Verdana" w:hAnsi="Verdana"/>
          <w:sz w:val="16"/>
          <w:szCs w:val="16"/>
        </w:rPr>
        <w:t>propias</w:t>
      </w:r>
      <w:r w:rsidRPr="005800D0">
        <w:rPr>
          <w:rFonts w:ascii="Verdana" w:hAnsi="Verdana"/>
          <w:spacing w:val="-7"/>
          <w:sz w:val="16"/>
          <w:szCs w:val="16"/>
        </w:rPr>
        <w:t xml:space="preserve"> </w:t>
      </w:r>
      <w:r w:rsidRPr="005800D0">
        <w:rPr>
          <w:rFonts w:ascii="Verdana" w:hAnsi="Verdana"/>
          <w:sz w:val="16"/>
          <w:szCs w:val="16"/>
        </w:rPr>
        <w:t>de</w:t>
      </w:r>
      <w:r w:rsidRPr="005800D0">
        <w:rPr>
          <w:rFonts w:ascii="Verdana" w:hAnsi="Verdana"/>
          <w:spacing w:val="-8"/>
          <w:sz w:val="16"/>
          <w:szCs w:val="16"/>
        </w:rPr>
        <w:t xml:space="preserve"> </w:t>
      </w:r>
      <w:r w:rsidRPr="005800D0">
        <w:rPr>
          <w:rFonts w:ascii="Verdana" w:hAnsi="Verdana"/>
          <w:sz w:val="16"/>
          <w:szCs w:val="16"/>
        </w:rPr>
        <w:t>las</w:t>
      </w:r>
      <w:r w:rsidRPr="005800D0">
        <w:rPr>
          <w:rFonts w:ascii="Verdana" w:hAnsi="Verdana"/>
          <w:spacing w:val="-7"/>
          <w:sz w:val="16"/>
          <w:szCs w:val="16"/>
        </w:rPr>
        <w:t xml:space="preserve"> </w:t>
      </w:r>
      <w:r w:rsidRPr="005800D0">
        <w:rPr>
          <w:rFonts w:ascii="Verdana" w:hAnsi="Verdana"/>
          <w:sz w:val="16"/>
          <w:szCs w:val="16"/>
        </w:rPr>
        <w:t>Empresas</w:t>
      </w:r>
      <w:r w:rsidRPr="005800D0">
        <w:rPr>
          <w:rFonts w:ascii="Verdana" w:hAnsi="Verdana"/>
          <w:spacing w:val="-7"/>
          <w:sz w:val="16"/>
          <w:szCs w:val="16"/>
        </w:rPr>
        <w:t xml:space="preserve"> </w:t>
      </w:r>
      <w:r w:rsidRPr="005800D0">
        <w:rPr>
          <w:rFonts w:ascii="Verdana" w:hAnsi="Verdana"/>
          <w:sz w:val="16"/>
          <w:szCs w:val="16"/>
        </w:rPr>
        <w:t>Industriales</w:t>
      </w:r>
      <w:r w:rsidRPr="005800D0">
        <w:rPr>
          <w:rFonts w:ascii="Verdana" w:hAnsi="Verdana"/>
          <w:spacing w:val="-7"/>
          <w:sz w:val="16"/>
          <w:szCs w:val="16"/>
        </w:rPr>
        <w:t xml:space="preserve"> </w:t>
      </w:r>
      <w:r w:rsidRPr="005800D0">
        <w:rPr>
          <w:rFonts w:ascii="Verdana" w:hAnsi="Verdana"/>
          <w:sz w:val="16"/>
          <w:szCs w:val="16"/>
        </w:rPr>
        <w:t>y</w:t>
      </w:r>
      <w:r w:rsidRPr="005800D0">
        <w:rPr>
          <w:rFonts w:ascii="Verdana" w:hAnsi="Verdana"/>
          <w:spacing w:val="-8"/>
          <w:sz w:val="16"/>
          <w:szCs w:val="16"/>
        </w:rPr>
        <w:t xml:space="preserve"> </w:t>
      </w:r>
      <w:r w:rsidRPr="005800D0">
        <w:rPr>
          <w:rFonts w:ascii="Verdana" w:hAnsi="Verdana"/>
          <w:sz w:val="16"/>
          <w:szCs w:val="16"/>
        </w:rPr>
        <w:t>Comerciales</w:t>
      </w:r>
      <w:r w:rsidRPr="005800D0">
        <w:rPr>
          <w:rFonts w:ascii="Verdana" w:hAnsi="Verdana"/>
          <w:spacing w:val="-7"/>
          <w:sz w:val="16"/>
          <w:szCs w:val="16"/>
        </w:rPr>
        <w:t xml:space="preserve"> </w:t>
      </w:r>
      <w:r w:rsidRPr="005800D0">
        <w:rPr>
          <w:rFonts w:ascii="Verdana" w:hAnsi="Verdana"/>
          <w:sz w:val="16"/>
          <w:szCs w:val="16"/>
        </w:rPr>
        <w:t>Estatales y de las Sociedades de Economía Mixta, con excepción de los contratos que a título enunciativo identifica el artículo</w:t>
      </w:r>
      <w:r w:rsidRPr="005800D0">
        <w:rPr>
          <w:rFonts w:ascii="Verdana" w:hAnsi="Verdana"/>
          <w:spacing w:val="-15"/>
          <w:sz w:val="16"/>
          <w:szCs w:val="16"/>
        </w:rPr>
        <w:t xml:space="preserve"> </w:t>
      </w:r>
      <w:r w:rsidRPr="005800D0">
        <w:rPr>
          <w:rFonts w:ascii="Verdana" w:hAnsi="Verdana"/>
          <w:sz w:val="16"/>
          <w:szCs w:val="16"/>
        </w:rPr>
        <w:t>32</w:t>
      </w:r>
      <w:r w:rsidRPr="005800D0">
        <w:rPr>
          <w:rFonts w:ascii="Verdana" w:hAnsi="Verdana"/>
          <w:spacing w:val="-14"/>
          <w:sz w:val="16"/>
          <w:szCs w:val="16"/>
        </w:rPr>
        <w:t xml:space="preserve"> </w:t>
      </w:r>
      <w:r w:rsidRPr="005800D0">
        <w:rPr>
          <w:rFonts w:ascii="Verdana" w:hAnsi="Verdana"/>
          <w:sz w:val="16"/>
          <w:szCs w:val="16"/>
        </w:rPr>
        <w:t>de</w:t>
      </w:r>
      <w:r w:rsidRPr="005800D0">
        <w:rPr>
          <w:rFonts w:ascii="Verdana" w:hAnsi="Verdana"/>
          <w:spacing w:val="-14"/>
          <w:sz w:val="16"/>
          <w:szCs w:val="16"/>
        </w:rPr>
        <w:t xml:space="preserve"> </w:t>
      </w:r>
      <w:r w:rsidRPr="005800D0">
        <w:rPr>
          <w:rFonts w:ascii="Verdana" w:hAnsi="Verdana"/>
          <w:sz w:val="16"/>
          <w:szCs w:val="16"/>
        </w:rPr>
        <w:t>la</w:t>
      </w:r>
      <w:r w:rsidRPr="005800D0">
        <w:rPr>
          <w:rFonts w:ascii="Verdana" w:hAnsi="Verdana"/>
          <w:spacing w:val="-14"/>
          <w:sz w:val="16"/>
          <w:szCs w:val="16"/>
        </w:rPr>
        <w:t xml:space="preserve"> </w:t>
      </w:r>
      <w:r w:rsidRPr="005800D0">
        <w:rPr>
          <w:rFonts w:ascii="Verdana" w:hAnsi="Verdana"/>
          <w:sz w:val="16"/>
          <w:szCs w:val="16"/>
        </w:rPr>
        <w:t>Ley</w:t>
      </w:r>
      <w:r w:rsidRPr="005800D0">
        <w:rPr>
          <w:rFonts w:ascii="Verdana" w:hAnsi="Verdana"/>
          <w:spacing w:val="-14"/>
          <w:sz w:val="16"/>
          <w:szCs w:val="16"/>
        </w:rPr>
        <w:t xml:space="preserve"> </w:t>
      </w:r>
      <w:r w:rsidRPr="005800D0">
        <w:rPr>
          <w:rFonts w:ascii="Verdana" w:hAnsi="Verdana"/>
          <w:sz w:val="16"/>
          <w:szCs w:val="16"/>
        </w:rPr>
        <w:t>80</w:t>
      </w:r>
      <w:r w:rsidRPr="005800D0">
        <w:rPr>
          <w:rFonts w:ascii="Verdana" w:hAnsi="Verdana"/>
          <w:spacing w:val="-14"/>
          <w:sz w:val="16"/>
          <w:szCs w:val="16"/>
        </w:rPr>
        <w:t xml:space="preserve"> </w:t>
      </w:r>
      <w:r w:rsidRPr="005800D0">
        <w:rPr>
          <w:rFonts w:ascii="Verdana" w:hAnsi="Verdana"/>
          <w:sz w:val="16"/>
          <w:szCs w:val="16"/>
        </w:rPr>
        <w:t>de</w:t>
      </w:r>
      <w:r w:rsidRPr="005800D0">
        <w:rPr>
          <w:rFonts w:ascii="Verdana" w:hAnsi="Verdana"/>
          <w:spacing w:val="-14"/>
          <w:sz w:val="16"/>
          <w:szCs w:val="16"/>
        </w:rPr>
        <w:t xml:space="preserve"> </w:t>
      </w:r>
      <w:r w:rsidRPr="005800D0">
        <w:rPr>
          <w:rFonts w:ascii="Verdana" w:hAnsi="Verdana"/>
          <w:sz w:val="16"/>
          <w:szCs w:val="16"/>
        </w:rPr>
        <w:t>1993</w:t>
      </w:r>
      <w:r w:rsidRPr="005800D0">
        <w:rPr>
          <w:rFonts w:ascii="Verdana" w:hAnsi="Verdana"/>
          <w:spacing w:val="-14"/>
          <w:sz w:val="16"/>
          <w:szCs w:val="16"/>
        </w:rPr>
        <w:t xml:space="preserve"> </w:t>
      </w:r>
      <w:r w:rsidRPr="005800D0">
        <w:rPr>
          <w:rFonts w:ascii="Verdana" w:hAnsi="Verdana"/>
          <w:sz w:val="16"/>
          <w:szCs w:val="16"/>
        </w:rPr>
        <w:t>[obra,</w:t>
      </w:r>
      <w:r w:rsidRPr="005800D0">
        <w:rPr>
          <w:rFonts w:ascii="Verdana" w:hAnsi="Verdana"/>
          <w:spacing w:val="-14"/>
          <w:sz w:val="16"/>
          <w:szCs w:val="16"/>
        </w:rPr>
        <w:t xml:space="preserve"> </w:t>
      </w:r>
      <w:r w:rsidRPr="005800D0">
        <w:rPr>
          <w:rFonts w:ascii="Verdana" w:hAnsi="Verdana"/>
          <w:sz w:val="16"/>
          <w:szCs w:val="16"/>
        </w:rPr>
        <w:t>concesión,</w:t>
      </w:r>
      <w:r w:rsidRPr="005800D0">
        <w:rPr>
          <w:rFonts w:ascii="Verdana" w:hAnsi="Verdana"/>
          <w:spacing w:val="-14"/>
          <w:sz w:val="16"/>
          <w:szCs w:val="16"/>
        </w:rPr>
        <w:t xml:space="preserve"> </w:t>
      </w:r>
      <w:r w:rsidRPr="005800D0">
        <w:rPr>
          <w:rFonts w:ascii="Verdana" w:hAnsi="Verdana"/>
          <w:sz w:val="16"/>
          <w:szCs w:val="16"/>
        </w:rPr>
        <w:t>prestación</w:t>
      </w:r>
      <w:r w:rsidRPr="005800D0">
        <w:rPr>
          <w:rFonts w:ascii="Verdana" w:hAnsi="Verdana"/>
          <w:spacing w:val="-14"/>
          <w:sz w:val="16"/>
          <w:szCs w:val="16"/>
        </w:rPr>
        <w:t xml:space="preserve"> </w:t>
      </w:r>
      <w:r w:rsidRPr="005800D0">
        <w:rPr>
          <w:rFonts w:ascii="Verdana" w:hAnsi="Verdana"/>
          <w:sz w:val="16"/>
          <w:szCs w:val="16"/>
        </w:rPr>
        <w:t>de</w:t>
      </w:r>
      <w:r w:rsidRPr="005800D0">
        <w:rPr>
          <w:rFonts w:ascii="Verdana" w:hAnsi="Verdana"/>
          <w:spacing w:val="-14"/>
          <w:sz w:val="16"/>
          <w:szCs w:val="16"/>
        </w:rPr>
        <w:t xml:space="preserve"> </w:t>
      </w:r>
      <w:r w:rsidRPr="005800D0">
        <w:rPr>
          <w:rFonts w:ascii="Verdana" w:hAnsi="Verdana"/>
          <w:sz w:val="16"/>
          <w:szCs w:val="16"/>
        </w:rPr>
        <w:t>servicios,</w:t>
      </w:r>
      <w:r w:rsidRPr="005800D0">
        <w:rPr>
          <w:rFonts w:ascii="Verdana" w:hAnsi="Verdana"/>
          <w:spacing w:val="-14"/>
          <w:sz w:val="16"/>
          <w:szCs w:val="16"/>
        </w:rPr>
        <w:t xml:space="preserve"> </w:t>
      </w:r>
      <w:r w:rsidRPr="005800D0">
        <w:rPr>
          <w:rFonts w:ascii="Verdana" w:hAnsi="Verdana"/>
          <w:sz w:val="16"/>
          <w:szCs w:val="16"/>
        </w:rPr>
        <w:t>consultoría,</w:t>
      </w:r>
      <w:r w:rsidRPr="005800D0">
        <w:rPr>
          <w:rFonts w:ascii="Verdana" w:hAnsi="Verdana"/>
          <w:spacing w:val="-14"/>
          <w:sz w:val="16"/>
          <w:szCs w:val="16"/>
        </w:rPr>
        <w:t xml:space="preserve"> </w:t>
      </w:r>
      <w:r w:rsidRPr="005800D0">
        <w:rPr>
          <w:rFonts w:ascii="Verdana" w:hAnsi="Verdana"/>
          <w:sz w:val="16"/>
          <w:szCs w:val="16"/>
        </w:rPr>
        <w:t>fiducia</w:t>
      </w:r>
      <w:r w:rsidRPr="005800D0">
        <w:rPr>
          <w:rFonts w:ascii="Verdana" w:hAnsi="Verdana"/>
          <w:spacing w:val="-14"/>
          <w:sz w:val="16"/>
          <w:szCs w:val="16"/>
        </w:rPr>
        <w:t xml:space="preserve"> </w:t>
      </w:r>
      <w:r w:rsidRPr="005800D0">
        <w:rPr>
          <w:rFonts w:ascii="Verdana" w:hAnsi="Verdana"/>
          <w:sz w:val="16"/>
          <w:szCs w:val="16"/>
        </w:rPr>
        <w:t>pública]”.</w:t>
      </w:r>
      <w:r w:rsidRPr="005800D0">
        <w:rPr>
          <w:rFonts w:ascii="Verdana" w:hAnsi="Verdana"/>
          <w:spacing w:val="-15"/>
          <w:sz w:val="16"/>
          <w:szCs w:val="16"/>
        </w:rPr>
        <w:t xml:space="preserve"> </w:t>
      </w:r>
      <w:r w:rsidRPr="005800D0">
        <w:rPr>
          <w:rFonts w:ascii="Verdana" w:hAnsi="Verdana"/>
          <w:sz w:val="16"/>
          <w:szCs w:val="16"/>
        </w:rPr>
        <w:t>g)</w:t>
      </w:r>
      <w:r w:rsidRPr="005800D0">
        <w:rPr>
          <w:rFonts w:ascii="Verdana" w:hAnsi="Verdana"/>
          <w:spacing w:val="23"/>
          <w:sz w:val="16"/>
          <w:szCs w:val="16"/>
        </w:rPr>
        <w:t xml:space="preserve"> </w:t>
      </w:r>
      <w:r w:rsidRPr="005800D0">
        <w:rPr>
          <w:rFonts w:ascii="Verdana" w:hAnsi="Verdana"/>
          <w:sz w:val="16"/>
          <w:szCs w:val="16"/>
        </w:rPr>
        <w:t>Los actos y contratos que tengan por objeto directo las actividades comerciales e industriales propias de las Empresas Industriales y Comerciales Estatales y de las Sociedades de Economía Mixta, con excepción de los contratos</w:t>
      </w:r>
      <w:r w:rsidRPr="005800D0">
        <w:rPr>
          <w:rFonts w:ascii="Verdana" w:hAnsi="Verdana"/>
          <w:spacing w:val="-6"/>
          <w:sz w:val="16"/>
          <w:szCs w:val="16"/>
        </w:rPr>
        <w:t xml:space="preserve"> </w:t>
      </w:r>
      <w:r w:rsidRPr="005800D0">
        <w:rPr>
          <w:rFonts w:ascii="Verdana" w:hAnsi="Verdana"/>
          <w:sz w:val="16"/>
          <w:szCs w:val="16"/>
        </w:rPr>
        <w:t>que</w:t>
      </w:r>
      <w:r w:rsidRPr="005800D0">
        <w:rPr>
          <w:rFonts w:ascii="Verdana" w:hAnsi="Verdana"/>
          <w:spacing w:val="-7"/>
          <w:sz w:val="16"/>
          <w:szCs w:val="16"/>
        </w:rPr>
        <w:t xml:space="preserve"> </w:t>
      </w:r>
      <w:r w:rsidRPr="005800D0">
        <w:rPr>
          <w:rFonts w:ascii="Verdana" w:hAnsi="Verdana"/>
          <w:sz w:val="16"/>
          <w:szCs w:val="16"/>
        </w:rPr>
        <w:t>a</w:t>
      </w:r>
      <w:r w:rsidRPr="005800D0">
        <w:rPr>
          <w:rFonts w:ascii="Verdana" w:hAnsi="Verdana"/>
          <w:spacing w:val="-3"/>
          <w:sz w:val="16"/>
          <w:szCs w:val="16"/>
        </w:rPr>
        <w:t xml:space="preserve"> </w:t>
      </w:r>
      <w:r w:rsidRPr="005800D0">
        <w:rPr>
          <w:rFonts w:ascii="Verdana" w:hAnsi="Verdana"/>
          <w:sz w:val="16"/>
          <w:szCs w:val="16"/>
        </w:rPr>
        <w:t>título</w:t>
      </w:r>
      <w:r w:rsidRPr="005800D0">
        <w:rPr>
          <w:rFonts w:ascii="Verdana" w:hAnsi="Verdana"/>
          <w:spacing w:val="-9"/>
          <w:sz w:val="16"/>
          <w:szCs w:val="16"/>
        </w:rPr>
        <w:t xml:space="preserve"> </w:t>
      </w:r>
      <w:r w:rsidRPr="005800D0">
        <w:rPr>
          <w:rFonts w:ascii="Verdana" w:hAnsi="Verdana"/>
          <w:sz w:val="16"/>
          <w:szCs w:val="16"/>
        </w:rPr>
        <w:t>enunciativo</w:t>
      </w:r>
      <w:r w:rsidRPr="005800D0">
        <w:rPr>
          <w:rFonts w:ascii="Verdana" w:hAnsi="Verdana"/>
          <w:spacing w:val="-9"/>
          <w:sz w:val="16"/>
          <w:szCs w:val="16"/>
        </w:rPr>
        <w:t xml:space="preserve"> </w:t>
      </w:r>
      <w:r w:rsidRPr="005800D0">
        <w:rPr>
          <w:rFonts w:ascii="Verdana" w:hAnsi="Verdana"/>
          <w:sz w:val="16"/>
          <w:szCs w:val="16"/>
        </w:rPr>
        <w:t>identifica</w:t>
      </w:r>
      <w:r w:rsidRPr="005800D0">
        <w:rPr>
          <w:rFonts w:ascii="Verdana" w:hAnsi="Verdana"/>
          <w:spacing w:val="-8"/>
          <w:sz w:val="16"/>
          <w:szCs w:val="16"/>
        </w:rPr>
        <w:t xml:space="preserve"> </w:t>
      </w:r>
      <w:r w:rsidRPr="005800D0">
        <w:rPr>
          <w:rFonts w:ascii="Verdana" w:hAnsi="Verdana"/>
          <w:sz w:val="16"/>
          <w:szCs w:val="16"/>
        </w:rPr>
        <w:t>el</w:t>
      </w:r>
      <w:r w:rsidRPr="005800D0">
        <w:rPr>
          <w:rFonts w:ascii="Verdana" w:hAnsi="Verdana"/>
          <w:spacing w:val="-1"/>
          <w:sz w:val="16"/>
          <w:szCs w:val="16"/>
        </w:rPr>
        <w:t xml:space="preserve"> </w:t>
      </w:r>
      <w:r w:rsidRPr="005800D0">
        <w:rPr>
          <w:rFonts w:ascii="Verdana" w:hAnsi="Verdana"/>
          <w:sz w:val="16"/>
          <w:szCs w:val="16"/>
        </w:rPr>
        <w:t>artículo</w:t>
      </w:r>
      <w:r w:rsidRPr="005800D0">
        <w:rPr>
          <w:rFonts w:ascii="Verdana" w:hAnsi="Verdana"/>
          <w:spacing w:val="-9"/>
          <w:sz w:val="16"/>
          <w:szCs w:val="16"/>
        </w:rPr>
        <w:t xml:space="preserve"> </w:t>
      </w:r>
      <w:r w:rsidRPr="005800D0">
        <w:rPr>
          <w:rFonts w:ascii="Verdana" w:hAnsi="Verdana"/>
          <w:sz w:val="16"/>
          <w:szCs w:val="16"/>
        </w:rPr>
        <w:t>32</w:t>
      </w:r>
      <w:r w:rsidRPr="005800D0">
        <w:rPr>
          <w:rFonts w:ascii="Verdana" w:hAnsi="Verdana"/>
          <w:spacing w:val="-4"/>
          <w:sz w:val="16"/>
          <w:szCs w:val="16"/>
        </w:rPr>
        <w:t xml:space="preserve"> </w:t>
      </w:r>
      <w:r w:rsidRPr="005800D0">
        <w:rPr>
          <w:rFonts w:ascii="Verdana" w:hAnsi="Verdana"/>
          <w:sz w:val="16"/>
          <w:szCs w:val="16"/>
        </w:rPr>
        <w:t>de</w:t>
      </w:r>
      <w:r w:rsidRPr="005800D0">
        <w:rPr>
          <w:rFonts w:ascii="Verdana" w:hAnsi="Verdana"/>
          <w:spacing w:val="-7"/>
          <w:sz w:val="16"/>
          <w:szCs w:val="16"/>
        </w:rPr>
        <w:t xml:space="preserve"> </w:t>
      </w:r>
      <w:r w:rsidRPr="005800D0">
        <w:rPr>
          <w:rFonts w:ascii="Verdana" w:hAnsi="Verdana"/>
          <w:sz w:val="16"/>
          <w:szCs w:val="16"/>
        </w:rPr>
        <w:t>la Ley</w:t>
      </w:r>
      <w:r w:rsidRPr="005800D0">
        <w:rPr>
          <w:rFonts w:ascii="Verdana" w:hAnsi="Verdana"/>
          <w:spacing w:val="-7"/>
          <w:sz w:val="16"/>
          <w:szCs w:val="16"/>
        </w:rPr>
        <w:t xml:space="preserve"> </w:t>
      </w:r>
      <w:r w:rsidRPr="005800D0">
        <w:rPr>
          <w:rFonts w:ascii="Verdana" w:hAnsi="Verdana"/>
          <w:sz w:val="16"/>
          <w:szCs w:val="16"/>
        </w:rPr>
        <w:t>80</w:t>
      </w:r>
      <w:r w:rsidRPr="005800D0">
        <w:rPr>
          <w:rFonts w:ascii="Verdana" w:hAnsi="Verdana"/>
          <w:spacing w:val="-4"/>
          <w:sz w:val="16"/>
          <w:szCs w:val="16"/>
        </w:rPr>
        <w:t xml:space="preserve"> </w:t>
      </w:r>
      <w:r w:rsidRPr="005800D0">
        <w:rPr>
          <w:rFonts w:ascii="Verdana" w:hAnsi="Verdana"/>
          <w:sz w:val="16"/>
          <w:szCs w:val="16"/>
        </w:rPr>
        <w:t>de</w:t>
      </w:r>
      <w:r w:rsidRPr="005800D0">
        <w:rPr>
          <w:rFonts w:ascii="Verdana" w:hAnsi="Verdana"/>
          <w:spacing w:val="-2"/>
          <w:sz w:val="16"/>
          <w:szCs w:val="16"/>
        </w:rPr>
        <w:t xml:space="preserve"> </w:t>
      </w:r>
      <w:r w:rsidRPr="005800D0">
        <w:rPr>
          <w:rFonts w:ascii="Verdana" w:hAnsi="Verdana"/>
          <w:sz w:val="16"/>
          <w:szCs w:val="16"/>
        </w:rPr>
        <w:t>1993.</w:t>
      </w:r>
      <w:bookmarkEnd w:id="19"/>
    </w:p>
    <w:p w14:paraId="7781D05B" w14:textId="77777777" w:rsidR="00103317" w:rsidRPr="005800D0" w:rsidRDefault="00103317" w:rsidP="00103317">
      <w:pPr>
        <w:tabs>
          <w:tab w:val="left" w:pos="142"/>
          <w:tab w:val="left" w:pos="8789"/>
        </w:tabs>
        <w:spacing w:after="0" w:line="240" w:lineRule="auto"/>
        <w:ind w:right="49" w:firstLine="709"/>
        <w:contextualSpacing/>
        <w:jc w:val="both"/>
        <w:rPr>
          <w:rFonts w:ascii="Verdana" w:hAnsi="Verdana"/>
          <w:sz w:val="16"/>
          <w:szCs w:val="16"/>
        </w:rPr>
      </w:pPr>
    </w:p>
  </w:footnote>
  <w:footnote w:id="21">
    <w:p w14:paraId="4A232C5E" w14:textId="77777777" w:rsidR="00103317" w:rsidRDefault="00103317" w:rsidP="00103317">
      <w:pPr>
        <w:pStyle w:val="FootnoteText"/>
        <w:ind w:right="49" w:firstLine="709"/>
        <w:contextualSpacing/>
        <w:jc w:val="both"/>
        <w:rPr>
          <w:rFonts w:ascii="Verdana" w:hAnsi="Verdana"/>
          <w:sz w:val="16"/>
          <w:szCs w:val="16"/>
        </w:rPr>
      </w:pPr>
      <w:r w:rsidRPr="00195E24">
        <w:rPr>
          <w:rStyle w:val="FootnoteReference"/>
          <w:rFonts w:ascii="Verdana" w:hAnsi="Verdana"/>
          <w:sz w:val="16"/>
          <w:szCs w:val="16"/>
        </w:rPr>
        <w:footnoteRef/>
      </w:r>
      <w:r w:rsidRPr="00195E24">
        <w:rPr>
          <w:rFonts w:ascii="Verdana" w:hAnsi="Verdana"/>
          <w:sz w:val="16"/>
          <w:szCs w:val="16"/>
        </w:rPr>
        <w:t xml:space="preserve"> El artículo</w:t>
      </w:r>
      <w:r w:rsidRPr="00195E24">
        <w:rPr>
          <w:rFonts w:ascii="Verdana" w:hAnsi="Verdana"/>
          <w:spacing w:val="-2"/>
          <w:sz w:val="16"/>
          <w:szCs w:val="16"/>
        </w:rPr>
        <w:t xml:space="preserve"> </w:t>
      </w:r>
      <w:r w:rsidRPr="00195E24">
        <w:rPr>
          <w:rFonts w:ascii="Verdana" w:hAnsi="Verdana"/>
          <w:sz w:val="16"/>
          <w:szCs w:val="16"/>
        </w:rPr>
        <w:t>14</w:t>
      </w:r>
      <w:r w:rsidRPr="00195E24">
        <w:rPr>
          <w:rFonts w:ascii="Verdana" w:hAnsi="Verdana"/>
          <w:spacing w:val="-2"/>
          <w:sz w:val="16"/>
          <w:szCs w:val="16"/>
        </w:rPr>
        <w:t xml:space="preserve"> </w:t>
      </w:r>
      <w:r w:rsidRPr="00195E24">
        <w:rPr>
          <w:rFonts w:ascii="Verdana" w:hAnsi="Verdana"/>
          <w:sz w:val="16"/>
          <w:szCs w:val="16"/>
        </w:rPr>
        <w:t>original de la</w:t>
      </w:r>
      <w:r w:rsidRPr="00195E24">
        <w:rPr>
          <w:rFonts w:ascii="Verdana" w:hAnsi="Verdana"/>
          <w:spacing w:val="-1"/>
          <w:sz w:val="16"/>
          <w:szCs w:val="16"/>
        </w:rPr>
        <w:t xml:space="preserve"> </w:t>
      </w:r>
      <w:r w:rsidRPr="00195E24">
        <w:rPr>
          <w:rFonts w:ascii="Verdana" w:hAnsi="Verdana"/>
          <w:sz w:val="16"/>
          <w:szCs w:val="16"/>
        </w:rPr>
        <w:t>Ley 1150</w:t>
      </w:r>
      <w:r w:rsidRPr="00195E24">
        <w:rPr>
          <w:rFonts w:ascii="Verdana" w:hAnsi="Verdana"/>
          <w:spacing w:val="-2"/>
          <w:sz w:val="16"/>
          <w:szCs w:val="16"/>
        </w:rPr>
        <w:t xml:space="preserve"> </w:t>
      </w:r>
      <w:r w:rsidRPr="00195E24">
        <w:rPr>
          <w:rFonts w:ascii="Verdana" w:hAnsi="Verdana"/>
          <w:sz w:val="16"/>
          <w:szCs w:val="16"/>
        </w:rPr>
        <w:t>de 2007</w:t>
      </w:r>
      <w:r w:rsidRPr="00195E24">
        <w:rPr>
          <w:rFonts w:ascii="Verdana" w:hAnsi="Verdana"/>
          <w:spacing w:val="-2"/>
          <w:sz w:val="16"/>
          <w:szCs w:val="16"/>
        </w:rPr>
        <w:t xml:space="preserve"> </w:t>
      </w:r>
      <w:r w:rsidRPr="00195E24">
        <w:rPr>
          <w:rFonts w:ascii="Verdana" w:hAnsi="Verdana"/>
          <w:sz w:val="16"/>
          <w:szCs w:val="16"/>
        </w:rPr>
        <w:t>excluía</w:t>
      </w:r>
      <w:r w:rsidRPr="00195E24">
        <w:rPr>
          <w:rFonts w:ascii="Verdana" w:hAnsi="Verdana"/>
          <w:spacing w:val="-1"/>
          <w:sz w:val="16"/>
          <w:szCs w:val="16"/>
        </w:rPr>
        <w:t xml:space="preserve"> </w:t>
      </w:r>
      <w:r w:rsidRPr="00195E24">
        <w:rPr>
          <w:rFonts w:ascii="Verdana" w:hAnsi="Verdana"/>
          <w:sz w:val="16"/>
          <w:szCs w:val="16"/>
        </w:rPr>
        <w:t>además aquellas cuya</w:t>
      </w:r>
      <w:r w:rsidRPr="00195E24">
        <w:rPr>
          <w:rFonts w:ascii="Verdana" w:hAnsi="Verdana"/>
          <w:spacing w:val="-1"/>
          <w:sz w:val="16"/>
          <w:szCs w:val="16"/>
        </w:rPr>
        <w:t xml:space="preserve"> </w:t>
      </w:r>
      <w:r w:rsidRPr="00195E24">
        <w:rPr>
          <w:rFonts w:ascii="Verdana" w:hAnsi="Verdana"/>
          <w:sz w:val="16"/>
          <w:szCs w:val="16"/>
        </w:rPr>
        <w:t>actividad</w:t>
      </w:r>
      <w:r w:rsidRPr="00195E24">
        <w:rPr>
          <w:rFonts w:ascii="Verdana" w:hAnsi="Verdana"/>
          <w:spacing w:val="-5"/>
          <w:sz w:val="16"/>
          <w:szCs w:val="16"/>
        </w:rPr>
        <w:t xml:space="preserve"> </w:t>
      </w:r>
      <w:r w:rsidRPr="00195E24">
        <w:rPr>
          <w:rFonts w:ascii="Verdana" w:hAnsi="Verdana"/>
          <w:sz w:val="16"/>
          <w:szCs w:val="16"/>
        </w:rPr>
        <w:t>se realizaba en</w:t>
      </w:r>
      <w:r w:rsidRPr="00195E24">
        <w:rPr>
          <w:rFonts w:ascii="Verdana" w:hAnsi="Verdana"/>
          <w:spacing w:val="-6"/>
          <w:sz w:val="16"/>
          <w:szCs w:val="16"/>
        </w:rPr>
        <w:t xml:space="preserve"> </w:t>
      </w:r>
      <w:r w:rsidRPr="00195E24">
        <w:rPr>
          <w:rFonts w:ascii="Verdana" w:hAnsi="Verdana"/>
          <w:sz w:val="16"/>
          <w:szCs w:val="16"/>
        </w:rPr>
        <w:t>“mercados</w:t>
      </w:r>
      <w:r w:rsidRPr="00195E24">
        <w:rPr>
          <w:rFonts w:ascii="Verdana" w:hAnsi="Verdana"/>
          <w:spacing w:val="-3"/>
          <w:sz w:val="16"/>
          <w:szCs w:val="16"/>
        </w:rPr>
        <w:t xml:space="preserve"> </w:t>
      </w:r>
      <w:r w:rsidRPr="00195E24">
        <w:rPr>
          <w:rFonts w:ascii="Verdana" w:hAnsi="Verdana"/>
          <w:sz w:val="16"/>
          <w:szCs w:val="16"/>
        </w:rPr>
        <w:t>monopolísticos”,</w:t>
      </w:r>
      <w:r w:rsidRPr="00195E24">
        <w:rPr>
          <w:rFonts w:ascii="Verdana" w:hAnsi="Verdana"/>
          <w:spacing w:val="-2"/>
          <w:sz w:val="16"/>
          <w:szCs w:val="16"/>
        </w:rPr>
        <w:t xml:space="preserve"> </w:t>
      </w:r>
      <w:r w:rsidRPr="00195E24">
        <w:rPr>
          <w:rFonts w:ascii="Verdana" w:hAnsi="Verdana"/>
          <w:sz w:val="16"/>
          <w:szCs w:val="16"/>
        </w:rPr>
        <w:t>pero,</w:t>
      </w:r>
      <w:r w:rsidRPr="00195E24">
        <w:rPr>
          <w:rFonts w:ascii="Verdana" w:hAnsi="Verdana"/>
          <w:spacing w:val="-2"/>
          <w:sz w:val="16"/>
          <w:szCs w:val="16"/>
        </w:rPr>
        <w:t xml:space="preserve"> </w:t>
      </w:r>
      <w:r w:rsidRPr="00195E24">
        <w:rPr>
          <w:rFonts w:ascii="Verdana" w:hAnsi="Verdana"/>
          <w:sz w:val="16"/>
          <w:szCs w:val="16"/>
        </w:rPr>
        <w:t>con</w:t>
      </w:r>
      <w:r w:rsidRPr="00195E24">
        <w:rPr>
          <w:rFonts w:ascii="Verdana" w:hAnsi="Verdana"/>
          <w:spacing w:val="-5"/>
          <w:sz w:val="16"/>
          <w:szCs w:val="16"/>
        </w:rPr>
        <w:t xml:space="preserve"> </w:t>
      </w:r>
      <w:r w:rsidRPr="00195E24">
        <w:rPr>
          <w:rFonts w:ascii="Verdana" w:hAnsi="Verdana"/>
          <w:sz w:val="16"/>
          <w:szCs w:val="16"/>
        </w:rPr>
        <w:t>buen</w:t>
      </w:r>
      <w:r w:rsidRPr="00195E24">
        <w:rPr>
          <w:rFonts w:ascii="Verdana" w:hAnsi="Verdana"/>
          <w:spacing w:val="-6"/>
          <w:sz w:val="16"/>
          <w:szCs w:val="16"/>
        </w:rPr>
        <w:t xml:space="preserve"> </w:t>
      </w:r>
      <w:r w:rsidRPr="00195E24">
        <w:rPr>
          <w:rFonts w:ascii="Verdana" w:hAnsi="Verdana"/>
          <w:sz w:val="16"/>
          <w:szCs w:val="16"/>
        </w:rPr>
        <w:t>tino,</w:t>
      </w:r>
      <w:r w:rsidRPr="00195E24">
        <w:rPr>
          <w:rFonts w:ascii="Verdana" w:hAnsi="Verdana"/>
          <w:spacing w:val="-2"/>
          <w:sz w:val="16"/>
          <w:szCs w:val="16"/>
        </w:rPr>
        <w:t xml:space="preserve"> </w:t>
      </w:r>
      <w:r w:rsidRPr="00195E24">
        <w:rPr>
          <w:rFonts w:ascii="Verdana" w:hAnsi="Verdana"/>
          <w:sz w:val="16"/>
          <w:szCs w:val="16"/>
        </w:rPr>
        <w:t>se</w:t>
      </w:r>
      <w:r w:rsidRPr="00195E24">
        <w:rPr>
          <w:rFonts w:ascii="Verdana" w:hAnsi="Verdana"/>
          <w:spacing w:val="-4"/>
          <w:sz w:val="16"/>
          <w:szCs w:val="16"/>
        </w:rPr>
        <w:t xml:space="preserve"> </w:t>
      </w:r>
      <w:r w:rsidRPr="00195E24">
        <w:rPr>
          <w:rFonts w:ascii="Verdana" w:hAnsi="Verdana"/>
          <w:sz w:val="16"/>
          <w:szCs w:val="16"/>
        </w:rPr>
        <w:t>eliminó</w:t>
      </w:r>
      <w:r w:rsidRPr="00195E24">
        <w:rPr>
          <w:rFonts w:ascii="Verdana" w:hAnsi="Verdana"/>
          <w:spacing w:val="-6"/>
          <w:sz w:val="16"/>
          <w:szCs w:val="16"/>
        </w:rPr>
        <w:t xml:space="preserve"> </w:t>
      </w:r>
      <w:r w:rsidRPr="00195E24">
        <w:rPr>
          <w:rFonts w:ascii="Verdana" w:hAnsi="Verdana"/>
          <w:sz w:val="16"/>
          <w:szCs w:val="16"/>
        </w:rPr>
        <w:t>en</w:t>
      </w:r>
      <w:r w:rsidRPr="00195E24">
        <w:rPr>
          <w:rFonts w:ascii="Verdana" w:hAnsi="Verdana"/>
          <w:spacing w:val="-6"/>
          <w:sz w:val="16"/>
          <w:szCs w:val="16"/>
        </w:rPr>
        <w:t xml:space="preserve"> </w:t>
      </w:r>
      <w:r w:rsidRPr="00195E24">
        <w:rPr>
          <w:rFonts w:ascii="Verdana" w:hAnsi="Verdana"/>
          <w:sz w:val="16"/>
          <w:szCs w:val="16"/>
        </w:rPr>
        <w:t>el</w:t>
      </w:r>
      <w:r w:rsidRPr="00195E24">
        <w:rPr>
          <w:rFonts w:ascii="Verdana" w:hAnsi="Verdana"/>
          <w:spacing w:val="-3"/>
          <w:sz w:val="16"/>
          <w:szCs w:val="16"/>
        </w:rPr>
        <w:t xml:space="preserve"> </w:t>
      </w:r>
      <w:r w:rsidRPr="00195E24">
        <w:rPr>
          <w:rFonts w:ascii="Verdana" w:hAnsi="Verdana"/>
          <w:sz w:val="16"/>
          <w:szCs w:val="16"/>
        </w:rPr>
        <w:t>artículo</w:t>
      </w:r>
      <w:r w:rsidRPr="00195E24">
        <w:rPr>
          <w:rFonts w:ascii="Verdana" w:hAnsi="Verdana"/>
          <w:spacing w:val="-6"/>
          <w:sz w:val="16"/>
          <w:szCs w:val="16"/>
        </w:rPr>
        <w:t xml:space="preserve"> </w:t>
      </w:r>
      <w:r w:rsidRPr="00195E24">
        <w:rPr>
          <w:rFonts w:ascii="Verdana" w:hAnsi="Verdana"/>
          <w:sz w:val="16"/>
          <w:szCs w:val="16"/>
        </w:rPr>
        <w:t>93</w:t>
      </w:r>
      <w:r w:rsidRPr="00195E24">
        <w:rPr>
          <w:rFonts w:ascii="Verdana" w:hAnsi="Verdana"/>
          <w:spacing w:val="-6"/>
          <w:sz w:val="16"/>
          <w:szCs w:val="16"/>
        </w:rPr>
        <w:t xml:space="preserve"> </w:t>
      </w:r>
      <w:r w:rsidRPr="00195E24">
        <w:rPr>
          <w:rFonts w:ascii="Verdana" w:hAnsi="Verdana"/>
          <w:sz w:val="16"/>
          <w:szCs w:val="16"/>
        </w:rPr>
        <w:t>de</w:t>
      </w:r>
      <w:r w:rsidRPr="00195E24">
        <w:rPr>
          <w:rFonts w:ascii="Verdana" w:hAnsi="Verdana"/>
          <w:spacing w:val="-4"/>
          <w:sz w:val="16"/>
          <w:szCs w:val="16"/>
        </w:rPr>
        <w:t xml:space="preserve"> </w:t>
      </w:r>
      <w:r w:rsidRPr="00195E24">
        <w:rPr>
          <w:rFonts w:ascii="Verdana" w:hAnsi="Verdana"/>
          <w:sz w:val="16"/>
          <w:szCs w:val="16"/>
        </w:rPr>
        <w:t>la</w:t>
      </w:r>
      <w:r w:rsidRPr="00195E24">
        <w:rPr>
          <w:rFonts w:ascii="Verdana" w:hAnsi="Verdana"/>
          <w:spacing w:val="-5"/>
          <w:sz w:val="16"/>
          <w:szCs w:val="16"/>
        </w:rPr>
        <w:t xml:space="preserve"> </w:t>
      </w:r>
      <w:r w:rsidRPr="00195E24">
        <w:rPr>
          <w:rFonts w:ascii="Verdana" w:hAnsi="Verdana"/>
          <w:sz w:val="16"/>
          <w:szCs w:val="16"/>
        </w:rPr>
        <w:t>Ley</w:t>
      </w:r>
      <w:r w:rsidRPr="00195E24">
        <w:rPr>
          <w:rFonts w:ascii="Verdana" w:hAnsi="Verdana"/>
          <w:spacing w:val="-4"/>
          <w:sz w:val="16"/>
          <w:szCs w:val="16"/>
        </w:rPr>
        <w:t xml:space="preserve"> </w:t>
      </w:r>
      <w:r w:rsidRPr="00195E24">
        <w:rPr>
          <w:rFonts w:ascii="Verdana" w:hAnsi="Verdana"/>
          <w:sz w:val="16"/>
          <w:szCs w:val="16"/>
        </w:rPr>
        <w:t>1474</w:t>
      </w:r>
      <w:r w:rsidRPr="00195E24">
        <w:rPr>
          <w:rFonts w:ascii="Verdana" w:hAnsi="Verdana"/>
          <w:spacing w:val="-6"/>
          <w:sz w:val="16"/>
          <w:szCs w:val="16"/>
        </w:rPr>
        <w:t xml:space="preserve"> </w:t>
      </w:r>
      <w:r w:rsidRPr="00195E24">
        <w:rPr>
          <w:rFonts w:ascii="Verdana" w:hAnsi="Verdana"/>
          <w:sz w:val="16"/>
          <w:szCs w:val="16"/>
        </w:rPr>
        <w:t>de</w:t>
      </w:r>
      <w:r w:rsidRPr="00195E24">
        <w:rPr>
          <w:rFonts w:ascii="Verdana" w:hAnsi="Verdana"/>
          <w:spacing w:val="-4"/>
          <w:sz w:val="16"/>
          <w:szCs w:val="16"/>
        </w:rPr>
        <w:t xml:space="preserve"> </w:t>
      </w:r>
      <w:r w:rsidRPr="00195E24">
        <w:rPr>
          <w:rFonts w:ascii="Verdana" w:hAnsi="Verdana"/>
          <w:sz w:val="16"/>
          <w:szCs w:val="16"/>
        </w:rPr>
        <w:t>2011,</w:t>
      </w:r>
      <w:r w:rsidRPr="00195E24">
        <w:rPr>
          <w:rFonts w:ascii="Verdana" w:hAnsi="Verdana"/>
          <w:spacing w:val="-2"/>
          <w:sz w:val="16"/>
          <w:szCs w:val="16"/>
        </w:rPr>
        <w:t xml:space="preserve"> </w:t>
      </w:r>
      <w:r w:rsidRPr="00195E24">
        <w:rPr>
          <w:rFonts w:ascii="Verdana" w:hAnsi="Verdana"/>
          <w:sz w:val="16"/>
          <w:szCs w:val="16"/>
        </w:rPr>
        <w:t>pues en ese caso no se está en presencia de los fundamentos que soportan la excepción de no aplicar el Estatuto General de Contratación de la Administración Pública, cual es la “competencia y el libre juego del mercado”.</w:t>
      </w:r>
    </w:p>
    <w:p w14:paraId="4269EEFC" w14:textId="77777777" w:rsidR="00103317" w:rsidRPr="00195E24" w:rsidRDefault="00103317" w:rsidP="00103317">
      <w:pPr>
        <w:pStyle w:val="FootnoteText"/>
        <w:ind w:right="49" w:firstLine="709"/>
        <w:contextualSpacing/>
        <w:jc w:val="both"/>
        <w:rPr>
          <w:rFonts w:ascii="Verdana" w:hAnsi="Verdana"/>
          <w:sz w:val="16"/>
          <w:szCs w:val="16"/>
        </w:rPr>
      </w:pPr>
    </w:p>
  </w:footnote>
  <w:footnote w:id="22">
    <w:p w14:paraId="75021568" w14:textId="77777777" w:rsidR="00103317" w:rsidRDefault="00103317" w:rsidP="00103317">
      <w:pPr>
        <w:spacing w:after="0" w:line="240" w:lineRule="auto"/>
        <w:ind w:firstLine="709"/>
        <w:contextualSpacing/>
        <w:jc w:val="both"/>
        <w:rPr>
          <w:rFonts w:ascii="Verdana" w:hAnsi="Verdana" w:cs="Arial"/>
          <w:color w:val="000000" w:themeColor="text1"/>
          <w:sz w:val="16"/>
          <w:szCs w:val="16"/>
        </w:rPr>
      </w:pPr>
      <w:r w:rsidRPr="00195E24">
        <w:rPr>
          <w:rStyle w:val="FootnoteReference"/>
          <w:rFonts w:ascii="Verdana" w:hAnsi="Verdana" w:cs="Arial"/>
          <w:color w:val="000000" w:themeColor="text1"/>
          <w:sz w:val="16"/>
          <w:szCs w:val="16"/>
        </w:rPr>
        <w:footnoteRef/>
      </w:r>
      <w:r w:rsidRPr="00195E24">
        <w:rPr>
          <w:rFonts w:ascii="Verdana" w:hAnsi="Verdana" w:cs="Arial"/>
          <w:color w:val="000000" w:themeColor="text1"/>
          <w:sz w:val="16"/>
          <w:szCs w:val="16"/>
        </w:rPr>
        <w:t xml:space="preserve"> Consejo de Estado. Sala de Consulta y Servicio Civil. Concepto de 20 de febrero de 2006. Radicación Número: 11001-03-06-000-2006-00026-00 (1727). </w:t>
      </w:r>
      <w:r>
        <w:rPr>
          <w:rFonts w:ascii="Verdana" w:hAnsi="Verdana" w:cs="Arial"/>
          <w:color w:val="000000" w:themeColor="text1"/>
          <w:sz w:val="16"/>
          <w:szCs w:val="16"/>
        </w:rPr>
        <w:t>C.P</w:t>
      </w:r>
      <w:r w:rsidRPr="00195E24">
        <w:rPr>
          <w:rFonts w:ascii="Verdana" w:hAnsi="Verdana" w:cs="Arial"/>
          <w:color w:val="000000" w:themeColor="text1"/>
          <w:sz w:val="16"/>
          <w:szCs w:val="16"/>
        </w:rPr>
        <w:t>: Enrique José Arboleda Perdomo. Conceptuó que para las entidades que contratan por el derecho privado, estaba prohibida la contratación diferente de la licitación pública regulada por el código de comercio, criterio que luego se extendió para aquellos procesos que, en algunos sistemas de contratación utilizados por entidades públicas con regímenes especiales y establecidos en sus manuales de contratación, utilicen convocatoria de manera pública y se permita la participación de una pluralidad de oferentes.</w:t>
      </w:r>
    </w:p>
    <w:p w14:paraId="1236A166" w14:textId="77777777" w:rsidR="00CE0712" w:rsidRPr="005800D0" w:rsidRDefault="00CE0712" w:rsidP="00103317">
      <w:pPr>
        <w:spacing w:after="0" w:line="240" w:lineRule="auto"/>
        <w:ind w:firstLine="709"/>
        <w:contextualSpacing/>
        <w:jc w:val="both"/>
        <w:rPr>
          <w:rFonts w:ascii="Verdana" w:hAnsi="Verdana" w:cs="Arial"/>
          <w:color w:val="000000" w:themeColor="text1"/>
          <w:sz w:val="16"/>
          <w:szCs w:val="16"/>
        </w:rPr>
      </w:pPr>
    </w:p>
  </w:footnote>
  <w:footnote w:id="23">
    <w:p w14:paraId="6BFC2B24" w14:textId="77777777" w:rsidR="00103317" w:rsidRPr="00195E24" w:rsidRDefault="00103317" w:rsidP="00103317">
      <w:pPr>
        <w:pStyle w:val="FootnoteText"/>
        <w:ind w:firstLine="709"/>
        <w:contextualSpacing/>
        <w:jc w:val="both"/>
        <w:rPr>
          <w:rFonts w:ascii="Verdana" w:hAnsi="Verdana" w:cs="Arial"/>
          <w:color w:val="000000" w:themeColor="text1"/>
          <w:sz w:val="16"/>
          <w:szCs w:val="16"/>
        </w:rPr>
      </w:pPr>
      <w:r w:rsidRPr="00195E24">
        <w:rPr>
          <w:rStyle w:val="FootnoteReference"/>
          <w:rFonts w:ascii="Verdana" w:hAnsi="Verdana" w:cs="Arial"/>
          <w:color w:val="000000" w:themeColor="text1"/>
          <w:sz w:val="16"/>
          <w:szCs w:val="16"/>
        </w:rPr>
        <w:footnoteRef/>
      </w:r>
      <w:r w:rsidRPr="00195E24">
        <w:rPr>
          <w:rFonts w:ascii="Verdana" w:hAnsi="Verdana" w:cs="Arial"/>
          <w:color w:val="000000" w:themeColor="text1"/>
          <w:sz w:val="16"/>
          <w:szCs w:val="16"/>
        </w:rPr>
        <w:t xml:space="preserve"> Consejo de Estado. Sala de Consulta y Servicio Civil. Concepto de 6 de abril de 2006. Radicación Número: 11001-03-06-000-2006-00038-00 (1738). </w:t>
      </w:r>
      <w:r>
        <w:rPr>
          <w:rFonts w:ascii="Verdana" w:hAnsi="Verdana" w:cs="Arial"/>
          <w:color w:val="000000" w:themeColor="text1"/>
          <w:sz w:val="16"/>
          <w:szCs w:val="16"/>
        </w:rPr>
        <w:t>C.P:</w:t>
      </w:r>
      <w:r w:rsidRPr="00195E24">
        <w:rPr>
          <w:rFonts w:ascii="Verdana" w:hAnsi="Verdana" w:cs="Arial"/>
          <w:color w:val="000000" w:themeColor="text1"/>
          <w:sz w:val="16"/>
          <w:szCs w:val="16"/>
        </w:rPr>
        <w:t xml:space="preserve"> Enrique José Arboleda Perdomo:</w:t>
      </w:r>
      <w:r w:rsidRPr="00195E24">
        <w:rPr>
          <w:rFonts w:ascii="Verdana" w:eastAsia="Times New Roman" w:hAnsi="Verdana" w:cs="Arial"/>
          <w:bCs/>
          <w:color w:val="000000" w:themeColor="text1"/>
          <w:sz w:val="16"/>
          <w:szCs w:val="16"/>
          <w:lang w:eastAsia="x-none"/>
        </w:rPr>
        <w:t xml:space="preserve"> </w:t>
      </w:r>
      <w:bookmarkStart w:id="20" w:name="_Hlk97890572"/>
      <w:r>
        <w:rPr>
          <w:rFonts w:ascii="Verdana" w:eastAsia="Times New Roman" w:hAnsi="Verdana" w:cs="Arial"/>
          <w:bCs/>
          <w:color w:val="000000" w:themeColor="text1"/>
          <w:sz w:val="16"/>
          <w:szCs w:val="16"/>
          <w:lang w:eastAsia="x-none"/>
        </w:rPr>
        <w:t>“</w:t>
      </w:r>
      <w:r w:rsidRPr="00195E24">
        <w:rPr>
          <w:rFonts w:ascii="Verdana" w:hAnsi="Verdana" w:cs="Arial"/>
          <w:color w:val="000000" w:themeColor="text1"/>
          <w:sz w:val="16"/>
          <w:szCs w:val="16"/>
        </w:rPr>
        <w:t xml:space="preserve">Si bien en el tema del concepto del que se extractaron </w:t>
      </w:r>
      <w:bookmarkEnd w:id="20"/>
      <w:r w:rsidRPr="00195E24">
        <w:rPr>
          <w:rFonts w:ascii="Verdana" w:hAnsi="Verdana" w:cs="Arial"/>
          <w:color w:val="000000" w:themeColor="text1"/>
          <w:sz w:val="16"/>
          <w:szCs w:val="16"/>
        </w:rPr>
        <w:t>los párrafos transcritos, se hacía referencia a las empresas de servicios públicos domiciliarios mixtas, la explicación dada cobija también a las empresas industriales y comerciales del estado y a las de crédito, pues todas ellas hacen parte de la definición de administración pública de la ley 489 de 1998, y además encajan dentro de la noción de todos los entes del Estado que trae la ley 996 de 2005 en el artículo 33, de manera que no es lógico pretender exonerarse de ésta prohibición alegando un régimen especial de los actos o contratos</w:t>
      </w:r>
      <w:r>
        <w:rPr>
          <w:rFonts w:ascii="Verdana" w:eastAsia="Times New Roman" w:hAnsi="Verdana" w:cs="Arial"/>
          <w:bCs/>
          <w:color w:val="000000" w:themeColor="text1"/>
          <w:sz w:val="16"/>
          <w:szCs w:val="16"/>
          <w:lang w:eastAsia="x-none"/>
        </w:rPr>
        <w:t>”</w:t>
      </w:r>
      <w:r w:rsidRPr="00195E24">
        <w:rPr>
          <w:rFonts w:ascii="Verdana" w:eastAsia="Times New Roman" w:hAnsi="Verdana" w:cs="Arial"/>
          <w:bCs/>
          <w:color w:val="000000" w:themeColor="text1"/>
          <w:sz w:val="16"/>
          <w:szCs w:val="16"/>
          <w:lang w:eastAsia="x-none"/>
        </w:rPr>
        <w:t>.</w:t>
      </w:r>
    </w:p>
  </w:footnote>
  <w:footnote w:id="24">
    <w:p w14:paraId="441007BA" w14:textId="77777777" w:rsidR="00103317" w:rsidRDefault="00103317" w:rsidP="00103317">
      <w:pPr>
        <w:spacing w:after="0" w:line="240" w:lineRule="auto"/>
        <w:ind w:firstLine="708"/>
        <w:contextualSpacing/>
        <w:jc w:val="both"/>
        <w:rPr>
          <w:rFonts w:ascii="Verdana" w:hAnsi="Verdana" w:cs="Arial"/>
          <w:color w:val="000000" w:themeColor="text1"/>
          <w:sz w:val="16"/>
          <w:szCs w:val="16"/>
        </w:rPr>
      </w:pPr>
      <w:r w:rsidRPr="005800D0">
        <w:rPr>
          <w:rStyle w:val="FootnoteReference"/>
          <w:rFonts w:ascii="Verdana" w:hAnsi="Verdana" w:cs="Arial"/>
          <w:color w:val="000000" w:themeColor="text1"/>
          <w:sz w:val="16"/>
          <w:szCs w:val="16"/>
        </w:rPr>
        <w:footnoteRef/>
      </w:r>
      <w:r w:rsidRPr="005800D0">
        <w:rPr>
          <w:rFonts w:ascii="Verdana" w:hAnsi="Verdana" w:cs="Arial"/>
          <w:color w:val="000000" w:themeColor="text1"/>
          <w:sz w:val="16"/>
          <w:szCs w:val="16"/>
        </w:rPr>
        <w:t xml:space="preserve"> Consejo de Estado. Sala de Consulta y Servicio Civil. Concepto de 6 de abril de 2006. Radicación Número: 11001-03-06-000-2006-00038-00(1738). C</w:t>
      </w:r>
      <w:r>
        <w:rPr>
          <w:rFonts w:ascii="Verdana" w:hAnsi="Verdana" w:cs="Arial"/>
          <w:color w:val="000000" w:themeColor="text1"/>
          <w:sz w:val="16"/>
          <w:szCs w:val="16"/>
        </w:rPr>
        <w:t xml:space="preserve">.P: </w:t>
      </w:r>
      <w:r w:rsidRPr="005800D0">
        <w:rPr>
          <w:rFonts w:ascii="Verdana" w:hAnsi="Verdana" w:cs="Arial"/>
          <w:color w:val="000000" w:themeColor="text1"/>
          <w:sz w:val="16"/>
          <w:szCs w:val="16"/>
        </w:rPr>
        <w:t xml:space="preserve">Enrique José Arboleda Perdomo. </w:t>
      </w:r>
    </w:p>
    <w:p w14:paraId="360549F4" w14:textId="77777777" w:rsidR="00103317" w:rsidRPr="005800D0" w:rsidRDefault="00103317" w:rsidP="00103317">
      <w:pPr>
        <w:spacing w:after="0" w:line="240" w:lineRule="auto"/>
        <w:ind w:firstLine="708"/>
        <w:contextualSpacing/>
        <w:jc w:val="both"/>
        <w:rPr>
          <w:rFonts w:ascii="Verdana" w:hAnsi="Verdana" w:cs="Arial"/>
          <w:color w:val="000000" w:themeColor="text1"/>
          <w:sz w:val="16"/>
          <w:szCs w:val="16"/>
        </w:rPr>
      </w:pPr>
    </w:p>
  </w:footnote>
  <w:footnote w:id="25">
    <w:p w14:paraId="03F2F840" w14:textId="77777777" w:rsidR="00103317" w:rsidRPr="005800D0" w:rsidRDefault="00103317" w:rsidP="00103317">
      <w:pPr>
        <w:pStyle w:val="FootnoteText"/>
        <w:ind w:firstLine="709"/>
        <w:contextualSpacing/>
        <w:rPr>
          <w:rFonts w:ascii="Verdana" w:hAnsi="Verdana" w:cs="Arial"/>
          <w:color w:val="000000" w:themeColor="text1"/>
          <w:sz w:val="16"/>
          <w:szCs w:val="16"/>
        </w:rPr>
      </w:pPr>
      <w:r w:rsidRPr="005800D0">
        <w:rPr>
          <w:rStyle w:val="FootnoteReference"/>
          <w:rFonts w:ascii="Verdana" w:hAnsi="Verdana" w:cs="Arial"/>
          <w:color w:val="000000" w:themeColor="text1"/>
          <w:sz w:val="16"/>
          <w:szCs w:val="16"/>
        </w:rPr>
        <w:footnoteRef/>
      </w:r>
      <w:r w:rsidRPr="005800D0">
        <w:rPr>
          <w:rFonts w:ascii="Verdana" w:hAnsi="Verdana" w:cs="Arial"/>
          <w:color w:val="000000" w:themeColor="text1"/>
          <w:sz w:val="16"/>
          <w:szCs w:val="16"/>
        </w:rPr>
        <w:t xml:space="preserve"> Consejo de Estado. Sala de Consulta y Servicio Civil,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51A9" w14:textId="19552A69" w:rsidR="00157E6F" w:rsidRDefault="00157E6F">
    <w:pPr>
      <w:pStyle w:val="Header"/>
    </w:pPr>
    <w:r>
      <w:rPr>
        <w:noProof/>
      </w:rPr>
      <w:pict w14:anchorId="77DAA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070766" o:spid="_x0000_s1026" type="#_x0000_t136" style="position:absolute;margin-left:0;margin-top:0;width:551.1pt;height:71.85pt;rotation:315;z-index:-251654143;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4D03" w14:textId="4A48AB7E" w:rsidR="00756841" w:rsidRDefault="00157E6F" w:rsidP="00844AE9">
    <w:pPr>
      <w:pStyle w:val="Header"/>
      <w:spacing w:line="120" w:lineRule="auto"/>
    </w:pPr>
    <w:r>
      <w:rPr>
        <w:noProof/>
      </w:rPr>
      <w:pict w14:anchorId="7FED3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070767" o:spid="_x0000_s1027" type="#_x0000_t136" style="position:absolute;margin-left:0;margin-top:0;width:551.1pt;height:71.85pt;rotation:315;z-index:-251652095;mso-position-horizontal:center;mso-position-horizontal-relative:margin;mso-position-vertical:center;mso-position-vertical-relative:margin" o:allowincell="f" fillcolor="silver" stroked="f">
          <v:fill opacity=".5"/>
          <v:textpath style="font-family:&quot;Calibri&quot;;font-size:1pt" string="www.contratacionenlinea.co"/>
        </v:shape>
      </w:pict>
    </w:r>
    <w:r w:rsidR="009D3058">
      <w:rPr>
        <w:rFonts w:ascii="Geomanist Bold" w:hAnsi="Geomanist Bold"/>
        <w:b/>
        <w:bCs/>
        <w:noProof/>
        <w:color w:val="002060"/>
        <w:sz w:val="24"/>
        <w:szCs w:val="24"/>
      </w:rPr>
      <w:drawing>
        <wp:anchor distT="0" distB="0" distL="114300" distR="114300" simplePos="0" relativeHeight="251658241" behindDoc="1" locked="0" layoutInCell="1" allowOverlap="1" wp14:anchorId="6FC3B35F" wp14:editId="51872E67">
          <wp:simplePos x="0" y="0"/>
          <wp:positionH relativeFrom="margin">
            <wp:align>center</wp:align>
          </wp:positionH>
          <wp:positionV relativeFrom="paragraph">
            <wp:posOffset>-256388</wp:posOffset>
          </wp:positionV>
          <wp:extent cx="1924050" cy="856004"/>
          <wp:effectExtent l="0" t="0" r="0" b="1270"/>
          <wp:wrapNone/>
          <wp:docPr id="1309089902"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89902"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856004"/>
                  </a:xfrm>
                  <a:prstGeom prst="rect">
                    <a:avLst/>
                  </a:prstGeom>
                </pic:spPr>
              </pic:pic>
            </a:graphicData>
          </a:graphic>
          <wp14:sizeRelH relativeFrom="margin">
            <wp14:pctWidth>0</wp14:pctWidth>
          </wp14:sizeRelH>
          <wp14:sizeRelV relativeFrom="margin">
            <wp14:pctHeight>0</wp14:pctHeight>
          </wp14:sizeRelV>
        </wp:anchor>
      </w:drawing>
    </w:r>
    <w:r w:rsidR="00E90F6B">
      <w:rPr>
        <w:rFonts w:ascii="Geomanist Bold" w:hAnsi="Geomanist Bold"/>
        <w:b/>
        <w:bCs/>
        <w:noProof/>
        <w:color w:val="002060"/>
        <w:sz w:val="24"/>
        <w:szCs w:val="24"/>
      </w:rPr>
      <w:drawing>
        <wp:anchor distT="0" distB="0" distL="114300" distR="114300" simplePos="0" relativeHeight="251658240" behindDoc="0" locked="0" layoutInCell="1" allowOverlap="1" wp14:anchorId="4F745D08" wp14:editId="02405FCC">
          <wp:simplePos x="0" y="0"/>
          <wp:positionH relativeFrom="margin">
            <wp:posOffset>8420100</wp:posOffset>
          </wp:positionH>
          <wp:positionV relativeFrom="margin">
            <wp:posOffset>-1377950</wp:posOffset>
          </wp:positionV>
          <wp:extent cx="665480" cy="3098800"/>
          <wp:effectExtent l="0" t="0" r="0" b="0"/>
          <wp:wrapThrough wrapText="bothSides">
            <wp:wrapPolygon edited="0">
              <wp:start x="6183" y="0"/>
              <wp:lineTo x="0" y="1416"/>
              <wp:lineTo x="5359" y="2833"/>
              <wp:lineTo x="2061" y="4249"/>
              <wp:lineTo x="412" y="4780"/>
              <wp:lineTo x="824" y="5134"/>
              <wp:lineTo x="3298" y="5666"/>
              <wp:lineTo x="4534" y="7082"/>
              <wp:lineTo x="412" y="7967"/>
              <wp:lineTo x="0" y="8233"/>
              <wp:lineTo x="5771" y="9915"/>
              <wp:lineTo x="0" y="11508"/>
              <wp:lineTo x="0" y="11685"/>
              <wp:lineTo x="4122" y="12748"/>
              <wp:lineTo x="2061" y="14164"/>
              <wp:lineTo x="0" y="14872"/>
              <wp:lineTo x="0" y="15049"/>
              <wp:lineTo x="2061" y="15580"/>
              <wp:lineTo x="4534" y="16997"/>
              <wp:lineTo x="0" y="18059"/>
              <wp:lineTo x="0" y="18413"/>
              <wp:lineTo x="10718" y="21246"/>
              <wp:lineTo x="12366" y="21511"/>
              <wp:lineTo x="14427" y="21511"/>
              <wp:lineTo x="14840" y="21511"/>
              <wp:lineTo x="17313" y="20980"/>
              <wp:lineTo x="20611" y="20007"/>
              <wp:lineTo x="20198" y="19830"/>
              <wp:lineTo x="13603" y="18413"/>
              <wp:lineTo x="21023" y="16643"/>
              <wp:lineTo x="16489" y="15580"/>
              <wp:lineTo x="17313" y="14164"/>
              <wp:lineTo x="21023" y="13279"/>
              <wp:lineTo x="18962" y="12748"/>
              <wp:lineTo x="15664" y="11331"/>
              <wp:lineTo x="21023" y="10003"/>
              <wp:lineTo x="21023" y="9826"/>
              <wp:lineTo x="18137" y="9207"/>
              <wp:lineTo x="15664" y="8498"/>
              <wp:lineTo x="19374" y="7082"/>
              <wp:lineTo x="21023" y="6639"/>
              <wp:lineTo x="21023" y="6374"/>
              <wp:lineTo x="18137" y="5666"/>
              <wp:lineTo x="16901" y="4249"/>
              <wp:lineTo x="21023" y="3275"/>
              <wp:lineTo x="21023" y="3098"/>
              <wp:lineTo x="20611" y="2833"/>
              <wp:lineTo x="8244" y="0"/>
              <wp:lineTo x="6183" y="0"/>
            </wp:wrapPolygon>
          </wp:wrapThrough>
          <wp:docPr id="962149914" name="Imagen 962149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74706" name="Imagen 1987974706"/>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5480" cy="3098800"/>
                  </a:xfrm>
                  <a:prstGeom prst="rect">
                    <a:avLst/>
                  </a:prstGeom>
                </pic:spPr>
              </pic:pic>
            </a:graphicData>
          </a:graphic>
          <wp14:sizeRelH relativeFrom="margin">
            <wp14:pctWidth>0</wp14:pctWidth>
          </wp14:sizeRelH>
          <wp14:sizeRelV relativeFrom="margin">
            <wp14:pctHeight>0</wp14:pctHeight>
          </wp14:sizeRelV>
        </wp:anchor>
      </w:drawing>
    </w:r>
  </w:p>
  <w:p w14:paraId="1BE2B9AE" w14:textId="4B94DB3B" w:rsidR="00756841" w:rsidRDefault="00756841">
    <w:pPr>
      <w:pStyle w:val="Header"/>
    </w:pPr>
  </w:p>
  <w:p w14:paraId="5E18350A" w14:textId="705F7B76" w:rsidR="004A305D" w:rsidRPr="004A305D" w:rsidRDefault="004A305D" w:rsidP="00B01B1A">
    <w:pPr>
      <w:spacing w:after="0" w:line="120" w:lineRule="auto"/>
      <w:rPr>
        <w:rFonts w:ascii="Century Gothic" w:eastAsia="Geo" w:hAnsi="Century Gothic" w:cs="Geo"/>
        <w:sz w:val="16"/>
        <w:szCs w:val="16"/>
        <w:lang w:eastAsia="es-CO"/>
      </w:rPr>
    </w:pPr>
  </w:p>
  <w:p w14:paraId="211B7F5D" w14:textId="77777777" w:rsidR="00C925AC" w:rsidRDefault="00C925AC" w:rsidP="00844AE9">
    <w:pPr>
      <w:spacing w:after="0" w:line="240" w:lineRule="auto"/>
      <w:rPr>
        <w:rFonts w:ascii="Verdana" w:hAnsi="Verdana"/>
        <w:sz w:val="24"/>
        <w:szCs w:val="24"/>
      </w:rPr>
    </w:pPr>
  </w:p>
  <w:p w14:paraId="5A0054B1" w14:textId="77777777" w:rsidR="00A14468" w:rsidRPr="00C925AC" w:rsidRDefault="00A14468" w:rsidP="00844AE9">
    <w:pPr>
      <w:spacing w:after="0" w:line="240" w:lineRule="auto"/>
      <w:rPr>
        <w:rFonts w:ascii="Verdana" w:hAnsi="Verdana"/>
        <w:sz w:val="24"/>
        <w:szCs w:val="24"/>
      </w:rPr>
    </w:pPr>
  </w:p>
  <w:p w14:paraId="1FD1C243" w14:textId="37C5500A" w:rsidR="008A446D" w:rsidRPr="00C925AC" w:rsidRDefault="00C925AC" w:rsidP="000D5DA7">
    <w:pPr>
      <w:spacing w:after="0" w:line="480" w:lineRule="auto"/>
      <w:rPr>
        <w:rFonts w:ascii="Verdana" w:hAnsi="Verdana"/>
        <w:b/>
        <w:bCs/>
        <w:sz w:val="24"/>
        <w:szCs w:val="24"/>
      </w:rPr>
    </w:pPr>
    <w:r w:rsidRPr="00C925AC">
      <w:rPr>
        <w:rFonts w:ascii="Verdana" w:hAnsi="Verdana"/>
        <w:b/>
        <w:bCs/>
        <w:sz w:val="24"/>
        <w:szCs w:val="24"/>
      </w:rPr>
      <w:t>FORMATO</w:t>
    </w:r>
    <w:r w:rsidR="00BF7425">
      <w:rPr>
        <w:rFonts w:ascii="Verdana" w:hAnsi="Verdana"/>
        <w:b/>
        <w:bCs/>
        <w:sz w:val="24"/>
        <w:szCs w:val="24"/>
      </w:rPr>
      <w:t xml:space="preserve"> DE RESPUESTA </w:t>
    </w:r>
    <w:r w:rsidRPr="00C925AC">
      <w:rPr>
        <w:rFonts w:ascii="Verdana" w:hAnsi="Verdana"/>
        <w:b/>
        <w:bCs/>
        <w:sz w:val="24"/>
        <w:szCs w:val="24"/>
      </w:rPr>
      <w:t>PQRSD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5654" w14:textId="1823A6E5" w:rsidR="00157E6F" w:rsidRDefault="00157E6F">
    <w:pPr>
      <w:pStyle w:val="Header"/>
    </w:pPr>
    <w:r>
      <w:rPr>
        <w:noProof/>
      </w:rPr>
      <w:pict w14:anchorId="566FB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070765" o:spid="_x0000_s1025" type="#_x0000_t136" style="position:absolute;margin-left:0;margin-top:0;width:551.1pt;height:71.85pt;rotation:315;z-index:-251656191;mso-position-horizontal:center;mso-position-horizontal-relative:margin;mso-position-vertical:center;mso-position-vertical-relative:margin" o:allowincell="f" fillcolor="silver" stroked="f">
          <v:fill opacity=".5"/>
          <v:textpath style="font-family:&quot;Calibri&quot;;font-size:1pt" string="www.contratacionenlinea.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12pt;height:12pt" o:bullet="t">
        <v:imagedata r:id="rId1" o:title="mso1B13"/>
      </v:shape>
    </w:pict>
  </w:numPicBullet>
  <w:abstractNum w:abstractNumId="0" w15:restartNumberingAfterBreak="0">
    <w:nsid w:val="01C06310"/>
    <w:multiLevelType w:val="multilevel"/>
    <w:tmpl w:val="25FEEF8E"/>
    <w:lvl w:ilvl="0">
      <w:start w:val="1"/>
      <w:numFmt w:val="decimal"/>
      <w:lvlText w:val="%1."/>
      <w:lvlJc w:val="left"/>
      <w:pPr>
        <w:ind w:left="6601" w:hanging="360"/>
      </w:pPr>
      <w:rPr>
        <w:b/>
        <w:color w:val="000000" w:themeColor="text1"/>
      </w:rPr>
    </w:lvl>
    <w:lvl w:ilvl="1">
      <w:start w:val="2"/>
      <w:numFmt w:val="decimal"/>
      <w:isLgl/>
      <w:lvlText w:val="%1.%2"/>
      <w:lvlJc w:val="left"/>
      <w:pPr>
        <w:ind w:left="6241" w:hanging="360"/>
      </w:pPr>
    </w:lvl>
    <w:lvl w:ilvl="2">
      <w:start w:val="1"/>
      <w:numFmt w:val="decimal"/>
      <w:isLgl/>
      <w:lvlText w:val="%1.%2.%3"/>
      <w:lvlJc w:val="left"/>
      <w:pPr>
        <w:ind w:left="6961" w:hanging="720"/>
      </w:pPr>
    </w:lvl>
    <w:lvl w:ilvl="3">
      <w:start w:val="1"/>
      <w:numFmt w:val="decimal"/>
      <w:isLgl/>
      <w:lvlText w:val="%1.%2.%3.%4"/>
      <w:lvlJc w:val="left"/>
      <w:pPr>
        <w:ind w:left="6961" w:hanging="720"/>
      </w:pPr>
    </w:lvl>
    <w:lvl w:ilvl="4">
      <w:start w:val="1"/>
      <w:numFmt w:val="decimal"/>
      <w:isLgl/>
      <w:lvlText w:val="%1.%2.%3.%4.%5"/>
      <w:lvlJc w:val="left"/>
      <w:pPr>
        <w:ind w:left="7321" w:hanging="1080"/>
      </w:pPr>
    </w:lvl>
    <w:lvl w:ilvl="5">
      <w:start w:val="1"/>
      <w:numFmt w:val="decimal"/>
      <w:isLgl/>
      <w:lvlText w:val="%1.%2.%3.%4.%5.%6"/>
      <w:lvlJc w:val="left"/>
      <w:pPr>
        <w:ind w:left="7321" w:hanging="1080"/>
      </w:pPr>
    </w:lvl>
    <w:lvl w:ilvl="6">
      <w:start w:val="1"/>
      <w:numFmt w:val="decimal"/>
      <w:isLgl/>
      <w:lvlText w:val="%1.%2.%3.%4.%5.%6.%7"/>
      <w:lvlJc w:val="left"/>
      <w:pPr>
        <w:ind w:left="7681" w:hanging="1440"/>
      </w:pPr>
    </w:lvl>
    <w:lvl w:ilvl="7">
      <w:start w:val="1"/>
      <w:numFmt w:val="decimal"/>
      <w:isLgl/>
      <w:lvlText w:val="%1.%2.%3.%4.%5.%6.%7.%8"/>
      <w:lvlJc w:val="left"/>
      <w:pPr>
        <w:ind w:left="7681" w:hanging="1440"/>
      </w:pPr>
    </w:lvl>
    <w:lvl w:ilvl="8">
      <w:start w:val="1"/>
      <w:numFmt w:val="decimal"/>
      <w:isLgl/>
      <w:lvlText w:val="%1.%2.%3.%4.%5.%6.%7.%8.%9"/>
      <w:lvlJc w:val="left"/>
      <w:pPr>
        <w:ind w:left="8041" w:hanging="1800"/>
      </w:pPr>
    </w:lvl>
  </w:abstractNum>
  <w:abstractNum w:abstractNumId="1" w15:restartNumberingAfterBreak="0">
    <w:nsid w:val="0337782A"/>
    <w:multiLevelType w:val="multilevel"/>
    <w:tmpl w:val="90D2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30BDC"/>
    <w:multiLevelType w:val="hybridMultilevel"/>
    <w:tmpl w:val="734ED3EC"/>
    <w:lvl w:ilvl="0" w:tplc="834431CA">
      <w:numFmt w:val="bullet"/>
      <w:lvlText w:val="-"/>
      <w:lvlJc w:val="left"/>
      <w:pPr>
        <w:ind w:left="1080" w:hanging="360"/>
      </w:pPr>
      <w:rPr>
        <w:rFonts w:ascii="Arial" w:eastAsia="Times New Roman" w:hAnsi="Arial" w:cs="Arial"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25352E86"/>
    <w:multiLevelType w:val="multilevel"/>
    <w:tmpl w:val="E81277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80020"/>
    <w:multiLevelType w:val="hybridMultilevel"/>
    <w:tmpl w:val="DA8CAD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0B0C74"/>
    <w:multiLevelType w:val="multilevel"/>
    <w:tmpl w:val="FCE0A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14460"/>
    <w:multiLevelType w:val="hybridMultilevel"/>
    <w:tmpl w:val="7FC88522"/>
    <w:lvl w:ilvl="0" w:tplc="A22AAB2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0F0516"/>
    <w:multiLevelType w:val="multilevel"/>
    <w:tmpl w:val="BAD28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D933EA"/>
    <w:multiLevelType w:val="multilevel"/>
    <w:tmpl w:val="8BFCD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621BDA"/>
    <w:multiLevelType w:val="hybridMultilevel"/>
    <w:tmpl w:val="79669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36C03B0"/>
    <w:multiLevelType w:val="hybridMultilevel"/>
    <w:tmpl w:val="53AC8484"/>
    <w:lvl w:ilvl="0" w:tplc="1F14B5D2">
      <w:start w:val="1"/>
      <w:numFmt w:val="bullet"/>
      <w:lvlText w:val="·"/>
      <w:lvlJc w:val="left"/>
      <w:pPr>
        <w:ind w:left="785" w:hanging="360"/>
      </w:pPr>
      <w:rPr>
        <w:rFonts w:ascii="Symbol" w:hAnsi="Symbol" w:hint="default"/>
        <w:color w:val="auto"/>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1" w15:restartNumberingAfterBreak="0">
    <w:nsid w:val="6BF97060"/>
    <w:multiLevelType w:val="multilevel"/>
    <w:tmpl w:val="B3E00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3C082A"/>
    <w:multiLevelType w:val="multilevel"/>
    <w:tmpl w:val="A8042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4922CE"/>
    <w:multiLevelType w:val="multilevel"/>
    <w:tmpl w:val="E5E6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B367B7"/>
    <w:multiLevelType w:val="multilevel"/>
    <w:tmpl w:val="4E0EF6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779781">
    <w:abstractNumId w:val="6"/>
  </w:num>
  <w:num w:numId="2" w16cid:durableId="19822139">
    <w:abstractNumId w:val="2"/>
  </w:num>
  <w:num w:numId="3" w16cid:durableId="876742304">
    <w:abstractNumId w:val="4"/>
  </w:num>
  <w:num w:numId="4" w16cid:durableId="2451864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721115">
    <w:abstractNumId w:val="2"/>
  </w:num>
  <w:num w:numId="6" w16cid:durableId="316692925">
    <w:abstractNumId w:val="13"/>
  </w:num>
  <w:num w:numId="7" w16cid:durableId="1946422806">
    <w:abstractNumId w:val="5"/>
  </w:num>
  <w:num w:numId="8" w16cid:durableId="152644682">
    <w:abstractNumId w:val="12"/>
  </w:num>
  <w:num w:numId="9" w16cid:durableId="1317221377">
    <w:abstractNumId w:val="7"/>
  </w:num>
  <w:num w:numId="10" w16cid:durableId="1471245386">
    <w:abstractNumId w:val="11"/>
  </w:num>
  <w:num w:numId="11" w16cid:durableId="289172385">
    <w:abstractNumId w:val="8"/>
  </w:num>
  <w:num w:numId="12" w16cid:durableId="1470781324">
    <w:abstractNumId w:val="1"/>
  </w:num>
  <w:num w:numId="13" w16cid:durableId="1512908409">
    <w:abstractNumId w:val="3"/>
  </w:num>
  <w:num w:numId="14" w16cid:durableId="895897244">
    <w:abstractNumId w:val="14"/>
  </w:num>
  <w:num w:numId="15" w16cid:durableId="390349800">
    <w:abstractNumId w:val="10"/>
  </w:num>
  <w:num w:numId="16" w16cid:durableId="341274352">
    <w:abstractNumId w:val="0"/>
  </w:num>
  <w:num w:numId="17" w16cid:durableId="1894196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47"/>
    <w:rsid w:val="00016F78"/>
    <w:rsid w:val="00046945"/>
    <w:rsid w:val="00061B2A"/>
    <w:rsid w:val="00082362"/>
    <w:rsid w:val="000A683E"/>
    <w:rsid w:val="000A7345"/>
    <w:rsid w:val="000B15D0"/>
    <w:rsid w:val="000B19B9"/>
    <w:rsid w:val="000D0334"/>
    <w:rsid w:val="000D5DA7"/>
    <w:rsid w:val="000F6486"/>
    <w:rsid w:val="00103317"/>
    <w:rsid w:val="00116940"/>
    <w:rsid w:val="00125105"/>
    <w:rsid w:val="00127233"/>
    <w:rsid w:val="0015699B"/>
    <w:rsid w:val="00157E6F"/>
    <w:rsid w:val="00183C24"/>
    <w:rsid w:val="00195C7C"/>
    <w:rsid w:val="001A33BF"/>
    <w:rsid w:val="001E4177"/>
    <w:rsid w:val="001F0B24"/>
    <w:rsid w:val="001F7DC6"/>
    <w:rsid w:val="0022400B"/>
    <w:rsid w:val="002421BB"/>
    <w:rsid w:val="0025796E"/>
    <w:rsid w:val="002707A2"/>
    <w:rsid w:val="00272C1A"/>
    <w:rsid w:val="00286DC5"/>
    <w:rsid w:val="002951A0"/>
    <w:rsid w:val="002962BC"/>
    <w:rsid w:val="002A093D"/>
    <w:rsid w:val="002A0DD0"/>
    <w:rsid w:val="002A49AC"/>
    <w:rsid w:val="002A64FD"/>
    <w:rsid w:val="002C7A84"/>
    <w:rsid w:val="002E2BF8"/>
    <w:rsid w:val="002E4FD9"/>
    <w:rsid w:val="0030657A"/>
    <w:rsid w:val="00322A85"/>
    <w:rsid w:val="00324168"/>
    <w:rsid w:val="00330834"/>
    <w:rsid w:val="003448F4"/>
    <w:rsid w:val="00374F5E"/>
    <w:rsid w:val="00376BD3"/>
    <w:rsid w:val="00376E85"/>
    <w:rsid w:val="00377E3E"/>
    <w:rsid w:val="003A779E"/>
    <w:rsid w:val="003D0F4D"/>
    <w:rsid w:val="003D5B0D"/>
    <w:rsid w:val="003E0499"/>
    <w:rsid w:val="003E4F80"/>
    <w:rsid w:val="003E6439"/>
    <w:rsid w:val="003F3941"/>
    <w:rsid w:val="00406575"/>
    <w:rsid w:val="00414C74"/>
    <w:rsid w:val="0042722E"/>
    <w:rsid w:val="0044528D"/>
    <w:rsid w:val="00466E39"/>
    <w:rsid w:val="004A1847"/>
    <w:rsid w:val="004A305D"/>
    <w:rsid w:val="004F21C4"/>
    <w:rsid w:val="004F685F"/>
    <w:rsid w:val="005501DB"/>
    <w:rsid w:val="005566E8"/>
    <w:rsid w:val="005746B3"/>
    <w:rsid w:val="00574867"/>
    <w:rsid w:val="00575AC1"/>
    <w:rsid w:val="00591460"/>
    <w:rsid w:val="005A65E0"/>
    <w:rsid w:val="005C0AEA"/>
    <w:rsid w:val="005C3777"/>
    <w:rsid w:val="005C5CDC"/>
    <w:rsid w:val="005D476C"/>
    <w:rsid w:val="00601DC2"/>
    <w:rsid w:val="006200BF"/>
    <w:rsid w:val="006219F8"/>
    <w:rsid w:val="006302F7"/>
    <w:rsid w:val="00646B9F"/>
    <w:rsid w:val="00665D70"/>
    <w:rsid w:val="006900D9"/>
    <w:rsid w:val="006F1103"/>
    <w:rsid w:val="00706C16"/>
    <w:rsid w:val="007340C3"/>
    <w:rsid w:val="0075235A"/>
    <w:rsid w:val="00756841"/>
    <w:rsid w:val="007649AB"/>
    <w:rsid w:val="00771D0C"/>
    <w:rsid w:val="007833AC"/>
    <w:rsid w:val="007B268C"/>
    <w:rsid w:val="007B7171"/>
    <w:rsid w:val="007C0C0F"/>
    <w:rsid w:val="007C3DC2"/>
    <w:rsid w:val="007E5497"/>
    <w:rsid w:val="00806F5F"/>
    <w:rsid w:val="00820278"/>
    <w:rsid w:val="008258C9"/>
    <w:rsid w:val="00844AE9"/>
    <w:rsid w:val="00867F95"/>
    <w:rsid w:val="008843B6"/>
    <w:rsid w:val="00891928"/>
    <w:rsid w:val="008A446D"/>
    <w:rsid w:val="008B25F1"/>
    <w:rsid w:val="008D180B"/>
    <w:rsid w:val="008F0EA7"/>
    <w:rsid w:val="00904AD4"/>
    <w:rsid w:val="00923EEF"/>
    <w:rsid w:val="009419F9"/>
    <w:rsid w:val="0095685E"/>
    <w:rsid w:val="00961B09"/>
    <w:rsid w:val="00965334"/>
    <w:rsid w:val="0097093E"/>
    <w:rsid w:val="009A0DFA"/>
    <w:rsid w:val="009A1C6F"/>
    <w:rsid w:val="009B2D26"/>
    <w:rsid w:val="009C71FA"/>
    <w:rsid w:val="009C72E7"/>
    <w:rsid w:val="009C7F7E"/>
    <w:rsid w:val="009D3058"/>
    <w:rsid w:val="009F3A13"/>
    <w:rsid w:val="00A04CB4"/>
    <w:rsid w:val="00A122D3"/>
    <w:rsid w:val="00A14468"/>
    <w:rsid w:val="00A17F13"/>
    <w:rsid w:val="00A20739"/>
    <w:rsid w:val="00A23AF9"/>
    <w:rsid w:val="00A33C78"/>
    <w:rsid w:val="00AB0ADB"/>
    <w:rsid w:val="00B00C0E"/>
    <w:rsid w:val="00B01B1A"/>
    <w:rsid w:val="00B0381D"/>
    <w:rsid w:val="00B44A47"/>
    <w:rsid w:val="00B72CD3"/>
    <w:rsid w:val="00B72FFF"/>
    <w:rsid w:val="00BC3D36"/>
    <w:rsid w:val="00BD54A6"/>
    <w:rsid w:val="00BD7F72"/>
    <w:rsid w:val="00BF7425"/>
    <w:rsid w:val="00C04FB3"/>
    <w:rsid w:val="00C11D8B"/>
    <w:rsid w:val="00C15139"/>
    <w:rsid w:val="00C330EB"/>
    <w:rsid w:val="00C50D69"/>
    <w:rsid w:val="00C5365C"/>
    <w:rsid w:val="00C754BE"/>
    <w:rsid w:val="00C76B1C"/>
    <w:rsid w:val="00C925AC"/>
    <w:rsid w:val="00CB6357"/>
    <w:rsid w:val="00CC1B26"/>
    <w:rsid w:val="00CD0C0C"/>
    <w:rsid w:val="00CE0712"/>
    <w:rsid w:val="00D361FD"/>
    <w:rsid w:val="00D423A2"/>
    <w:rsid w:val="00D44E26"/>
    <w:rsid w:val="00D520D8"/>
    <w:rsid w:val="00D63AC2"/>
    <w:rsid w:val="00D7383B"/>
    <w:rsid w:val="00D7788A"/>
    <w:rsid w:val="00DA231B"/>
    <w:rsid w:val="00DB3A0F"/>
    <w:rsid w:val="00DC3470"/>
    <w:rsid w:val="00DC39FC"/>
    <w:rsid w:val="00DE29D0"/>
    <w:rsid w:val="00DF5254"/>
    <w:rsid w:val="00E02524"/>
    <w:rsid w:val="00E16408"/>
    <w:rsid w:val="00E20894"/>
    <w:rsid w:val="00E245AB"/>
    <w:rsid w:val="00E2764C"/>
    <w:rsid w:val="00E27F2E"/>
    <w:rsid w:val="00E50AFE"/>
    <w:rsid w:val="00E75C92"/>
    <w:rsid w:val="00E771DC"/>
    <w:rsid w:val="00E8772A"/>
    <w:rsid w:val="00E90F6B"/>
    <w:rsid w:val="00E92C27"/>
    <w:rsid w:val="00EA0E3D"/>
    <w:rsid w:val="00EC38A7"/>
    <w:rsid w:val="00EE1AA8"/>
    <w:rsid w:val="00F23FEA"/>
    <w:rsid w:val="00F31EDC"/>
    <w:rsid w:val="00F40BB6"/>
    <w:rsid w:val="00F462B3"/>
    <w:rsid w:val="00F5664F"/>
    <w:rsid w:val="00F666C4"/>
    <w:rsid w:val="00F76AFC"/>
    <w:rsid w:val="00FA2A9A"/>
    <w:rsid w:val="00FA47C0"/>
    <w:rsid w:val="00FB5DD1"/>
    <w:rsid w:val="00FC2B5D"/>
    <w:rsid w:val="00FF1449"/>
    <w:rsid w:val="00FF7963"/>
    <w:rsid w:val="08AD9C5B"/>
    <w:rsid w:val="09908A09"/>
    <w:rsid w:val="13CFC91B"/>
    <w:rsid w:val="19A2EC2C"/>
    <w:rsid w:val="2859CA1B"/>
    <w:rsid w:val="32A4F9CF"/>
    <w:rsid w:val="356CEDFD"/>
    <w:rsid w:val="475D7007"/>
    <w:rsid w:val="684DF7C5"/>
    <w:rsid w:val="69614A15"/>
    <w:rsid w:val="73D21086"/>
    <w:rsid w:val="7BB183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07BD"/>
  <w15:chartTrackingRefBased/>
  <w15:docId w15:val="{AA18BD11-F4B5-4A67-BA3F-63EFCCB4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847"/>
    <w:pPr>
      <w:tabs>
        <w:tab w:val="center" w:pos="4419"/>
        <w:tab w:val="right" w:pos="8838"/>
      </w:tabs>
      <w:spacing w:after="0" w:line="240" w:lineRule="auto"/>
    </w:pPr>
  </w:style>
  <w:style w:type="character" w:customStyle="1" w:styleId="HeaderChar">
    <w:name w:val="Header Char"/>
    <w:basedOn w:val="DefaultParagraphFont"/>
    <w:link w:val="Header"/>
    <w:uiPriority w:val="99"/>
    <w:rsid w:val="004A1847"/>
  </w:style>
  <w:style w:type="paragraph" w:styleId="Footer">
    <w:name w:val="footer"/>
    <w:basedOn w:val="Normal"/>
    <w:link w:val="FooterChar"/>
    <w:uiPriority w:val="99"/>
    <w:unhideWhenUsed/>
    <w:rsid w:val="004A1847"/>
    <w:pPr>
      <w:tabs>
        <w:tab w:val="center" w:pos="4419"/>
        <w:tab w:val="right" w:pos="8838"/>
      </w:tabs>
      <w:spacing w:after="0" w:line="240" w:lineRule="auto"/>
    </w:pPr>
  </w:style>
  <w:style w:type="character" w:customStyle="1" w:styleId="FooterChar">
    <w:name w:val="Footer Char"/>
    <w:basedOn w:val="DefaultParagraphFont"/>
    <w:link w:val="Footer"/>
    <w:uiPriority w:val="99"/>
    <w:rsid w:val="004A1847"/>
  </w:style>
  <w:style w:type="paragraph" w:customStyle="1" w:styleId="Default">
    <w:name w:val="Default"/>
    <w:rsid w:val="006219F8"/>
    <w:pPr>
      <w:autoSpaceDE w:val="0"/>
      <w:autoSpaceDN w:val="0"/>
      <w:adjustRightInd w:val="0"/>
      <w:spacing w:after="0" w:line="240" w:lineRule="auto"/>
    </w:pPr>
    <w:rPr>
      <w:rFonts w:ascii="Arial" w:hAnsi="Arial" w:cs="Arial"/>
      <w:color w:val="000000"/>
      <w:sz w:val="24"/>
      <w:szCs w:val="24"/>
    </w:rPr>
  </w:style>
  <w:style w:type="character" w:customStyle="1" w:styleId="FootnoteTextChar">
    <w:name w:val="Footnote Text Char"/>
    <w:aliases w:val="Ref. de nota al pie1 Char,Texto de nota al pie Char,referencia nota al pie Char,Appel note de bas de page Char,Footnotes refss Char,Footnote number Char,BVI fnr Char,Footnote Text Char Char Char Char Char Char,Footnote reference Char"/>
    <w:basedOn w:val="DefaultParagraphFont"/>
    <w:link w:val="FootnoteText"/>
    <w:uiPriority w:val="99"/>
    <w:qFormat/>
    <w:locked/>
    <w:rsid w:val="006219F8"/>
    <w:rPr>
      <w:sz w:val="20"/>
      <w:szCs w:val="20"/>
      <w:lang w:val="es-MX"/>
    </w:rPr>
  </w:style>
  <w:style w:type="paragraph" w:styleId="FootnoteText">
    <w:name w:val="footnote text"/>
    <w:aliases w:val="Ref. de nota al pie1,Texto de nota al pie,referencia nota al pie,Appel note de bas de page,Footnotes refss,Footnote number,BVI fnr,Footnote Text Char Char Char Char Char,Footnote Text Char Char Char Char,Footnote reference,FA Fu,ft,fn,Car"/>
    <w:basedOn w:val="Normal"/>
    <w:link w:val="FootnoteTextChar"/>
    <w:uiPriority w:val="99"/>
    <w:unhideWhenUsed/>
    <w:qFormat/>
    <w:rsid w:val="006219F8"/>
    <w:pPr>
      <w:spacing w:after="0" w:line="240" w:lineRule="auto"/>
    </w:pPr>
    <w:rPr>
      <w:sz w:val="20"/>
      <w:szCs w:val="20"/>
      <w:lang w:val="es-MX"/>
    </w:rPr>
  </w:style>
  <w:style w:type="character" w:customStyle="1" w:styleId="TextonotapieCar1">
    <w:name w:val="Texto nota pie Car1"/>
    <w:basedOn w:val="DefaultParagraphFont"/>
    <w:uiPriority w:val="99"/>
    <w:semiHidden/>
    <w:rsid w:val="006219F8"/>
    <w:rPr>
      <w:sz w:val="20"/>
      <w:szCs w:val="20"/>
    </w:rPr>
  </w:style>
  <w:style w:type="character" w:styleId="FootnoteReference">
    <w:name w:val="footnote reference"/>
    <w:aliases w:val="Ref. de nota al pie 2,Ref,de nota al pie,FC,Appel note de bas de p,f,4_G,16 Point,Superscript 6 Point,Texto nota al pie,Pie de Página,Texto de nota al pi,Nota de pie,Texto de nota al p,Footnote Reference Char3,Texto nota pie Car2,F,R"/>
    <w:basedOn w:val="DefaultParagraphFont"/>
    <w:link w:val="Appelnotedebasde"/>
    <w:uiPriority w:val="99"/>
    <w:unhideWhenUsed/>
    <w:qFormat/>
    <w:rsid w:val="006219F8"/>
    <w:rPr>
      <w:vertAlign w:val="superscript"/>
    </w:rPr>
  </w:style>
  <w:style w:type="character" w:customStyle="1" w:styleId="normaltextrun">
    <w:name w:val="normaltextrun"/>
    <w:basedOn w:val="DefaultParagraphFont"/>
    <w:rsid w:val="006219F8"/>
  </w:style>
  <w:style w:type="table" w:styleId="TableGrid">
    <w:name w:val="Table Grid"/>
    <w:basedOn w:val="TableNormal"/>
    <w:uiPriority w:val="39"/>
    <w:qFormat/>
    <w:rsid w:val="0062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tografía,Párrafo de lista1,Bullet List,FooterText,numbered,Paragraphe de liste1,lp1,Scitum normal,HOJA,Bolita,Párrafo de lista4,BOLADEF,Párrafo de lista3,Párrafo de lista21,BOLA,Nivel 1 OS,Colorful List Accent 1,Foot"/>
    <w:basedOn w:val="Normal"/>
    <w:link w:val="ListParagraphChar"/>
    <w:uiPriority w:val="1"/>
    <w:qFormat/>
    <w:rsid w:val="005566E8"/>
    <w:pPr>
      <w:ind w:left="720"/>
      <w:contextualSpacing/>
    </w:pPr>
    <w:rPr>
      <w:rFonts w:ascii="Geomanist Light" w:hAnsi="Geomanist Light"/>
      <w:lang w:val="es-ES"/>
    </w:rPr>
  </w:style>
  <w:style w:type="paragraph" w:styleId="Title">
    <w:name w:val="Title"/>
    <w:basedOn w:val="Normal"/>
    <w:next w:val="Normal"/>
    <w:link w:val="TitleChar"/>
    <w:uiPriority w:val="10"/>
    <w:qFormat/>
    <w:rsid w:val="005566E8"/>
    <w:pPr>
      <w:spacing w:after="0" w:line="240" w:lineRule="auto"/>
      <w:contextualSpacing/>
    </w:pPr>
    <w:rPr>
      <w:rFonts w:ascii="Geomanist" w:eastAsiaTheme="majorEastAsia" w:hAnsi="Geomanist" w:cstheme="majorBidi"/>
      <w:spacing w:val="-10"/>
      <w:kern w:val="28"/>
      <w:szCs w:val="56"/>
      <w:lang w:val="es-ES"/>
    </w:rPr>
  </w:style>
  <w:style w:type="character" w:customStyle="1" w:styleId="TitleChar">
    <w:name w:val="Title Char"/>
    <w:basedOn w:val="DefaultParagraphFont"/>
    <w:link w:val="Title"/>
    <w:uiPriority w:val="10"/>
    <w:rsid w:val="005566E8"/>
    <w:rPr>
      <w:rFonts w:ascii="Geomanist" w:eastAsiaTheme="majorEastAsia" w:hAnsi="Geomanist" w:cstheme="majorBidi"/>
      <w:spacing w:val="-10"/>
      <w:kern w:val="28"/>
      <w:szCs w:val="56"/>
      <w:lang w:val="es-ES"/>
    </w:rPr>
  </w:style>
  <w:style w:type="character" w:customStyle="1" w:styleId="ui-provider">
    <w:name w:val="ui-provider"/>
    <w:basedOn w:val="DefaultParagraphFont"/>
    <w:rsid w:val="00DA231B"/>
  </w:style>
  <w:style w:type="character" w:styleId="Hyperlink">
    <w:name w:val="Hyperlink"/>
    <w:basedOn w:val="DefaultParagraphFont"/>
    <w:uiPriority w:val="99"/>
    <w:unhideWhenUsed/>
    <w:rsid w:val="00125105"/>
    <w:rPr>
      <w:color w:val="0000FF"/>
      <w:u w:val="single"/>
    </w:rPr>
  </w:style>
  <w:style w:type="character" w:styleId="FollowedHyperlink">
    <w:name w:val="FollowedHyperlink"/>
    <w:basedOn w:val="DefaultParagraphFont"/>
    <w:uiPriority w:val="99"/>
    <w:semiHidden/>
    <w:unhideWhenUsed/>
    <w:rsid w:val="00125105"/>
    <w:rPr>
      <w:color w:val="954F72" w:themeColor="followedHyperlink"/>
      <w:u w:val="single"/>
    </w:rPr>
  </w:style>
  <w:style w:type="paragraph" w:customStyle="1" w:styleId="paragraph">
    <w:name w:val="paragraph"/>
    <w:basedOn w:val="Normal"/>
    <w:rsid w:val="00322A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abchar">
    <w:name w:val="tabchar"/>
    <w:basedOn w:val="DefaultParagraphFont"/>
    <w:rsid w:val="00322A85"/>
  </w:style>
  <w:style w:type="character" w:customStyle="1" w:styleId="eop">
    <w:name w:val="eop"/>
    <w:basedOn w:val="DefaultParagraphFont"/>
    <w:rsid w:val="00322A85"/>
  </w:style>
  <w:style w:type="character" w:styleId="UnresolvedMention">
    <w:name w:val="Unresolved Mention"/>
    <w:basedOn w:val="DefaultParagraphFont"/>
    <w:uiPriority w:val="99"/>
    <w:semiHidden/>
    <w:unhideWhenUsed/>
    <w:rsid w:val="001F7DC6"/>
    <w:rPr>
      <w:color w:val="605E5C"/>
      <w:shd w:val="clear" w:color="auto" w:fill="E1DFDD"/>
    </w:rPr>
  </w:style>
  <w:style w:type="paragraph" w:styleId="NormalWeb">
    <w:name w:val="Normal (Web)"/>
    <w:basedOn w:val="Normal"/>
    <w:link w:val="NormalWebChar"/>
    <w:uiPriority w:val="99"/>
    <w:unhideWhenUsed/>
    <w:rsid w:val="00DF525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blanco">
    <w:name w:val="blanco"/>
    <w:basedOn w:val="Normal"/>
    <w:rsid w:val="00C76B1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on">
    <w:name w:val="Revision"/>
    <w:hidden/>
    <w:uiPriority w:val="99"/>
    <w:semiHidden/>
    <w:rsid w:val="009F3A13"/>
    <w:pPr>
      <w:spacing w:after="0" w:line="240" w:lineRule="auto"/>
    </w:pPr>
  </w:style>
  <w:style w:type="character" w:customStyle="1" w:styleId="ListParagraphChar">
    <w:name w:val="List Paragraph Char"/>
    <w:aliases w:val="Fotografía Char,Párrafo de lista1 Char,Bullet List Char,FooterText Char,numbered Char,Paragraphe de liste1 Char,lp1 Char,Scitum normal Char,HOJA Char,Bolita Char,Párrafo de lista4 Char,BOLADEF Char,Párrafo de lista3 Char,BOLA Char"/>
    <w:link w:val="ListParagraph"/>
    <w:uiPriority w:val="1"/>
    <w:qFormat/>
    <w:locked/>
    <w:rsid w:val="00103317"/>
    <w:rPr>
      <w:rFonts w:ascii="Geomanist Light" w:hAnsi="Geomanist Light"/>
      <w:lang w:val="es-ES"/>
    </w:rPr>
  </w:style>
  <w:style w:type="paragraph" w:customStyle="1" w:styleId="Appelnotedebasde">
    <w:name w:val="Appel note de bas de..."/>
    <w:basedOn w:val="Normal"/>
    <w:link w:val="FootnoteReference"/>
    <w:uiPriority w:val="99"/>
    <w:rsid w:val="00103317"/>
    <w:pPr>
      <w:spacing w:line="240" w:lineRule="exact"/>
    </w:pPr>
    <w:rPr>
      <w:vertAlign w:val="superscript"/>
    </w:rPr>
  </w:style>
  <w:style w:type="character" w:customStyle="1" w:styleId="NormalWebChar">
    <w:name w:val="Normal (Web) Char"/>
    <w:link w:val="NormalWeb"/>
    <w:uiPriority w:val="99"/>
    <w:locked/>
    <w:rsid w:val="00103317"/>
    <w:rPr>
      <w:rFonts w:ascii="Times New Roman" w:eastAsia="Times New Roman" w:hAnsi="Times New Roman" w:cs="Times New Roman"/>
      <w:sz w:val="24"/>
      <w:szCs w:val="24"/>
      <w:lang w:eastAsia="es-CO"/>
    </w:rPr>
  </w:style>
  <w:style w:type="character" w:customStyle="1" w:styleId="baj">
    <w:name w:val="b_aj"/>
    <w:basedOn w:val="DefaultParagraphFont"/>
    <w:rsid w:val="00103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67828">
      <w:bodyDiv w:val="1"/>
      <w:marLeft w:val="0"/>
      <w:marRight w:val="0"/>
      <w:marTop w:val="0"/>
      <w:marBottom w:val="0"/>
      <w:divBdr>
        <w:top w:val="none" w:sz="0" w:space="0" w:color="auto"/>
        <w:left w:val="none" w:sz="0" w:space="0" w:color="auto"/>
        <w:bottom w:val="none" w:sz="0" w:space="0" w:color="auto"/>
        <w:right w:val="none" w:sz="0" w:space="0" w:color="auto"/>
      </w:divBdr>
    </w:div>
    <w:div w:id="755788902">
      <w:bodyDiv w:val="1"/>
      <w:marLeft w:val="0"/>
      <w:marRight w:val="0"/>
      <w:marTop w:val="0"/>
      <w:marBottom w:val="0"/>
      <w:divBdr>
        <w:top w:val="none" w:sz="0" w:space="0" w:color="auto"/>
        <w:left w:val="none" w:sz="0" w:space="0" w:color="auto"/>
        <w:bottom w:val="none" w:sz="0" w:space="0" w:color="auto"/>
        <w:right w:val="none" w:sz="0" w:space="0" w:color="auto"/>
      </w:divBdr>
    </w:div>
    <w:div w:id="1132796275">
      <w:bodyDiv w:val="1"/>
      <w:marLeft w:val="0"/>
      <w:marRight w:val="0"/>
      <w:marTop w:val="0"/>
      <w:marBottom w:val="0"/>
      <w:divBdr>
        <w:top w:val="none" w:sz="0" w:space="0" w:color="auto"/>
        <w:left w:val="none" w:sz="0" w:space="0" w:color="auto"/>
        <w:bottom w:val="none" w:sz="0" w:space="0" w:color="auto"/>
        <w:right w:val="none" w:sz="0" w:space="0" w:color="auto"/>
      </w:divBdr>
    </w:div>
    <w:div w:id="1270429918">
      <w:bodyDiv w:val="1"/>
      <w:marLeft w:val="0"/>
      <w:marRight w:val="0"/>
      <w:marTop w:val="0"/>
      <w:marBottom w:val="0"/>
      <w:divBdr>
        <w:top w:val="none" w:sz="0" w:space="0" w:color="auto"/>
        <w:left w:val="none" w:sz="0" w:space="0" w:color="auto"/>
        <w:bottom w:val="none" w:sz="0" w:space="0" w:color="auto"/>
        <w:right w:val="none" w:sz="0" w:space="0" w:color="auto"/>
      </w:divBdr>
    </w:div>
    <w:div w:id="1291863859">
      <w:bodyDiv w:val="1"/>
      <w:marLeft w:val="0"/>
      <w:marRight w:val="0"/>
      <w:marTop w:val="0"/>
      <w:marBottom w:val="0"/>
      <w:divBdr>
        <w:top w:val="none" w:sz="0" w:space="0" w:color="auto"/>
        <w:left w:val="none" w:sz="0" w:space="0" w:color="auto"/>
        <w:bottom w:val="none" w:sz="0" w:space="0" w:color="auto"/>
        <w:right w:val="none" w:sz="0" w:space="0" w:color="auto"/>
      </w:divBdr>
      <w:divsChild>
        <w:div w:id="1814251553">
          <w:marLeft w:val="0"/>
          <w:marRight w:val="0"/>
          <w:marTop w:val="0"/>
          <w:marBottom w:val="0"/>
          <w:divBdr>
            <w:top w:val="none" w:sz="0" w:space="0" w:color="auto"/>
            <w:left w:val="none" w:sz="0" w:space="0" w:color="auto"/>
            <w:bottom w:val="none" w:sz="0" w:space="0" w:color="auto"/>
            <w:right w:val="none" w:sz="0" w:space="0" w:color="auto"/>
          </w:divBdr>
        </w:div>
        <w:div w:id="1098216012">
          <w:marLeft w:val="0"/>
          <w:marRight w:val="0"/>
          <w:marTop w:val="0"/>
          <w:marBottom w:val="0"/>
          <w:divBdr>
            <w:top w:val="none" w:sz="0" w:space="0" w:color="auto"/>
            <w:left w:val="none" w:sz="0" w:space="0" w:color="auto"/>
            <w:bottom w:val="none" w:sz="0" w:space="0" w:color="auto"/>
            <w:right w:val="none" w:sz="0" w:space="0" w:color="auto"/>
          </w:divBdr>
        </w:div>
        <w:div w:id="2036272205">
          <w:marLeft w:val="0"/>
          <w:marRight w:val="0"/>
          <w:marTop w:val="0"/>
          <w:marBottom w:val="0"/>
          <w:divBdr>
            <w:top w:val="none" w:sz="0" w:space="0" w:color="auto"/>
            <w:left w:val="none" w:sz="0" w:space="0" w:color="auto"/>
            <w:bottom w:val="none" w:sz="0" w:space="0" w:color="auto"/>
            <w:right w:val="none" w:sz="0" w:space="0" w:color="auto"/>
          </w:divBdr>
        </w:div>
        <w:div w:id="1963534490">
          <w:marLeft w:val="0"/>
          <w:marRight w:val="0"/>
          <w:marTop w:val="0"/>
          <w:marBottom w:val="0"/>
          <w:divBdr>
            <w:top w:val="none" w:sz="0" w:space="0" w:color="auto"/>
            <w:left w:val="none" w:sz="0" w:space="0" w:color="auto"/>
            <w:bottom w:val="none" w:sz="0" w:space="0" w:color="auto"/>
            <w:right w:val="none" w:sz="0" w:space="0" w:color="auto"/>
          </w:divBdr>
        </w:div>
        <w:div w:id="1009718320">
          <w:marLeft w:val="0"/>
          <w:marRight w:val="0"/>
          <w:marTop w:val="0"/>
          <w:marBottom w:val="0"/>
          <w:divBdr>
            <w:top w:val="none" w:sz="0" w:space="0" w:color="auto"/>
            <w:left w:val="none" w:sz="0" w:space="0" w:color="auto"/>
            <w:bottom w:val="none" w:sz="0" w:space="0" w:color="auto"/>
            <w:right w:val="none" w:sz="0" w:space="0" w:color="auto"/>
          </w:divBdr>
        </w:div>
        <w:div w:id="2075656958">
          <w:marLeft w:val="0"/>
          <w:marRight w:val="0"/>
          <w:marTop w:val="0"/>
          <w:marBottom w:val="0"/>
          <w:divBdr>
            <w:top w:val="none" w:sz="0" w:space="0" w:color="auto"/>
            <w:left w:val="none" w:sz="0" w:space="0" w:color="auto"/>
            <w:bottom w:val="none" w:sz="0" w:space="0" w:color="auto"/>
            <w:right w:val="none" w:sz="0" w:space="0" w:color="auto"/>
          </w:divBdr>
        </w:div>
        <w:div w:id="1227495006">
          <w:marLeft w:val="0"/>
          <w:marRight w:val="0"/>
          <w:marTop w:val="0"/>
          <w:marBottom w:val="0"/>
          <w:divBdr>
            <w:top w:val="none" w:sz="0" w:space="0" w:color="auto"/>
            <w:left w:val="none" w:sz="0" w:space="0" w:color="auto"/>
            <w:bottom w:val="none" w:sz="0" w:space="0" w:color="auto"/>
            <w:right w:val="none" w:sz="0" w:space="0" w:color="auto"/>
          </w:divBdr>
        </w:div>
        <w:div w:id="390231839">
          <w:marLeft w:val="0"/>
          <w:marRight w:val="0"/>
          <w:marTop w:val="0"/>
          <w:marBottom w:val="0"/>
          <w:divBdr>
            <w:top w:val="none" w:sz="0" w:space="0" w:color="auto"/>
            <w:left w:val="none" w:sz="0" w:space="0" w:color="auto"/>
            <w:bottom w:val="none" w:sz="0" w:space="0" w:color="auto"/>
            <w:right w:val="none" w:sz="0" w:space="0" w:color="auto"/>
          </w:divBdr>
        </w:div>
        <w:div w:id="117142684">
          <w:marLeft w:val="0"/>
          <w:marRight w:val="0"/>
          <w:marTop w:val="0"/>
          <w:marBottom w:val="0"/>
          <w:divBdr>
            <w:top w:val="none" w:sz="0" w:space="0" w:color="auto"/>
            <w:left w:val="none" w:sz="0" w:space="0" w:color="auto"/>
            <w:bottom w:val="none" w:sz="0" w:space="0" w:color="auto"/>
            <w:right w:val="none" w:sz="0" w:space="0" w:color="auto"/>
          </w:divBdr>
        </w:div>
        <w:div w:id="882060613">
          <w:marLeft w:val="0"/>
          <w:marRight w:val="0"/>
          <w:marTop w:val="0"/>
          <w:marBottom w:val="0"/>
          <w:divBdr>
            <w:top w:val="none" w:sz="0" w:space="0" w:color="auto"/>
            <w:left w:val="none" w:sz="0" w:space="0" w:color="auto"/>
            <w:bottom w:val="none" w:sz="0" w:space="0" w:color="auto"/>
            <w:right w:val="none" w:sz="0" w:space="0" w:color="auto"/>
          </w:divBdr>
        </w:div>
        <w:div w:id="1343312156">
          <w:marLeft w:val="0"/>
          <w:marRight w:val="0"/>
          <w:marTop w:val="0"/>
          <w:marBottom w:val="0"/>
          <w:divBdr>
            <w:top w:val="none" w:sz="0" w:space="0" w:color="auto"/>
            <w:left w:val="none" w:sz="0" w:space="0" w:color="auto"/>
            <w:bottom w:val="none" w:sz="0" w:space="0" w:color="auto"/>
            <w:right w:val="none" w:sz="0" w:space="0" w:color="auto"/>
          </w:divBdr>
        </w:div>
        <w:div w:id="807745514">
          <w:marLeft w:val="0"/>
          <w:marRight w:val="0"/>
          <w:marTop w:val="0"/>
          <w:marBottom w:val="0"/>
          <w:divBdr>
            <w:top w:val="none" w:sz="0" w:space="0" w:color="auto"/>
            <w:left w:val="none" w:sz="0" w:space="0" w:color="auto"/>
            <w:bottom w:val="none" w:sz="0" w:space="0" w:color="auto"/>
            <w:right w:val="none" w:sz="0" w:space="0" w:color="auto"/>
          </w:divBdr>
        </w:div>
        <w:div w:id="688798703">
          <w:marLeft w:val="0"/>
          <w:marRight w:val="0"/>
          <w:marTop w:val="0"/>
          <w:marBottom w:val="0"/>
          <w:divBdr>
            <w:top w:val="none" w:sz="0" w:space="0" w:color="auto"/>
            <w:left w:val="none" w:sz="0" w:space="0" w:color="auto"/>
            <w:bottom w:val="none" w:sz="0" w:space="0" w:color="auto"/>
            <w:right w:val="none" w:sz="0" w:space="0" w:color="auto"/>
          </w:divBdr>
        </w:div>
        <w:div w:id="1324310022">
          <w:marLeft w:val="0"/>
          <w:marRight w:val="0"/>
          <w:marTop w:val="0"/>
          <w:marBottom w:val="0"/>
          <w:divBdr>
            <w:top w:val="none" w:sz="0" w:space="0" w:color="auto"/>
            <w:left w:val="none" w:sz="0" w:space="0" w:color="auto"/>
            <w:bottom w:val="none" w:sz="0" w:space="0" w:color="auto"/>
            <w:right w:val="none" w:sz="0" w:space="0" w:color="auto"/>
          </w:divBdr>
        </w:div>
        <w:div w:id="715542045">
          <w:marLeft w:val="0"/>
          <w:marRight w:val="0"/>
          <w:marTop w:val="0"/>
          <w:marBottom w:val="0"/>
          <w:divBdr>
            <w:top w:val="none" w:sz="0" w:space="0" w:color="auto"/>
            <w:left w:val="none" w:sz="0" w:space="0" w:color="auto"/>
            <w:bottom w:val="none" w:sz="0" w:space="0" w:color="auto"/>
            <w:right w:val="none" w:sz="0" w:space="0" w:color="auto"/>
          </w:divBdr>
        </w:div>
        <w:div w:id="1065952338">
          <w:marLeft w:val="0"/>
          <w:marRight w:val="0"/>
          <w:marTop w:val="0"/>
          <w:marBottom w:val="0"/>
          <w:divBdr>
            <w:top w:val="none" w:sz="0" w:space="0" w:color="auto"/>
            <w:left w:val="none" w:sz="0" w:space="0" w:color="auto"/>
            <w:bottom w:val="none" w:sz="0" w:space="0" w:color="auto"/>
            <w:right w:val="none" w:sz="0" w:space="0" w:color="auto"/>
          </w:divBdr>
        </w:div>
        <w:div w:id="2092659859">
          <w:marLeft w:val="0"/>
          <w:marRight w:val="0"/>
          <w:marTop w:val="0"/>
          <w:marBottom w:val="0"/>
          <w:divBdr>
            <w:top w:val="none" w:sz="0" w:space="0" w:color="auto"/>
            <w:left w:val="none" w:sz="0" w:space="0" w:color="auto"/>
            <w:bottom w:val="none" w:sz="0" w:space="0" w:color="auto"/>
            <w:right w:val="none" w:sz="0" w:space="0" w:color="auto"/>
          </w:divBdr>
        </w:div>
        <w:div w:id="1134103737">
          <w:marLeft w:val="0"/>
          <w:marRight w:val="0"/>
          <w:marTop w:val="0"/>
          <w:marBottom w:val="0"/>
          <w:divBdr>
            <w:top w:val="none" w:sz="0" w:space="0" w:color="auto"/>
            <w:left w:val="none" w:sz="0" w:space="0" w:color="auto"/>
            <w:bottom w:val="none" w:sz="0" w:space="0" w:color="auto"/>
            <w:right w:val="none" w:sz="0" w:space="0" w:color="auto"/>
          </w:divBdr>
        </w:div>
        <w:div w:id="511727059">
          <w:marLeft w:val="0"/>
          <w:marRight w:val="0"/>
          <w:marTop w:val="0"/>
          <w:marBottom w:val="0"/>
          <w:divBdr>
            <w:top w:val="none" w:sz="0" w:space="0" w:color="auto"/>
            <w:left w:val="none" w:sz="0" w:space="0" w:color="auto"/>
            <w:bottom w:val="none" w:sz="0" w:space="0" w:color="auto"/>
            <w:right w:val="none" w:sz="0" w:space="0" w:color="auto"/>
          </w:divBdr>
        </w:div>
        <w:div w:id="860240521">
          <w:marLeft w:val="0"/>
          <w:marRight w:val="0"/>
          <w:marTop w:val="0"/>
          <w:marBottom w:val="0"/>
          <w:divBdr>
            <w:top w:val="none" w:sz="0" w:space="0" w:color="auto"/>
            <w:left w:val="none" w:sz="0" w:space="0" w:color="auto"/>
            <w:bottom w:val="none" w:sz="0" w:space="0" w:color="auto"/>
            <w:right w:val="none" w:sz="0" w:space="0" w:color="auto"/>
          </w:divBdr>
        </w:div>
        <w:div w:id="892691556">
          <w:marLeft w:val="0"/>
          <w:marRight w:val="0"/>
          <w:marTop w:val="0"/>
          <w:marBottom w:val="0"/>
          <w:divBdr>
            <w:top w:val="none" w:sz="0" w:space="0" w:color="auto"/>
            <w:left w:val="none" w:sz="0" w:space="0" w:color="auto"/>
            <w:bottom w:val="none" w:sz="0" w:space="0" w:color="auto"/>
            <w:right w:val="none" w:sz="0" w:space="0" w:color="auto"/>
          </w:divBdr>
        </w:div>
        <w:div w:id="24454764">
          <w:marLeft w:val="0"/>
          <w:marRight w:val="0"/>
          <w:marTop w:val="0"/>
          <w:marBottom w:val="0"/>
          <w:divBdr>
            <w:top w:val="none" w:sz="0" w:space="0" w:color="auto"/>
            <w:left w:val="none" w:sz="0" w:space="0" w:color="auto"/>
            <w:bottom w:val="none" w:sz="0" w:space="0" w:color="auto"/>
            <w:right w:val="none" w:sz="0" w:space="0" w:color="auto"/>
          </w:divBdr>
        </w:div>
        <w:div w:id="541678020">
          <w:marLeft w:val="0"/>
          <w:marRight w:val="0"/>
          <w:marTop w:val="0"/>
          <w:marBottom w:val="0"/>
          <w:divBdr>
            <w:top w:val="none" w:sz="0" w:space="0" w:color="auto"/>
            <w:left w:val="none" w:sz="0" w:space="0" w:color="auto"/>
            <w:bottom w:val="none" w:sz="0" w:space="0" w:color="auto"/>
            <w:right w:val="none" w:sz="0" w:space="0" w:color="auto"/>
          </w:divBdr>
        </w:div>
        <w:div w:id="1404261026">
          <w:marLeft w:val="0"/>
          <w:marRight w:val="0"/>
          <w:marTop w:val="0"/>
          <w:marBottom w:val="0"/>
          <w:divBdr>
            <w:top w:val="none" w:sz="0" w:space="0" w:color="auto"/>
            <w:left w:val="none" w:sz="0" w:space="0" w:color="auto"/>
            <w:bottom w:val="none" w:sz="0" w:space="0" w:color="auto"/>
            <w:right w:val="none" w:sz="0" w:space="0" w:color="auto"/>
          </w:divBdr>
        </w:div>
        <w:div w:id="638808706">
          <w:marLeft w:val="0"/>
          <w:marRight w:val="0"/>
          <w:marTop w:val="0"/>
          <w:marBottom w:val="0"/>
          <w:divBdr>
            <w:top w:val="none" w:sz="0" w:space="0" w:color="auto"/>
            <w:left w:val="none" w:sz="0" w:space="0" w:color="auto"/>
            <w:bottom w:val="none" w:sz="0" w:space="0" w:color="auto"/>
            <w:right w:val="none" w:sz="0" w:space="0" w:color="auto"/>
          </w:divBdr>
        </w:div>
        <w:div w:id="238516275">
          <w:marLeft w:val="0"/>
          <w:marRight w:val="0"/>
          <w:marTop w:val="0"/>
          <w:marBottom w:val="0"/>
          <w:divBdr>
            <w:top w:val="none" w:sz="0" w:space="0" w:color="auto"/>
            <w:left w:val="none" w:sz="0" w:space="0" w:color="auto"/>
            <w:bottom w:val="none" w:sz="0" w:space="0" w:color="auto"/>
            <w:right w:val="none" w:sz="0" w:space="0" w:color="auto"/>
          </w:divBdr>
        </w:div>
        <w:div w:id="1694109704">
          <w:marLeft w:val="0"/>
          <w:marRight w:val="0"/>
          <w:marTop w:val="0"/>
          <w:marBottom w:val="0"/>
          <w:divBdr>
            <w:top w:val="none" w:sz="0" w:space="0" w:color="auto"/>
            <w:left w:val="none" w:sz="0" w:space="0" w:color="auto"/>
            <w:bottom w:val="none" w:sz="0" w:space="0" w:color="auto"/>
            <w:right w:val="none" w:sz="0" w:space="0" w:color="auto"/>
          </w:divBdr>
        </w:div>
        <w:div w:id="2120836280">
          <w:marLeft w:val="0"/>
          <w:marRight w:val="0"/>
          <w:marTop w:val="0"/>
          <w:marBottom w:val="0"/>
          <w:divBdr>
            <w:top w:val="none" w:sz="0" w:space="0" w:color="auto"/>
            <w:left w:val="none" w:sz="0" w:space="0" w:color="auto"/>
            <w:bottom w:val="none" w:sz="0" w:space="0" w:color="auto"/>
            <w:right w:val="none" w:sz="0" w:space="0" w:color="auto"/>
          </w:divBdr>
        </w:div>
        <w:div w:id="455296425">
          <w:marLeft w:val="0"/>
          <w:marRight w:val="0"/>
          <w:marTop w:val="0"/>
          <w:marBottom w:val="0"/>
          <w:divBdr>
            <w:top w:val="none" w:sz="0" w:space="0" w:color="auto"/>
            <w:left w:val="none" w:sz="0" w:space="0" w:color="auto"/>
            <w:bottom w:val="none" w:sz="0" w:space="0" w:color="auto"/>
            <w:right w:val="none" w:sz="0" w:space="0" w:color="auto"/>
          </w:divBdr>
        </w:div>
        <w:div w:id="1932930429">
          <w:marLeft w:val="0"/>
          <w:marRight w:val="0"/>
          <w:marTop w:val="0"/>
          <w:marBottom w:val="0"/>
          <w:divBdr>
            <w:top w:val="none" w:sz="0" w:space="0" w:color="auto"/>
            <w:left w:val="none" w:sz="0" w:space="0" w:color="auto"/>
            <w:bottom w:val="none" w:sz="0" w:space="0" w:color="auto"/>
            <w:right w:val="none" w:sz="0" w:space="0" w:color="auto"/>
          </w:divBdr>
        </w:div>
        <w:div w:id="538082317">
          <w:marLeft w:val="0"/>
          <w:marRight w:val="0"/>
          <w:marTop w:val="0"/>
          <w:marBottom w:val="0"/>
          <w:divBdr>
            <w:top w:val="none" w:sz="0" w:space="0" w:color="auto"/>
            <w:left w:val="none" w:sz="0" w:space="0" w:color="auto"/>
            <w:bottom w:val="none" w:sz="0" w:space="0" w:color="auto"/>
            <w:right w:val="none" w:sz="0" w:space="0" w:color="auto"/>
          </w:divBdr>
        </w:div>
        <w:div w:id="679356651">
          <w:marLeft w:val="0"/>
          <w:marRight w:val="0"/>
          <w:marTop w:val="0"/>
          <w:marBottom w:val="0"/>
          <w:divBdr>
            <w:top w:val="none" w:sz="0" w:space="0" w:color="auto"/>
            <w:left w:val="none" w:sz="0" w:space="0" w:color="auto"/>
            <w:bottom w:val="none" w:sz="0" w:space="0" w:color="auto"/>
            <w:right w:val="none" w:sz="0" w:space="0" w:color="auto"/>
          </w:divBdr>
        </w:div>
        <w:div w:id="1638532409">
          <w:marLeft w:val="0"/>
          <w:marRight w:val="0"/>
          <w:marTop w:val="0"/>
          <w:marBottom w:val="0"/>
          <w:divBdr>
            <w:top w:val="none" w:sz="0" w:space="0" w:color="auto"/>
            <w:left w:val="none" w:sz="0" w:space="0" w:color="auto"/>
            <w:bottom w:val="none" w:sz="0" w:space="0" w:color="auto"/>
            <w:right w:val="none" w:sz="0" w:space="0" w:color="auto"/>
          </w:divBdr>
        </w:div>
        <w:div w:id="1464275602">
          <w:marLeft w:val="0"/>
          <w:marRight w:val="0"/>
          <w:marTop w:val="0"/>
          <w:marBottom w:val="0"/>
          <w:divBdr>
            <w:top w:val="none" w:sz="0" w:space="0" w:color="auto"/>
            <w:left w:val="none" w:sz="0" w:space="0" w:color="auto"/>
            <w:bottom w:val="none" w:sz="0" w:space="0" w:color="auto"/>
            <w:right w:val="none" w:sz="0" w:space="0" w:color="auto"/>
          </w:divBdr>
        </w:div>
        <w:div w:id="1916237550">
          <w:marLeft w:val="0"/>
          <w:marRight w:val="0"/>
          <w:marTop w:val="0"/>
          <w:marBottom w:val="0"/>
          <w:divBdr>
            <w:top w:val="none" w:sz="0" w:space="0" w:color="auto"/>
            <w:left w:val="none" w:sz="0" w:space="0" w:color="auto"/>
            <w:bottom w:val="none" w:sz="0" w:space="0" w:color="auto"/>
            <w:right w:val="none" w:sz="0" w:space="0" w:color="auto"/>
          </w:divBdr>
        </w:div>
        <w:div w:id="2095541977">
          <w:marLeft w:val="0"/>
          <w:marRight w:val="0"/>
          <w:marTop w:val="0"/>
          <w:marBottom w:val="0"/>
          <w:divBdr>
            <w:top w:val="none" w:sz="0" w:space="0" w:color="auto"/>
            <w:left w:val="none" w:sz="0" w:space="0" w:color="auto"/>
            <w:bottom w:val="none" w:sz="0" w:space="0" w:color="auto"/>
            <w:right w:val="none" w:sz="0" w:space="0" w:color="auto"/>
          </w:divBdr>
          <w:divsChild>
            <w:div w:id="1488938398">
              <w:marLeft w:val="-75"/>
              <w:marRight w:val="0"/>
              <w:marTop w:val="30"/>
              <w:marBottom w:val="30"/>
              <w:divBdr>
                <w:top w:val="none" w:sz="0" w:space="0" w:color="auto"/>
                <w:left w:val="none" w:sz="0" w:space="0" w:color="auto"/>
                <w:bottom w:val="none" w:sz="0" w:space="0" w:color="auto"/>
                <w:right w:val="none" w:sz="0" w:space="0" w:color="auto"/>
              </w:divBdr>
              <w:divsChild>
                <w:div w:id="283007184">
                  <w:marLeft w:val="0"/>
                  <w:marRight w:val="0"/>
                  <w:marTop w:val="0"/>
                  <w:marBottom w:val="0"/>
                  <w:divBdr>
                    <w:top w:val="none" w:sz="0" w:space="0" w:color="auto"/>
                    <w:left w:val="none" w:sz="0" w:space="0" w:color="auto"/>
                    <w:bottom w:val="none" w:sz="0" w:space="0" w:color="auto"/>
                    <w:right w:val="none" w:sz="0" w:space="0" w:color="auto"/>
                  </w:divBdr>
                  <w:divsChild>
                    <w:div w:id="928538327">
                      <w:marLeft w:val="0"/>
                      <w:marRight w:val="0"/>
                      <w:marTop w:val="0"/>
                      <w:marBottom w:val="0"/>
                      <w:divBdr>
                        <w:top w:val="none" w:sz="0" w:space="0" w:color="auto"/>
                        <w:left w:val="none" w:sz="0" w:space="0" w:color="auto"/>
                        <w:bottom w:val="none" w:sz="0" w:space="0" w:color="auto"/>
                        <w:right w:val="none" w:sz="0" w:space="0" w:color="auto"/>
                      </w:divBdr>
                    </w:div>
                  </w:divsChild>
                </w:div>
                <w:div w:id="1080567943">
                  <w:marLeft w:val="0"/>
                  <w:marRight w:val="0"/>
                  <w:marTop w:val="0"/>
                  <w:marBottom w:val="0"/>
                  <w:divBdr>
                    <w:top w:val="none" w:sz="0" w:space="0" w:color="auto"/>
                    <w:left w:val="none" w:sz="0" w:space="0" w:color="auto"/>
                    <w:bottom w:val="none" w:sz="0" w:space="0" w:color="auto"/>
                    <w:right w:val="none" w:sz="0" w:space="0" w:color="auto"/>
                  </w:divBdr>
                  <w:divsChild>
                    <w:div w:id="1112624978">
                      <w:marLeft w:val="0"/>
                      <w:marRight w:val="0"/>
                      <w:marTop w:val="0"/>
                      <w:marBottom w:val="0"/>
                      <w:divBdr>
                        <w:top w:val="none" w:sz="0" w:space="0" w:color="auto"/>
                        <w:left w:val="none" w:sz="0" w:space="0" w:color="auto"/>
                        <w:bottom w:val="none" w:sz="0" w:space="0" w:color="auto"/>
                        <w:right w:val="none" w:sz="0" w:space="0" w:color="auto"/>
                      </w:divBdr>
                    </w:div>
                    <w:div w:id="539319864">
                      <w:marLeft w:val="0"/>
                      <w:marRight w:val="0"/>
                      <w:marTop w:val="0"/>
                      <w:marBottom w:val="0"/>
                      <w:divBdr>
                        <w:top w:val="none" w:sz="0" w:space="0" w:color="auto"/>
                        <w:left w:val="none" w:sz="0" w:space="0" w:color="auto"/>
                        <w:bottom w:val="none" w:sz="0" w:space="0" w:color="auto"/>
                        <w:right w:val="none" w:sz="0" w:space="0" w:color="auto"/>
                      </w:divBdr>
                    </w:div>
                  </w:divsChild>
                </w:div>
                <w:div w:id="344208591">
                  <w:marLeft w:val="0"/>
                  <w:marRight w:val="0"/>
                  <w:marTop w:val="0"/>
                  <w:marBottom w:val="0"/>
                  <w:divBdr>
                    <w:top w:val="none" w:sz="0" w:space="0" w:color="auto"/>
                    <w:left w:val="none" w:sz="0" w:space="0" w:color="auto"/>
                    <w:bottom w:val="none" w:sz="0" w:space="0" w:color="auto"/>
                    <w:right w:val="none" w:sz="0" w:space="0" w:color="auto"/>
                  </w:divBdr>
                  <w:divsChild>
                    <w:div w:id="1723020549">
                      <w:marLeft w:val="0"/>
                      <w:marRight w:val="0"/>
                      <w:marTop w:val="0"/>
                      <w:marBottom w:val="0"/>
                      <w:divBdr>
                        <w:top w:val="none" w:sz="0" w:space="0" w:color="auto"/>
                        <w:left w:val="none" w:sz="0" w:space="0" w:color="auto"/>
                        <w:bottom w:val="none" w:sz="0" w:space="0" w:color="auto"/>
                        <w:right w:val="none" w:sz="0" w:space="0" w:color="auto"/>
                      </w:divBdr>
                    </w:div>
                  </w:divsChild>
                </w:div>
                <w:div w:id="233929418">
                  <w:marLeft w:val="0"/>
                  <w:marRight w:val="0"/>
                  <w:marTop w:val="0"/>
                  <w:marBottom w:val="0"/>
                  <w:divBdr>
                    <w:top w:val="none" w:sz="0" w:space="0" w:color="auto"/>
                    <w:left w:val="none" w:sz="0" w:space="0" w:color="auto"/>
                    <w:bottom w:val="none" w:sz="0" w:space="0" w:color="auto"/>
                    <w:right w:val="none" w:sz="0" w:space="0" w:color="auto"/>
                  </w:divBdr>
                  <w:divsChild>
                    <w:div w:id="193542531">
                      <w:marLeft w:val="0"/>
                      <w:marRight w:val="0"/>
                      <w:marTop w:val="0"/>
                      <w:marBottom w:val="0"/>
                      <w:divBdr>
                        <w:top w:val="none" w:sz="0" w:space="0" w:color="auto"/>
                        <w:left w:val="none" w:sz="0" w:space="0" w:color="auto"/>
                        <w:bottom w:val="none" w:sz="0" w:space="0" w:color="auto"/>
                        <w:right w:val="none" w:sz="0" w:space="0" w:color="auto"/>
                      </w:divBdr>
                    </w:div>
                    <w:div w:id="2029217062">
                      <w:marLeft w:val="0"/>
                      <w:marRight w:val="0"/>
                      <w:marTop w:val="0"/>
                      <w:marBottom w:val="0"/>
                      <w:divBdr>
                        <w:top w:val="none" w:sz="0" w:space="0" w:color="auto"/>
                        <w:left w:val="none" w:sz="0" w:space="0" w:color="auto"/>
                        <w:bottom w:val="none" w:sz="0" w:space="0" w:color="auto"/>
                        <w:right w:val="none" w:sz="0" w:space="0" w:color="auto"/>
                      </w:divBdr>
                    </w:div>
                  </w:divsChild>
                </w:div>
                <w:div w:id="231042282">
                  <w:marLeft w:val="0"/>
                  <w:marRight w:val="0"/>
                  <w:marTop w:val="0"/>
                  <w:marBottom w:val="0"/>
                  <w:divBdr>
                    <w:top w:val="none" w:sz="0" w:space="0" w:color="auto"/>
                    <w:left w:val="none" w:sz="0" w:space="0" w:color="auto"/>
                    <w:bottom w:val="none" w:sz="0" w:space="0" w:color="auto"/>
                    <w:right w:val="none" w:sz="0" w:space="0" w:color="auto"/>
                  </w:divBdr>
                  <w:divsChild>
                    <w:div w:id="1200582818">
                      <w:marLeft w:val="0"/>
                      <w:marRight w:val="0"/>
                      <w:marTop w:val="0"/>
                      <w:marBottom w:val="0"/>
                      <w:divBdr>
                        <w:top w:val="none" w:sz="0" w:space="0" w:color="auto"/>
                        <w:left w:val="none" w:sz="0" w:space="0" w:color="auto"/>
                        <w:bottom w:val="none" w:sz="0" w:space="0" w:color="auto"/>
                        <w:right w:val="none" w:sz="0" w:space="0" w:color="auto"/>
                      </w:divBdr>
                    </w:div>
                  </w:divsChild>
                </w:div>
                <w:div w:id="431166015">
                  <w:marLeft w:val="0"/>
                  <w:marRight w:val="0"/>
                  <w:marTop w:val="0"/>
                  <w:marBottom w:val="0"/>
                  <w:divBdr>
                    <w:top w:val="none" w:sz="0" w:space="0" w:color="auto"/>
                    <w:left w:val="none" w:sz="0" w:space="0" w:color="auto"/>
                    <w:bottom w:val="none" w:sz="0" w:space="0" w:color="auto"/>
                    <w:right w:val="none" w:sz="0" w:space="0" w:color="auto"/>
                  </w:divBdr>
                  <w:divsChild>
                    <w:div w:id="633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71884">
          <w:marLeft w:val="0"/>
          <w:marRight w:val="0"/>
          <w:marTop w:val="0"/>
          <w:marBottom w:val="0"/>
          <w:divBdr>
            <w:top w:val="none" w:sz="0" w:space="0" w:color="auto"/>
            <w:left w:val="none" w:sz="0" w:space="0" w:color="auto"/>
            <w:bottom w:val="none" w:sz="0" w:space="0" w:color="auto"/>
            <w:right w:val="none" w:sz="0" w:space="0" w:color="auto"/>
          </w:divBdr>
        </w:div>
        <w:div w:id="1002320289">
          <w:marLeft w:val="0"/>
          <w:marRight w:val="0"/>
          <w:marTop w:val="0"/>
          <w:marBottom w:val="0"/>
          <w:divBdr>
            <w:top w:val="none" w:sz="0" w:space="0" w:color="auto"/>
            <w:left w:val="none" w:sz="0" w:space="0" w:color="auto"/>
            <w:bottom w:val="none" w:sz="0" w:space="0" w:color="auto"/>
            <w:right w:val="none" w:sz="0" w:space="0" w:color="auto"/>
          </w:divBdr>
        </w:div>
        <w:div w:id="2033648475">
          <w:marLeft w:val="0"/>
          <w:marRight w:val="0"/>
          <w:marTop w:val="0"/>
          <w:marBottom w:val="0"/>
          <w:divBdr>
            <w:top w:val="none" w:sz="0" w:space="0" w:color="auto"/>
            <w:left w:val="none" w:sz="0" w:space="0" w:color="auto"/>
            <w:bottom w:val="none" w:sz="0" w:space="0" w:color="auto"/>
            <w:right w:val="none" w:sz="0" w:space="0" w:color="auto"/>
          </w:divBdr>
        </w:div>
        <w:div w:id="1053582647">
          <w:marLeft w:val="0"/>
          <w:marRight w:val="0"/>
          <w:marTop w:val="0"/>
          <w:marBottom w:val="0"/>
          <w:divBdr>
            <w:top w:val="none" w:sz="0" w:space="0" w:color="auto"/>
            <w:left w:val="none" w:sz="0" w:space="0" w:color="auto"/>
            <w:bottom w:val="none" w:sz="0" w:space="0" w:color="auto"/>
            <w:right w:val="none" w:sz="0" w:space="0" w:color="auto"/>
          </w:divBdr>
        </w:div>
        <w:div w:id="165822881">
          <w:marLeft w:val="0"/>
          <w:marRight w:val="0"/>
          <w:marTop w:val="0"/>
          <w:marBottom w:val="0"/>
          <w:divBdr>
            <w:top w:val="none" w:sz="0" w:space="0" w:color="auto"/>
            <w:left w:val="none" w:sz="0" w:space="0" w:color="auto"/>
            <w:bottom w:val="none" w:sz="0" w:space="0" w:color="auto"/>
            <w:right w:val="none" w:sz="0" w:space="0" w:color="auto"/>
          </w:divBdr>
        </w:div>
        <w:div w:id="1919947877">
          <w:marLeft w:val="0"/>
          <w:marRight w:val="0"/>
          <w:marTop w:val="0"/>
          <w:marBottom w:val="0"/>
          <w:divBdr>
            <w:top w:val="none" w:sz="0" w:space="0" w:color="auto"/>
            <w:left w:val="none" w:sz="0" w:space="0" w:color="auto"/>
            <w:bottom w:val="none" w:sz="0" w:space="0" w:color="auto"/>
            <w:right w:val="none" w:sz="0" w:space="0" w:color="auto"/>
          </w:divBdr>
          <w:divsChild>
            <w:div w:id="1192113255">
              <w:marLeft w:val="0"/>
              <w:marRight w:val="0"/>
              <w:marTop w:val="0"/>
              <w:marBottom w:val="0"/>
              <w:divBdr>
                <w:top w:val="none" w:sz="0" w:space="0" w:color="auto"/>
                <w:left w:val="none" w:sz="0" w:space="0" w:color="auto"/>
                <w:bottom w:val="none" w:sz="0" w:space="0" w:color="auto"/>
                <w:right w:val="none" w:sz="0" w:space="0" w:color="auto"/>
              </w:divBdr>
            </w:div>
            <w:div w:id="524707673">
              <w:marLeft w:val="0"/>
              <w:marRight w:val="0"/>
              <w:marTop w:val="0"/>
              <w:marBottom w:val="0"/>
              <w:divBdr>
                <w:top w:val="none" w:sz="0" w:space="0" w:color="auto"/>
                <w:left w:val="none" w:sz="0" w:space="0" w:color="auto"/>
                <w:bottom w:val="none" w:sz="0" w:space="0" w:color="auto"/>
                <w:right w:val="none" w:sz="0" w:space="0" w:color="auto"/>
              </w:divBdr>
            </w:div>
            <w:div w:id="1477457551">
              <w:marLeft w:val="0"/>
              <w:marRight w:val="0"/>
              <w:marTop w:val="0"/>
              <w:marBottom w:val="0"/>
              <w:divBdr>
                <w:top w:val="none" w:sz="0" w:space="0" w:color="auto"/>
                <w:left w:val="none" w:sz="0" w:space="0" w:color="auto"/>
                <w:bottom w:val="none" w:sz="0" w:space="0" w:color="auto"/>
                <w:right w:val="none" w:sz="0" w:space="0" w:color="auto"/>
              </w:divBdr>
            </w:div>
            <w:div w:id="1905212490">
              <w:marLeft w:val="0"/>
              <w:marRight w:val="0"/>
              <w:marTop w:val="0"/>
              <w:marBottom w:val="0"/>
              <w:divBdr>
                <w:top w:val="none" w:sz="0" w:space="0" w:color="auto"/>
                <w:left w:val="none" w:sz="0" w:space="0" w:color="auto"/>
                <w:bottom w:val="none" w:sz="0" w:space="0" w:color="auto"/>
                <w:right w:val="none" w:sz="0" w:space="0" w:color="auto"/>
              </w:divBdr>
            </w:div>
            <w:div w:id="1960529064">
              <w:marLeft w:val="0"/>
              <w:marRight w:val="0"/>
              <w:marTop w:val="0"/>
              <w:marBottom w:val="0"/>
              <w:divBdr>
                <w:top w:val="none" w:sz="0" w:space="0" w:color="auto"/>
                <w:left w:val="none" w:sz="0" w:space="0" w:color="auto"/>
                <w:bottom w:val="none" w:sz="0" w:space="0" w:color="auto"/>
                <w:right w:val="none" w:sz="0" w:space="0" w:color="auto"/>
              </w:divBdr>
            </w:div>
          </w:divsChild>
        </w:div>
        <w:div w:id="1791318772">
          <w:marLeft w:val="0"/>
          <w:marRight w:val="0"/>
          <w:marTop w:val="0"/>
          <w:marBottom w:val="0"/>
          <w:divBdr>
            <w:top w:val="none" w:sz="0" w:space="0" w:color="auto"/>
            <w:left w:val="none" w:sz="0" w:space="0" w:color="auto"/>
            <w:bottom w:val="none" w:sz="0" w:space="0" w:color="auto"/>
            <w:right w:val="none" w:sz="0" w:space="0" w:color="auto"/>
          </w:divBdr>
        </w:div>
        <w:div w:id="1672679863">
          <w:marLeft w:val="0"/>
          <w:marRight w:val="0"/>
          <w:marTop w:val="0"/>
          <w:marBottom w:val="0"/>
          <w:divBdr>
            <w:top w:val="none" w:sz="0" w:space="0" w:color="auto"/>
            <w:left w:val="none" w:sz="0" w:space="0" w:color="auto"/>
            <w:bottom w:val="none" w:sz="0" w:space="0" w:color="auto"/>
            <w:right w:val="none" w:sz="0" w:space="0" w:color="auto"/>
          </w:divBdr>
        </w:div>
        <w:div w:id="896629501">
          <w:marLeft w:val="0"/>
          <w:marRight w:val="0"/>
          <w:marTop w:val="0"/>
          <w:marBottom w:val="0"/>
          <w:divBdr>
            <w:top w:val="none" w:sz="0" w:space="0" w:color="auto"/>
            <w:left w:val="none" w:sz="0" w:space="0" w:color="auto"/>
            <w:bottom w:val="none" w:sz="0" w:space="0" w:color="auto"/>
            <w:right w:val="none" w:sz="0" w:space="0" w:color="auto"/>
          </w:divBdr>
        </w:div>
        <w:div w:id="1492059971">
          <w:marLeft w:val="0"/>
          <w:marRight w:val="0"/>
          <w:marTop w:val="0"/>
          <w:marBottom w:val="0"/>
          <w:divBdr>
            <w:top w:val="none" w:sz="0" w:space="0" w:color="auto"/>
            <w:left w:val="none" w:sz="0" w:space="0" w:color="auto"/>
            <w:bottom w:val="none" w:sz="0" w:space="0" w:color="auto"/>
            <w:right w:val="none" w:sz="0" w:space="0" w:color="auto"/>
          </w:divBdr>
        </w:div>
        <w:div w:id="743262102">
          <w:marLeft w:val="0"/>
          <w:marRight w:val="0"/>
          <w:marTop w:val="0"/>
          <w:marBottom w:val="0"/>
          <w:divBdr>
            <w:top w:val="none" w:sz="0" w:space="0" w:color="auto"/>
            <w:left w:val="none" w:sz="0" w:space="0" w:color="auto"/>
            <w:bottom w:val="none" w:sz="0" w:space="0" w:color="auto"/>
            <w:right w:val="none" w:sz="0" w:space="0" w:color="auto"/>
          </w:divBdr>
        </w:div>
        <w:div w:id="1966614619">
          <w:marLeft w:val="0"/>
          <w:marRight w:val="0"/>
          <w:marTop w:val="0"/>
          <w:marBottom w:val="0"/>
          <w:divBdr>
            <w:top w:val="none" w:sz="0" w:space="0" w:color="auto"/>
            <w:left w:val="none" w:sz="0" w:space="0" w:color="auto"/>
            <w:bottom w:val="none" w:sz="0" w:space="0" w:color="auto"/>
            <w:right w:val="none" w:sz="0" w:space="0" w:color="auto"/>
          </w:divBdr>
          <w:divsChild>
            <w:div w:id="1375154655">
              <w:marLeft w:val="0"/>
              <w:marRight w:val="0"/>
              <w:marTop w:val="0"/>
              <w:marBottom w:val="0"/>
              <w:divBdr>
                <w:top w:val="none" w:sz="0" w:space="0" w:color="auto"/>
                <w:left w:val="none" w:sz="0" w:space="0" w:color="auto"/>
                <w:bottom w:val="none" w:sz="0" w:space="0" w:color="auto"/>
                <w:right w:val="none" w:sz="0" w:space="0" w:color="auto"/>
              </w:divBdr>
            </w:div>
            <w:div w:id="1193155926">
              <w:marLeft w:val="0"/>
              <w:marRight w:val="0"/>
              <w:marTop w:val="0"/>
              <w:marBottom w:val="0"/>
              <w:divBdr>
                <w:top w:val="none" w:sz="0" w:space="0" w:color="auto"/>
                <w:left w:val="none" w:sz="0" w:space="0" w:color="auto"/>
                <w:bottom w:val="none" w:sz="0" w:space="0" w:color="auto"/>
                <w:right w:val="none" w:sz="0" w:space="0" w:color="auto"/>
              </w:divBdr>
            </w:div>
            <w:div w:id="152644634">
              <w:marLeft w:val="0"/>
              <w:marRight w:val="0"/>
              <w:marTop w:val="0"/>
              <w:marBottom w:val="0"/>
              <w:divBdr>
                <w:top w:val="none" w:sz="0" w:space="0" w:color="auto"/>
                <w:left w:val="none" w:sz="0" w:space="0" w:color="auto"/>
                <w:bottom w:val="none" w:sz="0" w:space="0" w:color="auto"/>
                <w:right w:val="none" w:sz="0" w:space="0" w:color="auto"/>
              </w:divBdr>
            </w:div>
            <w:div w:id="1745906066">
              <w:marLeft w:val="0"/>
              <w:marRight w:val="0"/>
              <w:marTop w:val="0"/>
              <w:marBottom w:val="0"/>
              <w:divBdr>
                <w:top w:val="none" w:sz="0" w:space="0" w:color="auto"/>
                <w:left w:val="none" w:sz="0" w:space="0" w:color="auto"/>
                <w:bottom w:val="none" w:sz="0" w:space="0" w:color="auto"/>
                <w:right w:val="none" w:sz="0" w:space="0" w:color="auto"/>
              </w:divBdr>
            </w:div>
            <w:div w:id="293171294">
              <w:marLeft w:val="0"/>
              <w:marRight w:val="0"/>
              <w:marTop w:val="0"/>
              <w:marBottom w:val="0"/>
              <w:divBdr>
                <w:top w:val="none" w:sz="0" w:space="0" w:color="auto"/>
                <w:left w:val="none" w:sz="0" w:space="0" w:color="auto"/>
                <w:bottom w:val="none" w:sz="0" w:space="0" w:color="auto"/>
                <w:right w:val="none" w:sz="0" w:space="0" w:color="auto"/>
              </w:divBdr>
            </w:div>
          </w:divsChild>
        </w:div>
        <w:div w:id="1836526458">
          <w:marLeft w:val="0"/>
          <w:marRight w:val="0"/>
          <w:marTop w:val="0"/>
          <w:marBottom w:val="0"/>
          <w:divBdr>
            <w:top w:val="none" w:sz="0" w:space="0" w:color="auto"/>
            <w:left w:val="none" w:sz="0" w:space="0" w:color="auto"/>
            <w:bottom w:val="none" w:sz="0" w:space="0" w:color="auto"/>
            <w:right w:val="none" w:sz="0" w:space="0" w:color="auto"/>
          </w:divBdr>
          <w:divsChild>
            <w:div w:id="1153059618">
              <w:marLeft w:val="0"/>
              <w:marRight w:val="0"/>
              <w:marTop w:val="0"/>
              <w:marBottom w:val="0"/>
              <w:divBdr>
                <w:top w:val="none" w:sz="0" w:space="0" w:color="auto"/>
                <w:left w:val="none" w:sz="0" w:space="0" w:color="auto"/>
                <w:bottom w:val="none" w:sz="0" w:space="0" w:color="auto"/>
                <w:right w:val="none" w:sz="0" w:space="0" w:color="auto"/>
              </w:divBdr>
            </w:div>
            <w:div w:id="252974095">
              <w:marLeft w:val="0"/>
              <w:marRight w:val="0"/>
              <w:marTop w:val="0"/>
              <w:marBottom w:val="0"/>
              <w:divBdr>
                <w:top w:val="none" w:sz="0" w:space="0" w:color="auto"/>
                <w:left w:val="none" w:sz="0" w:space="0" w:color="auto"/>
                <w:bottom w:val="none" w:sz="0" w:space="0" w:color="auto"/>
                <w:right w:val="none" w:sz="0" w:space="0" w:color="auto"/>
              </w:divBdr>
            </w:div>
            <w:div w:id="465974370">
              <w:marLeft w:val="0"/>
              <w:marRight w:val="0"/>
              <w:marTop w:val="0"/>
              <w:marBottom w:val="0"/>
              <w:divBdr>
                <w:top w:val="none" w:sz="0" w:space="0" w:color="auto"/>
                <w:left w:val="none" w:sz="0" w:space="0" w:color="auto"/>
                <w:bottom w:val="none" w:sz="0" w:space="0" w:color="auto"/>
                <w:right w:val="none" w:sz="0" w:space="0" w:color="auto"/>
              </w:divBdr>
            </w:div>
            <w:div w:id="762535188">
              <w:marLeft w:val="0"/>
              <w:marRight w:val="0"/>
              <w:marTop w:val="0"/>
              <w:marBottom w:val="0"/>
              <w:divBdr>
                <w:top w:val="none" w:sz="0" w:space="0" w:color="auto"/>
                <w:left w:val="none" w:sz="0" w:space="0" w:color="auto"/>
                <w:bottom w:val="none" w:sz="0" w:space="0" w:color="auto"/>
                <w:right w:val="none" w:sz="0" w:space="0" w:color="auto"/>
              </w:divBdr>
            </w:div>
            <w:div w:id="1513228375">
              <w:marLeft w:val="0"/>
              <w:marRight w:val="0"/>
              <w:marTop w:val="0"/>
              <w:marBottom w:val="0"/>
              <w:divBdr>
                <w:top w:val="none" w:sz="0" w:space="0" w:color="auto"/>
                <w:left w:val="none" w:sz="0" w:space="0" w:color="auto"/>
                <w:bottom w:val="none" w:sz="0" w:space="0" w:color="auto"/>
                <w:right w:val="none" w:sz="0" w:space="0" w:color="auto"/>
              </w:divBdr>
            </w:div>
          </w:divsChild>
        </w:div>
        <w:div w:id="1128550095">
          <w:marLeft w:val="0"/>
          <w:marRight w:val="0"/>
          <w:marTop w:val="0"/>
          <w:marBottom w:val="0"/>
          <w:divBdr>
            <w:top w:val="none" w:sz="0" w:space="0" w:color="auto"/>
            <w:left w:val="none" w:sz="0" w:space="0" w:color="auto"/>
            <w:bottom w:val="none" w:sz="0" w:space="0" w:color="auto"/>
            <w:right w:val="none" w:sz="0" w:space="0" w:color="auto"/>
          </w:divBdr>
          <w:divsChild>
            <w:div w:id="407390849">
              <w:marLeft w:val="0"/>
              <w:marRight w:val="0"/>
              <w:marTop w:val="0"/>
              <w:marBottom w:val="0"/>
              <w:divBdr>
                <w:top w:val="none" w:sz="0" w:space="0" w:color="auto"/>
                <w:left w:val="none" w:sz="0" w:space="0" w:color="auto"/>
                <w:bottom w:val="none" w:sz="0" w:space="0" w:color="auto"/>
                <w:right w:val="none" w:sz="0" w:space="0" w:color="auto"/>
              </w:divBdr>
            </w:div>
            <w:div w:id="1142380584">
              <w:marLeft w:val="0"/>
              <w:marRight w:val="0"/>
              <w:marTop w:val="0"/>
              <w:marBottom w:val="0"/>
              <w:divBdr>
                <w:top w:val="none" w:sz="0" w:space="0" w:color="auto"/>
                <w:left w:val="none" w:sz="0" w:space="0" w:color="auto"/>
                <w:bottom w:val="none" w:sz="0" w:space="0" w:color="auto"/>
                <w:right w:val="none" w:sz="0" w:space="0" w:color="auto"/>
              </w:divBdr>
            </w:div>
            <w:div w:id="1192953861">
              <w:marLeft w:val="0"/>
              <w:marRight w:val="0"/>
              <w:marTop w:val="0"/>
              <w:marBottom w:val="0"/>
              <w:divBdr>
                <w:top w:val="none" w:sz="0" w:space="0" w:color="auto"/>
                <w:left w:val="none" w:sz="0" w:space="0" w:color="auto"/>
                <w:bottom w:val="none" w:sz="0" w:space="0" w:color="auto"/>
                <w:right w:val="none" w:sz="0" w:space="0" w:color="auto"/>
              </w:divBdr>
            </w:div>
          </w:divsChild>
        </w:div>
        <w:div w:id="953637238">
          <w:marLeft w:val="0"/>
          <w:marRight w:val="0"/>
          <w:marTop w:val="0"/>
          <w:marBottom w:val="0"/>
          <w:divBdr>
            <w:top w:val="none" w:sz="0" w:space="0" w:color="auto"/>
            <w:left w:val="none" w:sz="0" w:space="0" w:color="auto"/>
            <w:bottom w:val="none" w:sz="0" w:space="0" w:color="auto"/>
            <w:right w:val="none" w:sz="0" w:space="0" w:color="auto"/>
          </w:divBdr>
          <w:divsChild>
            <w:div w:id="330067371">
              <w:marLeft w:val="0"/>
              <w:marRight w:val="0"/>
              <w:marTop w:val="0"/>
              <w:marBottom w:val="0"/>
              <w:divBdr>
                <w:top w:val="none" w:sz="0" w:space="0" w:color="auto"/>
                <w:left w:val="none" w:sz="0" w:space="0" w:color="auto"/>
                <w:bottom w:val="none" w:sz="0" w:space="0" w:color="auto"/>
                <w:right w:val="none" w:sz="0" w:space="0" w:color="auto"/>
              </w:divBdr>
            </w:div>
            <w:div w:id="1721204122">
              <w:marLeft w:val="0"/>
              <w:marRight w:val="0"/>
              <w:marTop w:val="0"/>
              <w:marBottom w:val="0"/>
              <w:divBdr>
                <w:top w:val="none" w:sz="0" w:space="0" w:color="auto"/>
                <w:left w:val="none" w:sz="0" w:space="0" w:color="auto"/>
                <w:bottom w:val="none" w:sz="0" w:space="0" w:color="auto"/>
                <w:right w:val="none" w:sz="0" w:space="0" w:color="auto"/>
              </w:divBdr>
            </w:div>
            <w:div w:id="543758897">
              <w:marLeft w:val="0"/>
              <w:marRight w:val="0"/>
              <w:marTop w:val="0"/>
              <w:marBottom w:val="0"/>
              <w:divBdr>
                <w:top w:val="none" w:sz="0" w:space="0" w:color="auto"/>
                <w:left w:val="none" w:sz="0" w:space="0" w:color="auto"/>
                <w:bottom w:val="none" w:sz="0" w:space="0" w:color="auto"/>
                <w:right w:val="none" w:sz="0" w:space="0" w:color="auto"/>
              </w:divBdr>
            </w:div>
            <w:div w:id="1286548090">
              <w:marLeft w:val="0"/>
              <w:marRight w:val="0"/>
              <w:marTop w:val="0"/>
              <w:marBottom w:val="0"/>
              <w:divBdr>
                <w:top w:val="none" w:sz="0" w:space="0" w:color="auto"/>
                <w:left w:val="none" w:sz="0" w:space="0" w:color="auto"/>
                <w:bottom w:val="none" w:sz="0" w:space="0" w:color="auto"/>
                <w:right w:val="none" w:sz="0" w:space="0" w:color="auto"/>
              </w:divBdr>
            </w:div>
            <w:div w:id="220364327">
              <w:marLeft w:val="0"/>
              <w:marRight w:val="0"/>
              <w:marTop w:val="0"/>
              <w:marBottom w:val="0"/>
              <w:divBdr>
                <w:top w:val="none" w:sz="0" w:space="0" w:color="auto"/>
                <w:left w:val="none" w:sz="0" w:space="0" w:color="auto"/>
                <w:bottom w:val="none" w:sz="0" w:space="0" w:color="auto"/>
                <w:right w:val="none" w:sz="0" w:space="0" w:color="auto"/>
              </w:divBdr>
            </w:div>
          </w:divsChild>
        </w:div>
        <w:div w:id="568075362">
          <w:marLeft w:val="0"/>
          <w:marRight w:val="0"/>
          <w:marTop w:val="0"/>
          <w:marBottom w:val="0"/>
          <w:divBdr>
            <w:top w:val="none" w:sz="0" w:space="0" w:color="auto"/>
            <w:left w:val="none" w:sz="0" w:space="0" w:color="auto"/>
            <w:bottom w:val="none" w:sz="0" w:space="0" w:color="auto"/>
            <w:right w:val="none" w:sz="0" w:space="0" w:color="auto"/>
          </w:divBdr>
        </w:div>
        <w:div w:id="1538200560">
          <w:marLeft w:val="0"/>
          <w:marRight w:val="0"/>
          <w:marTop w:val="0"/>
          <w:marBottom w:val="0"/>
          <w:divBdr>
            <w:top w:val="none" w:sz="0" w:space="0" w:color="auto"/>
            <w:left w:val="none" w:sz="0" w:space="0" w:color="auto"/>
            <w:bottom w:val="none" w:sz="0" w:space="0" w:color="auto"/>
            <w:right w:val="none" w:sz="0" w:space="0" w:color="auto"/>
          </w:divBdr>
          <w:divsChild>
            <w:div w:id="1030690503">
              <w:marLeft w:val="-75"/>
              <w:marRight w:val="0"/>
              <w:marTop w:val="30"/>
              <w:marBottom w:val="30"/>
              <w:divBdr>
                <w:top w:val="none" w:sz="0" w:space="0" w:color="auto"/>
                <w:left w:val="none" w:sz="0" w:space="0" w:color="auto"/>
                <w:bottom w:val="none" w:sz="0" w:space="0" w:color="auto"/>
                <w:right w:val="none" w:sz="0" w:space="0" w:color="auto"/>
              </w:divBdr>
              <w:divsChild>
                <w:div w:id="439450645">
                  <w:marLeft w:val="0"/>
                  <w:marRight w:val="0"/>
                  <w:marTop w:val="0"/>
                  <w:marBottom w:val="0"/>
                  <w:divBdr>
                    <w:top w:val="none" w:sz="0" w:space="0" w:color="auto"/>
                    <w:left w:val="none" w:sz="0" w:space="0" w:color="auto"/>
                    <w:bottom w:val="none" w:sz="0" w:space="0" w:color="auto"/>
                    <w:right w:val="none" w:sz="0" w:space="0" w:color="auto"/>
                  </w:divBdr>
                  <w:divsChild>
                    <w:div w:id="1359618204">
                      <w:marLeft w:val="0"/>
                      <w:marRight w:val="0"/>
                      <w:marTop w:val="0"/>
                      <w:marBottom w:val="0"/>
                      <w:divBdr>
                        <w:top w:val="none" w:sz="0" w:space="0" w:color="auto"/>
                        <w:left w:val="none" w:sz="0" w:space="0" w:color="auto"/>
                        <w:bottom w:val="none" w:sz="0" w:space="0" w:color="auto"/>
                        <w:right w:val="none" w:sz="0" w:space="0" w:color="auto"/>
                      </w:divBdr>
                    </w:div>
                  </w:divsChild>
                </w:div>
                <w:div w:id="835262197">
                  <w:marLeft w:val="0"/>
                  <w:marRight w:val="0"/>
                  <w:marTop w:val="0"/>
                  <w:marBottom w:val="0"/>
                  <w:divBdr>
                    <w:top w:val="none" w:sz="0" w:space="0" w:color="auto"/>
                    <w:left w:val="none" w:sz="0" w:space="0" w:color="auto"/>
                    <w:bottom w:val="none" w:sz="0" w:space="0" w:color="auto"/>
                    <w:right w:val="none" w:sz="0" w:space="0" w:color="auto"/>
                  </w:divBdr>
                  <w:divsChild>
                    <w:div w:id="1468469984">
                      <w:marLeft w:val="0"/>
                      <w:marRight w:val="0"/>
                      <w:marTop w:val="0"/>
                      <w:marBottom w:val="0"/>
                      <w:divBdr>
                        <w:top w:val="none" w:sz="0" w:space="0" w:color="auto"/>
                        <w:left w:val="none" w:sz="0" w:space="0" w:color="auto"/>
                        <w:bottom w:val="none" w:sz="0" w:space="0" w:color="auto"/>
                        <w:right w:val="none" w:sz="0" w:space="0" w:color="auto"/>
                      </w:divBdr>
                    </w:div>
                  </w:divsChild>
                </w:div>
                <w:div w:id="1874032042">
                  <w:marLeft w:val="0"/>
                  <w:marRight w:val="0"/>
                  <w:marTop w:val="0"/>
                  <w:marBottom w:val="0"/>
                  <w:divBdr>
                    <w:top w:val="none" w:sz="0" w:space="0" w:color="auto"/>
                    <w:left w:val="none" w:sz="0" w:space="0" w:color="auto"/>
                    <w:bottom w:val="none" w:sz="0" w:space="0" w:color="auto"/>
                    <w:right w:val="none" w:sz="0" w:space="0" w:color="auto"/>
                  </w:divBdr>
                  <w:divsChild>
                    <w:div w:id="1346664389">
                      <w:marLeft w:val="0"/>
                      <w:marRight w:val="0"/>
                      <w:marTop w:val="0"/>
                      <w:marBottom w:val="0"/>
                      <w:divBdr>
                        <w:top w:val="none" w:sz="0" w:space="0" w:color="auto"/>
                        <w:left w:val="none" w:sz="0" w:space="0" w:color="auto"/>
                        <w:bottom w:val="none" w:sz="0" w:space="0" w:color="auto"/>
                        <w:right w:val="none" w:sz="0" w:space="0" w:color="auto"/>
                      </w:divBdr>
                    </w:div>
                  </w:divsChild>
                </w:div>
                <w:div w:id="1896239809">
                  <w:marLeft w:val="0"/>
                  <w:marRight w:val="0"/>
                  <w:marTop w:val="0"/>
                  <w:marBottom w:val="0"/>
                  <w:divBdr>
                    <w:top w:val="none" w:sz="0" w:space="0" w:color="auto"/>
                    <w:left w:val="none" w:sz="0" w:space="0" w:color="auto"/>
                    <w:bottom w:val="none" w:sz="0" w:space="0" w:color="auto"/>
                    <w:right w:val="none" w:sz="0" w:space="0" w:color="auto"/>
                  </w:divBdr>
                  <w:divsChild>
                    <w:div w:id="385639604">
                      <w:marLeft w:val="0"/>
                      <w:marRight w:val="0"/>
                      <w:marTop w:val="0"/>
                      <w:marBottom w:val="0"/>
                      <w:divBdr>
                        <w:top w:val="none" w:sz="0" w:space="0" w:color="auto"/>
                        <w:left w:val="none" w:sz="0" w:space="0" w:color="auto"/>
                        <w:bottom w:val="none" w:sz="0" w:space="0" w:color="auto"/>
                        <w:right w:val="none" w:sz="0" w:space="0" w:color="auto"/>
                      </w:divBdr>
                    </w:div>
                  </w:divsChild>
                </w:div>
                <w:div w:id="738094220">
                  <w:marLeft w:val="0"/>
                  <w:marRight w:val="0"/>
                  <w:marTop w:val="0"/>
                  <w:marBottom w:val="0"/>
                  <w:divBdr>
                    <w:top w:val="none" w:sz="0" w:space="0" w:color="auto"/>
                    <w:left w:val="none" w:sz="0" w:space="0" w:color="auto"/>
                    <w:bottom w:val="none" w:sz="0" w:space="0" w:color="auto"/>
                    <w:right w:val="none" w:sz="0" w:space="0" w:color="auto"/>
                  </w:divBdr>
                  <w:divsChild>
                    <w:div w:id="1453859116">
                      <w:marLeft w:val="0"/>
                      <w:marRight w:val="0"/>
                      <w:marTop w:val="0"/>
                      <w:marBottom w:val="0"/>
                      <w:divBdr>
                        <w:top w:val="none" w:sz="0" w:space="0" w:color="auto"/>
                        <w:left w:val="none" w:sz="0" w:space="0" w:color="auto"/>
                        <w:bottom w:val="none" w:sz="0" w:space="0" w:color="auto"/>
                        <w:right w:val="none" w:sz="0" w:space="0" w:color="auto"/>
                      </w:divBdr>
                    </w:div>
                  </w:divsChild>
                </w:div>
                <w:div w:id="1785539217">
                  <w:marLeft w:val="0"/>
                  <w:marRight w:val="0"/>
                  <w:marTop w:val="0"/>
                  <w:marBottom w:val="0"/>
                  <w:divBdr>
                    <w:top w:val="none" w:sz="0" w:space="0" w:color="auto"/>
                    <w:left w:val="none" w:sz="0" w:space="0" w:color="auto"/>
                    <w:bottom w:val="none" w:sz="0" w:space="0" w:color="auto"/>
                    <w:right w:val="none" w:sz="0" w:space="0" w:color="auto"/>
                  </w:divBdr>
                  <w:divsChild>
                    <w:div w:id="1682002375">
                      <w:marLeft w:val="0"/>
                      <w:marRight w:val="0"/>
                      <w:marTop w:val="0"/>
                      <w:marBottom w:val="0"/>
                      <w:divBdr>
                        <w:top w:val="none" w:sz="0" w:space="0" w:color="auto"/>
                        <w:left w:val="none" w:sz="0" w:space="0" w:color="auto"/>
                        <w:bottom w:val="none" w:sz="0" w:space="0" w:color="auto"/>
                        <w:right w:val="none" w:sz="0" w:space="0" w:color="auto"/>
                      </w:divBdr>
                    </w:div>
                  </w:divsChild>
                </w:div>
                <w:div w:id="618798070">
                  <w:marLeft w:val="0"/>
                  <w:marRight w:val="0"/>
                  <w:marTop w:val="0"/>
                  <w:marBottom w:val="0"/>
                  <w:divBdr>
                    <w:top w:val="none" w:sz="0" w:space="0" w:color="auto"/>
                    <w:left w:val="none" w:sz="0" w:space="0" w:color="auto"/>
                    <w:bottom w:val="none" w:sz="0" w:space="0" w:color="auto"/>
                    <w:right w:val="none" w:sz="0" w:space="0" w:color="auto"/>
                  </w:divBdr>
                  <w:divsChild>
                    <w:div w:id="429785129">
                      <w:marLeft w:val="0"/>
                      <w:marRight w:val="0"/>
                      <w:marTop w:val="0"/>
                      <w:marBottom w:val="0"/>
                      <w:divBdr>
                        <w:top w:val="none" w:sz="0" w:space="0" w:color="auto"/>
                        <w:left w:val="none" w:sz="0" w:space="0" w:color="auto"/>
                        <w:bottom w:val="none" w:sz="0" w:space="0" w:color="auto"/>
                        <w:right w:val="none" w:sz="0" w:space="0" w:color="auto"/>
                      </w:divBdr>
                    </w:div>
                  </w:divsChild>
                </w:div>
                <w:div w:id="252473224">
                  <w:marLeft w:val="0"/>
                  <w:marRight w:val="0"/>
                  <w:marTop w:val="0"/>
                  <w:marBottom w:val="0"/>
                  <w:divBdr>
                    <w:top w:val="none" w:sz="0" w:space="0" w:color="auto"/>
                    <w:left w:val="none" w:sz="0" w:space="0" w:color="auto"/>
                    <w:bottom w:val="none" w:sz="0" w:space="0" w:color="auto"/>
                    <w:right w:val="none" w:sz="0" w:space="0" w:color="auto"/>
                  </w:divBdr>
                  <w:divsChild>
                    <w:div w:id="1209220644">
                      <w:marLeft w:val="0"/>
                      <w:marRight w:val="0"/>
                      <w:marTop w:val="0"/>
                      <w:marBottom w:val="0"/>
                      <w:divBdr>
                        <w:top w:val="none" w:sz="0" w:space="0" w:color="auto"/>
                        <w:left w:val="none" w:sz="0" w:space="0" w:color="auto"/>
                        <w:bottom w:val="none" w:sz="0" w:space="0" w:color="auto"/>
                        <w:right w:val="none" w:sz="0" w:space="0" w:color="auto"/>
                      </w:divBdr>
                    </w:div>
                  </w:divsChild>
                </w:div>
                <w:div w:id="837228363">
                  <w:marLeft w:val="0"/>
                  <w:marRight w:val="0"/>
                  <w:marTop w:val="0"/>
                  <w:marBottom w:val="0"/>
                  <w:divBdr>
                    <w:top w:val="none" w:sz="0" w:space="0" w:color="auto"/>
                    <w:left w:val="none" w:sz="0" w:space="0" w:color="auto"/>
                    <w:bottom w:val="none" w:sz="0" w:space="0" w:color="auto"/>
                    <w:right w:val="none" w:sz="0" w:space="0" w:color="auto"/>
                  </w:divBdr>
                  <w:divsChild>
                    <w:div w:id="1391149772">
                      <w:marLeft w:val="0"/>
                      <w:marRight w:val="0"/>
                      <w:marTop w:val="0"/>
                      <w:marBottom w:val="0"/>
                      <w:divBdr>
                        <w:top w:val="none" w:sz="0" w:space="0" w:color="auto"/>
                        <w:left w:val="none" w:sz="0" w:space="0" w:color="auto"/>
                        <w:bottom w:val="none" w:sz="0" w:space="0" w:color="auto"/>
                        <w:right w:val="none" w:sz="0" w:space="0" w:color="auto"/>
                      </w:divBdr>
                    </w:div>
                  </w:divsChild>
                </w:div>
                <w:div w:id="1081558220">
                  <w:marLeft w:val="0"/>
                  <w:marRight w:val="0"/>
                  <w:marTop w:val="0"/>
                  <w:marBottom w:val="0"/>
                  <w:divBdr>
                    <w:top w:val="none" w:sz="0" w:space="0" w:color="auto"/>
                    <w:left w:val="none" w:sz="0" w:space="0" w:color="auto"/>
                    <w:bottom w:val="none" w:sz="0" w:space="0" w:color="auto"/>
                    <w:right w:val="none" w:sz="0" w:space="0" w:color="auto"/>
                  </w:divBdr>
                  <w:divsChild>
                    <w:div w:id="520363348">
                      <w:marLeft w:val="0"/>
                      <w:marRight w:val="0"/>
                      <w:marTop w:val="0"/>
                      <w:marBottom w:val="0"/>
                      <w:divBdr>
                        <w:top w:val="none" w:sz="0" w:space="0" w:color="auto"/>
                        <w:left w:val="none" w:sz="0" w:space="0" w:color="auto"/>
                        <w:bottom w:val="none" w:sz="0" w:space="0" w:color="auto"/>
                        <w:right w:val="none" w:sz="0" w:space="0" w:color="auto"/>
                      </w:divBdr>
                    </w:div>
                  </w:divsChild>
                </w:div>
                <w:div w:id="784075614">
                  <w:marLeft w:val="0"/>
                  <w:marRight w:val="0"/>
                  <w:marTop w:val="0"/>
                  <w:marBottom w:val="0"/>
                  <w:divBdr>
                    <w:top w:val="none" w:sz="0" w:space="0" w:color="auto"/>
                    <w:left w:val="none" w:sz="0" w:space="0" w:color="auto"/>
                    <w:bottom w:val="none" w:sz="0" w:space="0" w:color="auto"/>
                    <w:right w:val="none" w:sz="0" w:space="0" w:color="auto"/>
                  </w:divBdr>
                  <w:divsChild>
                    <w:div w:id="1669867117">
                      <w:marLeft w:val="0"/>
                      <w:marRight w:val="0"/>
                      <w:marTop w:val="0"/>
                      <w:marBottom w:val="0"/>
                      <w:divBdr>
                        <w:top w:val="none" w:sz="0" w:space="0" w:color="auto"/>
                        <w:left w:val="none" w:sz="0" w:space="0" w:color="auto"/>
                        <w:bottom w:val="none" w:sz="0" w:space="0" w:color="auto"/>
                        <w:right w:val="none" w:sz="0" w:space="0" w:color="auto"/>
                      </w:divBdr>
                    </w:div>
                    <w:div w:id="1061059177">
                      <w:marLeft w:val="0"/>
                      <w:marRight w:val="0"/>
                      <w:marTop w:val="0"/>
                      <w:marBottom w:val="0"/>
                      <w:divBdr>
                        <w:top w:val="none" w:sz="0" w:space="0" w:color="auto"/>
                        <w:left w:val="none" w:sz="0" w:space="0" w:color="auto"/>
                        <w:bottom w:val="none" w:sz="0" w:space="0" w:color="auto"/>
                        <w:right w:val="none" w:sz="0" w:space="0" w:color="auto"/>
                      </w:divBdr>
                    </w:div>
                  </w:divsChild>
                </w:div>
                <w:div w:id="1620144540">
                  <w:marLeft w:val="0"/>
                  <w:marRight w:val="0"/>
                  <w:marTop w:val="0"/>
                  <w:marBottom w:val="0"/>
                  <w:divBdr>
                    <w:top w:val="none" w:sz="0" w:space="0" w:color="auto"/>
                    <w:left w:val="none" w:sz="0" w:space="0" w:color="auto"/>
                    <w:bottom w:val="none" w:sz="0" w:space="0" w:color="auto"/>
                    <w:right w:val="none" w:sz="0" w:space="0" w:color="auto"/>
                  </w:divBdr>
                  <w:divsChild>
                    <w:div w:id="419764345">
                      <w:marLeft w:val="0"/>
                      <w:marRight w:val="0"/>
                      <w:marTop w:val="0"/>
                      <w:marBottom w:val="0"/>
                      <w:divBdr>
                        <w:top w:val="none" w:sz="0" w:space="0" w:color="auto"/>
                        <w:left w:val="none" w:sz="0" w:space="0" w:color="auto"/>
                        <w:bottom w:val="none" w:sz="0" w:space="0" w:color="auto"/>
                        <w:right w:val="none" w:sz="0" w:space="0" w:color="auto"/>
                      </w:divBdr>
                    </w:div>
                  </w:divsChild>
                </w:div>
                <w:div w:id="851533023">
                  <w:marLeft w:val="0"/>
                  <w:marRight w:val="0"/>
                  <w:marTop w:val="0"/>
                  <w:marBottom w:val="0"/>
                  <w:divBdr>
                    <w:top w:val="none" w:sz="0" w:space="0" w:color="auto"/>
                    <w:left w:val="none" w:sz="0" w:space="0" w:color="auto"/>
                    <w:bottom w:val="none" w:sz="0" w:space="0" w:color="auto"/>
                    <w:right w:val="none" w:sz="0" w:space="0" w:color="auto"/>
                  </w:divBdr>
                  <w:divsChild>
                    <w:div w:id="421223715">
                      <w:marLeft w:val="0"/>
                      <w:marRight w:val="0"/>
                      <w:marTop w:val="0"/>
                      <w:marBottom w:val="0"/>
                      <w:divBdr>
                        <w:top w:val="none" w:sz="0" w:space="0" w:color="auto"/>
                        <w:left w:val="none" w:sz="0" w:space="0" w:color="auto"/>
                        <w:bottom w:val="none" w:sz="0" w:space="0" w:color="auto"/>
                        <w:right w:val="none" w:sz="0" w:space="0" w:color="auto"/>
                      </w:divBdr>
                    </w:div>
                  </w:divsChild>
                </w:div>
                <w:div w:id="300615503">
                  <w:marLeft w:val="0"/>
                  <w:marRight w:val="0"/>
                  <w:marTop w:val="0"/>
                  <w:marBottom w:val="0"/>
                  <w:divBdr>
                    <w:top w:val="none" w:sz="0" w:space="0" w:color="auto"/>
                    <w:left w:val="none" w:sz="0" w:space="0" w:color="auto"/>
                    <w:bottom w:val="none" w:sz="0" w:space="0" w:color="auto"/>
                    <w:right w:val="none" w:sz="0" w:space="0" w:color="auto"/>
                  </w:divBdr>
                  <w:divsChild>
                    <w:div w:id="1767268462">
                      <w:marLeft w:val="0"/>
                      <w:marRight w:val="0"/>
                      <w:marTop w:val="0"/>
                      <w:marBottom w:val="0"/>
                      <w:divBdr>
                        <w:top w:val="none" w:sz="0" w:space="0" w:color="auto"/>
                        <w:left w:val="none" w:sz="0" w:space="0" w:color="auto"/>
                        <w:bottom w:val="none" w:sz="0" w:space="0" w:color="auto"/>
                        <w:right w:val="none" w:sz="0" w:space="0" w:color="auto"/>
                      </w:divBdr>
                    </w:div>
                    <w:div w:id="2067948171">
                      <w:marLeft w:val="0"/>
                      <w:marRight w:val="0"/>
                      <w:marTop w:val="0"/>
                      <w:marBottom w:val="0"/>
                      <w:divBdr>
                        <w:top w:val="none" w:sz="0" w:space="0" w:color="auto"/>
                        <w:left w:val="none" w:sz="0" w:space="0" w:color="auto"/>
                        <w:bottom w:val="none" w:sz="0" w:space="0" w:color="auto"/>
                        <w:right w:val="none" w:sz="0" w:space="0" w:color="auto"/>
                      </w:divBdr>
                    </w:div>
                  </w:divsChild>
                </w:div>
                <w:div w:id="1439057601">
                  <w:marLeft w:val="0"/>
                  <w:marRight w:val="0"/>
                  <w:marTop w:val="0"/>
                  <w:marBottom w:val="0"/>
                  <w:divBdr>
                    <w:top w:val="none" w:sz="0" w:space="0" w:color="auto"/>
                    <w:left w:val="none" w:sz="0" w:space="0" w:color="auto"/>
                    <w:bottom w:val="none" w:sz="0" w:space="0" w:color="auto"/>
                    <w:right w:val="none" w:sz="0" w:space="0" w:color="auto"/>
                  </w:divBdr>
                  <w:divsChild>
                    <w:div w:id="1578132383">
                      <w:marLeft w:val="0"/>
                      <w:marRight w:val="0"/>
                      <w:marTop w:val="0"/>
                      <w:marBottom w:val="0"/>
                      <w:divBdr>
                        <w:top w:val="none" w:sz="0" w:space="0" w:color="auto"/>
                        <w:left w:val="none" w:sz="0" w:space="0" w:color="auto"/>
                        <w:bottom w:val="none" w:sz="0" w:space="0" w:color="auto"/>
                        <w:right w:val="none" w:sz="0" w:space="0" w:color="auto"/>
                      </w:divBdr>
                    </w:div>
                    <w:div w:id="1578437451">
                      <w:marLeft w:val="0"/>
                      <w:marRight w:val="0"/>
                      <w:marTop w:val="0"/>
                      <w:marBottom w:val="0"/>
                      <w:divBdr>
                        <w:top w:val="none" w:sz="0" w:space="0" w:color="auto"/>
                        <w:left w:val="none" w:sz="0" w:space="0" w:color="auto"/>
                        <w:bottom w:val="none" w:sz="0" w:space="0" w:color="auto"/>
                        <w:right w:val="none" w:sz="0" w:space="0" w:color="auto"/>
                      </w:divBdr>
                    </w:div>
                  </w:divsChild>
                </w:div>
                <w:div w:id="1259679740">
                  <w:marLeft w:val="0"/>
                  <w:marRight w:val="0"/>
                  <w:marTop w:val="0"/>
                  <w:marBottom w:val="0"/>
                  <w:divBdr>
                    <w:top w:val="none" w:sz="0" w:space="0" w:color="auto"/>
                    <w:left w:val="none" w:sz="0" w:space="0" w:color="auto"/>
                    <w:bottom w:val="none" w:sz="0" w:space="0" w:color="auto"/>
                    <w:right w:val="none" w:sz="0" w:space="0" w:color="auto"/>
                  </w:divBdr>
                  <w:divsChild>
                    <w:div w:id="54084858">
                      <w:marLeft w:val="0"/>
                      <w:marRight w:val="0"/>
                      <w:marTop w:val="0"/>
                      <w:marBottom w:val="0"/>
                      <w:divBdr>
                        <w:top w:val="none" w:sz="0" w:space="0" w:color="auto"/>
                        <w:left w:val="none" w:sz="0" w:space="0" w:color="auto"/>
                        <w:bottom w:val="none" w:sz="0" w:space="0" w:color="auto"/>
                        <w:right w:val="none" w:sz="0" w:space="0" w:color="auto"/>
                      </w:divBdr>
                    </w:div>
                  </w:divsChild>
                </w:div>
                <w:div w:id="440225636">
                  <w:marLeft w:val="0"/>
                  <w:marRight w:val="0"/>
                  <w:marTop w:val="0"/>
                  <w:marBottom w:val="0"/>
                  <w:divBdr>
                    <w:top w:val="none" w:sz="0" w:space="0" w:color="auto"/>
                    <w:left w:val="none" w:sz="0" w:space="0" w:color="auto"/>
                    <w:bottom w:val="none" w:sz="0" w:space="0" w:color="auto"/>
                    <w:right w:val="none" w:sz="0" w:space="0" w:color="auto"/>
                  </w:divBdr>
                  <w:divsChild>
                    <w:div w:id="1617329362">
                      <w:marLeft w:val="0"/>
                      <w:marRight w:val="0"/>
                      <w:marTop w:val="0"/>
                      <w:marBottom w:val="0"/>
                      <w:divBdr>
                        <w:top w:val="none" w:sz="0" w:space="0" w:color="auto"/>
                        <w:left w:val="none" w:sz="0" w:space="0" w:color="auto"/>
                        <w:bottom w:val="none" w:sz="0" w:space="0" w:color="auto"/>
                        <w:right w:val="none" w:sz="0" w:space="0" w:color="auto"/>
                      </w:divBdr>
                    </w:div>
                    <w:div w:id="521668105">
                      <w:marLeft w:val="0"/>
                      <w:marRight w:val="0"/>
                      <w:marTop w:val="0"/>
                      <w:marBottom w:val="0"/>
                      <w:divBdr>
                        <w:top w:val="none" w:sz="0" w:space="0" w:color="auto"/>
                        <w:left w:val="none" w:sz="0" w:space="0" w:color="auto"/>
                        <w:bottom w:val="none" w:sz="0" w:space="0" w:color="auto"/>
                        <w:right w:val="none" w:sz="0" w:space="0" w:color="auto"/>
                      </w:divBdr>
                    </w:div>
                  </w:divsChild>
                </w:div>
                <w:div w:id="1393964384">
                  <w:marLeft w:val="0"/>
                  <w:marRight w:val="0"/>
                  <w:marTop w:val="0"/>
                  <w:marBottom w:val="0"/>
                  <w:divBdr>
                    <w:top w:val="none" w:sz="0" w:space="0" w:color="auto"/>
                    <w:left w:val="none" w:sz="0" w:space="0" w:color="auto"/>
                    <w:bottom w:val="none" w:sz="0" w:space="0" w:color="auto"/>
                    <w:right w:val="none" w:sz="0" w:space="0" w:color="auto"/>
                  </w:divBdr>
                  <w:divsChild>
                    <w:div w:id="12248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91009">
          <w:marLeft w:val="0"/>
          <w:marRight w:val="0"/>
          <w:marTop w:val="0"/>
          <w:marBottom w:val="0"/>
          <w:divBdr>
            <w:top w:val="none" w:sz="0" w:space="0" w:color="auto"/>
            <w:left w:val="none" w:sz="0" w:space="0" w:color="auto"/>
            <w:bottom w:val="none" w:sz="0" w:space="0" w:color="auto"/>
            <w:right w:val="none" w:sz="0" w:space="0" w:color="auto"/>
          </w:divBdr>
        </w:div>
        <w:div w:id="1668825297">
          <w:marLeft w:val="0"/>
          <w:marRight w:val="0"/>
          <w:marTop w:val="0"/>
          <w:marBottom w:val="0"/>
          <w:divBdr>
            <w:top w:val="none" w:sz="0" w:space="0" w:color="auto"/>
            <w:left w:val="none" w:sz="0" w:space="0" w:color="auto"/>
            <w:bottom w:val="none" w:sz="0" w:space="0" w:color="auto"/>
            <w:right w:val="none" w:sz="0" w:space="0" w:color="auto"/>
          </w:divBdr>
        </w:div>
        <w:div w:id="596713425">
          <w:marLeft w:val="0"/>
          <w:marRight w:val="0"/>
          <w:marTop w:val="0"/>
          <w:marBottom w:val="0"/>
          <w:divBdr>
            <w:top w:val="none" w:sz="0" w:space="0" w:color="auto"/>
            <w:left w:val="none" w:sz="0" w:space="0" w:color="auto"/>
            <w:bottom w:val="none" w:sz="0" w:space="0" w:color="auto"/>
            <w:right w:val="none" w:sz="0" w:space="0" w:color="auto"/>
          </w:divBdr>
        </w:div>
        <w:div w:id="355544057">
          <w:marLeft w:val="0"/>
          <w:marRight w:val="0"/>
          <w:marTop w:val="0"/>
          <w:marBottom w:val="0"/>
          <w:divBdr>
            <w:top w:val="none" w:sz="0" w:space="0" w:color="auto"/>
            <w:left w:val="none" w:sz="0" w:space="0" w:color="auto"/>
            <w:bottom w:val="none" w:sz="0" w:space="0" w:color="auto"/>
            <w:right w:val="none" w:sz="0" w:space="0" w:color="auto"/>
          </w:divBdr>
        </w:div>
        <w:div w:id="210045895">
          <w:marLeft w:val="0"/>
          <w:marRight w:val="0"/>
          <w:marTop w:val="0"/>
          <w:marBottom w:val="0"/>
          <w:divBdr>
            <w:top w:val="none" w:sz="0" w:space="0" w:color="auto"/>
            <w:left w:val="none" w:sz="0" w:space="0" w:color="auto"/>
            <w:bottom w:val="none" w:sz="0" w:space="0" w:color="auto"/>
            <w:right w:val="none" w:sz="0" w:space="0" w:color="auto"/>
          </w:divBdr>
        </w:div>
        <w:div w:id="1252810003">
          <w:marLeft w:val="0"/>
          <w:marRight w:val="0"/>
          <w:marTop w:val="0"/>
          <w:marBottom w:val="0"/>
          <w:divBdr>
            <w:top w:val="none" w:sz="0" w:space="0" w:color="auto"/>
            <w:left w:val="none" w:sz="0" w:space="0" w:color="auto"/>
            <w:bottom w:val="none" w:sz="0" w:space="0" w:color="auto"/>
            <w:right w:val="none" w:sz="0" w:space="0" w:color="auto"/>
          </w:divBdr>
        </w:div>
      </w:divsChild>
    </w:div>
    <w:div w:id="213425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lombiacompra.gov.co/pqrsd/informacion-importante-antes-de-formular-una-pqrs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ventanilladeradicacion@colombiacompra.gov.c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latoria.colombiacompra.gov.co/busqueda/conceptos"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r/pPHyWVs2S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cb9e4b-f1d1-4245-83ec-6cad768d538a" xsi:nil="true"/>
    <lcf76f155ced4ddcb4097134ff3c332f xmlns="9d85dbaf-23eb-4e57-a637-93dcacc8b1a1">
      <Terms xmlns="http://schemas.microsoft.com/office/infopath/2007/PartnerControls"/>
    </lcf76f155ced4ddcb4097134ff3c332f>
    <No xmlns="9d85dbaf-23eb-4e57-a637-93dcacc8b1a1" xsi:nil="true"/>
    <_Flow_SignoffStatus xmlns="9d85dbaf-23eb-4e57-a637-93dcacc8b1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FF98B-17D0-4C1B-9498-6E1C3E23F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618BE-28CB-4D69-955E-CDA788483BED}">
  <ds:schemaRefs>
    <ds:schemaRef ds:uri="http://schemas.microsoft.com/office/2006/metadata/properties"/>
    <ds:schemaRef ds:uri="http://schemas.microsoft.com/office/infopath/2007/PartnerControls"/>
    <ds:schemaRef ds:uri="a6cb9e4b-f1d1-4245-83ec-6cad768d538a"/>
    <ds:schemaRef ds:uri="9d85dbaf-23eb-4e57-a637-93dcacc8b1a1"/>
  </ds:schemaRefs>
</ds:datastoreItem>
</file>

<file path=customXml/itemProps3.xml><?xml version="1.0" encoding="utf-8"?>
<ds:datastoreItem xmlns:ds="http://schemas.openxmlformats.org/officeDocument/2006/customXml" ds:itemID="{19B0637E-D058-473B-8FE7-AA861F69C797}">
  <ds:schemaRefs>
    <ds:schemaRef ds:uri="http://schemas.microsoft.com/sharepoint/v3/contenttype/forms"/>
  </ds:schemaRefs>
</ds:datastoreItem>
</file>

<file path=docMetadata/LabelInfo.xml><?xml version="1.0" encoding="utf-8"?>
<clbl:labelList xmlns:clbl="http://schemas.microsoft.com/office/2020/mipLabelMetadata">
  <clbl:label id="{7b09041e-2451-49d0-8cb1-79d5e3d8c1be}" enabled="0" method="" siteId="{7b09041e-2451-49d0-8cb1-79d5e3d8c1be}"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21</Pages>
  <Words>7060</Words>
  <Characters>40244</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Felipe Ospina Acosta</dc:creator>
  <cp:keywords/>
  <dc:description/>
  <cp:lastModifiedBy>Wilinton Leguizamo</cp:lastModifiedBy>
  <cp:revision>7</cp:revision>
  <cp:lastPrinted>2023-01-10T21:18:00Z</cp:lastPrinted>
  <dcterms:created xsi:type="dcterms:W3CDTF">2025-11-21T19:20:00Z</dcterms:created>
  <dcterms:modified xsi:type="dcterms:W3CDTF">2025-11-27T00:04:00Z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