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1B00" w14:textId="77777777" w:rsidR="004D0112" w:rsidRPr="000E52E5" w:rsidRDefault="004D0112" w:rsidP="004D0112">
      <w:pPr>
        <w:spacing w:after="0" w:line="240" w:lineRule="auto"/>
        <w:jc w:val="both"/>
        <w:rPr>
          <w:rFonts w:ascii="Verdana" w:eastAsia="Geomanist Light" w:hAnsi="Verdana" w:cs="Arial"/>
          <w:b/>
          <w:bCs/>
          <w:color w:val="000000" w:themeColor="text1"/>
          <w:sz w:val="20"/>
          <w:szCs w:val="20"/>
          <w:lang w:val="es-MX"/>
        </w:rPr>
      </w:pPr>
    </w:p>
    <w:p w14:paraId="7ECAAB75" w14:textId="77777777" w:rsidR="004D0112" w:rsidRPr="000E52E5" w:rsidRDefault="004D0112" w:rsidP="004D0112">
      <w:pPr>
        <w:spacing w:after="0" w:line="240" w:lineRule="auto"/>
        <w:jc w:val="both"/>
        <w:rPr>
          <w:rFonts w:ascii="Verdana" w:eastAsia="Calibri" w:hAnsi="Verdana" w:cs="Arial"/>
          <w:bCs/>
          <w:lang w:val="es-ES_tradnl"/>
        </w:rPr>
      </w:pPr>
      <w:r w:rsidRPr="000E52E5">
        <w:rPr>
          <w:rFonts w:ascii="Verdana" w:eastAsia="Calibri" w:hAnsi="Verdana" w:cs="Arial"/>
          <w:b/>
          <w:lang w:val="es-ES_tradnl"/>
        </w:rPr>
        <w:t>CONCEPTOS DE COLOMBIA COMPRA EFICIENTE – Obligatoriedad</w:t>
      </w:r>
    </w:p>
    <w:p w14:paraId="4020AD40" w14:textId="77777777" w:rsidR="004D0112" w:rsidRPr="000E52E5" w:rsidRDefault="004D0112" w:rsidP="004D0112">
      <w:pPr>
        <w:spacing w:after="0" w:line="240" w:lineRule="auto"/>
        <w:jc w:val="both"/>
        <w:rPr>
          <w:rFonts w:ascii="Verdana" w:hAnsi="Verdana" w:cs="Arial"/>
          <w:sz w:val="20"/>
          <w:szCs w:val="20"/>
          <w:highlight w:val="yellow"/>
          <w:lang w:val="es-ES_tradnl"/>
        </w:rPr>
      </w:pPr>
    </w:p>
    <w:p w14:paraId="40A352EE" w14:textId="77777777" w:rsidR="004D0112" w:rsidRPr="000E52E5" w:rsidRDefault="004D0112" w:rsidP="004D0112">
      <w:pPr>
        <w:pStyle w:val="ListParagraph"/>
        <w:spacing w:after="0" w:line="240" w:lineRule="auto"/>
        <w:ind w:left="0"/>
        <w:jc w:val="both"/>
        <w:rPr>
          <w:rFonts w:ascii="Verdana" w:eastAsia="Calibri" w:hAnsi="Verdana" w:cs="Arial"/>
          <w:sz w:val="20"/>
          <w:szCs w:val="20"/>
          <w:highlight w:val="yellow"/>
          <w:lang w:val="es-ES_tradnl"/>
        </w:rPr>
      </w:pPr>
      <w:r w:rsidRPr="000E52E5">
        <w:rPr>
          <w:rFonts w:ascii="Verdana" w:eastAsia="Calibri" w:hAnsi="Verdana" w:cs="Arial"/>
          <w:sz w:val="20"/>
          <w:szCs w:val="20"/>
          <w:lang w:val="es-ES_tradnl"/>
        </w:rPr>
        <w:t>La ley es clara cuando establece que los conceptos, emitidos por las autoridades al responder peticiones realizadas en ejercicio del derecho a formular consultas, no son de obligatorio cumplimiento o ejecución, en otras palabras, no tienen efectos vinculantes. Las respuestas emitidas como concepto, entonces, consisten en la posición hermenéutica que las entidades tienen respecto del ordenamiento jurídico. Esto explica por qué esta Agencia, reiteradamente, no resuelve controversias concretas ni brinda asesoría a los partícipes de la contratación estatal.</w:t>
      </w:r>
    </w:p>
    <w:p w14:paraId="54B156C4" w14:textId="77777777" w:rsidR="004D0112" w:rsidRPr="000E52E5" w:rsidRDefault="004D0112" w:rsidP="004D0112">
      <w:pPr>
        <w:spacing w:after="0" w:line="240" w:lineRule="auto"/>
        <w:jc w:val="both"/>
        <w:rPr>
          <w:rFonts w:ascii="Verdana" w:eastAsia="Calibri" w:hAnsi="Verdana" w:cs="Arial"/>
          <w:b/>
          <w:sz w:val="20"/>
          <w:szCs w:val="20"/>
          <w:highlight w:val="yellow"/>
          <w:lang w:val="es-ES_tradnl"/>
        </w:rPr>
      </w:pPr>
    </w:p>
    <w:p w14:paraId="325A8308" w14:textId="77777777" w:rsidR="004D0112" w:rsidRPr="000E52E5" w:rsidRDefault="004D0112" w:rsidP="004D0112">
      <w:pPr>
        <w:spacing w:after="0" w:line="240" w:lineRule="auto"/>
        <w:jc w:val="both"/>
        <w:rPr>
          <w:rFonts w:ascii="Verdana" w:eastAsia="Calibri" w:hAnsi="Verdana" w:cs="Arial"/>
          <w:bCs/>
          <w:lang w:val="es-ES_tradnl"/>
        </w:rPr>
      </w:pPr>
      <w:r w:rsidRPr="000E52E5">
        <w:rPr>
          <w:rFonts w:ascii="Verdana" w:eastAsia="Calibri" w:hAnsi="Verdana" w:cs="Arial"/>
          <w:b/>
          <w:lang w:val="es-ES_tradnl"/>
        </w:rPr>
        <w:t>FUNCIÓN CONSULTIVA – Alcance</w:t>
      </w:r>
    </w:p>
    <w:p w14:paraId="55619DFA" w14:textId="77777777" w:rsidR="004D0112" w:rsidRPr="000E52E5" w:rsidRDefault="004D0112" w:rsidP="004D0112">
      <w:pPr>
        <w:spacing w:after="0" w:line="240" w:lineRule="auto"/>
        <w:jc w:val="both"/>
        <w:rPr>
          <w:rFonts w:ascii="Verdana" w:hAnsi="Verdana" w:cs="Arial"/>
          <w:sz w:val="20"/>
          <w:szCs w:val="20"/>
          <w:highlight w:val="yellow"/>
          <w:lang w:val="es-ES_tradnl"/>
        </w:rPr>
      </w:pPr>
    </w:p>
    <w:p w14:paraId="1CF65205" w14:textId="77777777" w:rsidR="004D0112" w:rsidRPr="000E52E5" w:rsidRDefault="004D0112" w:rsidP="004D0112">
      <w:pPr>
        <w:pStyle w:val="ListParagraph"/>
        <w:spacing w:after="0" w:line="240" w:lineRule="auto"/>
        <w:ind w:left="0"/>
        <w:jc w:val="both"/>
        <w:rPr>
          <w:rFonts w:ascii="Verdana" w:eastAsia="Calibri" w:hAnsi="Verdana" w:cs="Arial"/>
          <w:sz w:val="20"/>
          <w:szCs w:val="20"/>
          <w:lang w:val="es-ES_tradnl"/>
        </w:rPr>
      </w:pPr>
      <w:r w:rsidRPr="000E52E5">
        <w:rPr>
          <w:rFonts w:ascii="Verdana" w:eastAsia="Calibri" w:hAnsi="Verdana" w:cs="Arial"/>
          <w:sz w:val="20"/>
          <w:szCs w:val="20"/>
          <w:lang w:val="es-ES_tradnl"/>
        </w:rPr>
        <w:t xml:space="preserve">Las autoridades que ejercen funciones consultivas pueden expresar su interpretación de un precepto normativo que no excluye otras interpretaciones posibles, pues el derecho, como sistema normativo, es un lenguaje que, en ocasiones, se tiñe de vaguedad, en virtud de la utilización de conceptos jurídicos indeterminados. Así, puede pasar, por ejemplo, que un ministerio considere que una norma debe entenderse en un sentido, pero que otra entidad, vinculada o adscrita a ese ministerio, entienda que la misma norma debe interpretarse de otra manera. Eso hace parte de la lógica deliberativa y dialéctica del funcionamiento del Estado y refleja el principio democrático. De todos modos, esto no significa que el criterio de una u otra tenga validez o prevalencia sobre la otra, ya que se trata de opiniones emitidas a título de concepto, pese a que entre las entidades exista una jerarquía o de la naturaleza y competencias que se prediquen de una y otra. Incluso, aun cuando los jueces interpreten con autoridad el sentido de la disposición normativa, el concepto emitido por la entidad no deja de ser un concepto y no adquiere efectos vinculantes, por más que coincida con el de la autoridad judicial, pues, en esa hipótesis, lo que vincula es la decisión del juez, no el de la entidad que ejerció la función consultiva, pues, como se viene diciendo, dicha competencia se enmarca en el artículo 28 de la Ley 1437 de 2011. En otras palabras, los conceptos «no serán de obligatorio cumplimiento o ejecución». </w:t>
      </w:r>
    </w:p>
    <w:p w14:paraId="30B54742" w14:textId="77777777" w:rsidR="004D0112" w:rsidRPr="000E52E5" w:rsidRDefault="004D0112" w:rsidP="004D0112">
      <w:pPr>
        <w:pStyle w:val="ListParagraph"/>
        <w:spacing w:after="0" w:line="240" w:lineRule="auto"/>
        <w:ind w:left="0"/>
        <w:jc w:val="both"/>
        <w:rPr>
          <w:rFonts w:ascii="Verdana" w:eastAsia="Calibri" w:hAnsi="Verdana" w:cs="Arial"/>
          <w:sz w:val="20"/>
          <w:szCs w:val="20"/>
          <w:highlight w:val="yellow"/>
          <w:lang w:val="es-ES_tradnl"/>
        </w:rPr>
      </w:pPr>
    </w:p>
    <w:p w14:paraId="357B86B8" w14:textId="77777777" w:rsidR="004D0112" w:rsidRPr="000E52E5" w:rsidRDefault="004D0112" w:rsidP="004D0112">
      <w:pPr>
        <w:spacing w:after="0" w:line="240" w:lineRule="auto"/>
        <w:jc w:val="both"/>
        <w:rPr>
          <w:rFonts w:ascii="Verdana" w:eastAsia="Calibri" w:hAnsi="Verdana" w:cs="Arial"/>
          <w:lang w:val="es-ES_tradnl"/>
        </w:rPr>
      </w:pPr>
      <w:r w:rsidRPr="000E52E5">
        <w:rPr>
          <w:rFonts w:ascii="Verdana" w:eastAsia="Calibri" w:hAnsi="Verdana" w:cs="Arial"/>
          <w:b/>
          <w:bCs/>
          <w:lang w:val="es-ES_tradnl"/>
        </w:rPr>
        <w:t xml:space="preserve">CONCEPTOS DE COLOMBIA COMPRA EFICIENTE – Revocación directa </w:t>
      </w:r>
      <w:r w:rsidRPr="000E52E5">
        <w:rPr>
          <w:rFonts w:ascii="Verdana" w:eastAsia="Arial" w:hAnsi="Verdana" w:cs="Arial"/>
          <w:b/>
          <w:bCs/>
          <w:lang w:val="es-ES_tradnl"/>
        </w:rPr>
        <w:t>– Improcedencia</w:t>
      </w:r>
    </w:p>
    <w:p w14:paraId="5EEC0F38" w14:textId="77777777" w:rsidR="004D0112" w:rsidRPr="000E52E5" w:rsidRDefault="004D0112" w:rsidP="004D0112">
      <w:pPr>
        <w:spacing w:after="0" w:line="240" w:lineRule="auto"/>
        <w:jc w:val="both"/>
        <w:rPr>
          <w:rFonts w:ascii="Verdana" w:hAnsi="Verdana" w:cs="Arial"/>
          <w:sz w:val="20"/>
          <w:szCs w:val="20"/>
          <w:highlight w:val="yellow"/>
          <w:lang w:val="es-ES_tradnl"/>
        </w:rPr>
      </w:pPr>
    </w:p>
    <w:p w14:paraId="2110B109" w14:textId="77777777" w:rsidR="004D0112" w:rsidRPr="000E52E5" w:rsidRDefault="004D0112" w:rsidP="004D0112">
      <w:pPr>
        <w:tabs>
          <w:tab w:val="left" w:pos="709"/>
        </w:tabs>
        <w:spacing w:after="0" w:line="240" w:lineRule="auto"/>
        <w:jc w:val="both"/>
        <w:rPr>
          <w:rFonts w:ascii="Verdana" w:eastAsia="Calibri" w:hAnsi="Verdana" w:cs="Arial"/>
          <w:bCs/>
          <w:sz w:val="20"/>
          <w:szCs w:val="20"/>
          <w:lang w:val="es-ES_tradnl"/>
        </w:rPr>
      </w:pPr>
      <w:r w:rsidRPr="000E52E5">
        <w:rPr>
          <w:rFonts w:ascii="Verdana" w:eastAsia="Calibri" w:hAnsi="Verdana" w:cs="Arial"/>
          <w:bCs/>
          <w:sz w:val="20"/>
          <w:szCs w:val="20"/>
          <w:lang w:val="es-ES_tradnl"/>
        </w:rPr>
        <w:t xml:space="preserve">Así las cosas, Colombia Compra Eficiente considera que no hay lugar a acceder, por ejemplo, a solicitudes de </w:t>
      </w:r>
      <w:r w:rsidRPr="000E52E5">
        <w:rPr>
          <w:rFonts w:ascii="Verdana" w:eastAsia="Calibri" w:hAnsi="Verdana" w:cs="Arial"/>
          <w:bCs/>
          <w:i/>
          <w:iCs/>
          <w:sz w:val="20"/>
          <w:szCs w:val="20"/>
          <w:lang w:val="es-ES_tradnl"/>
        </w:rPr>
        <w:t>revocación directa</w:t>
      </w:r>
      <w:r w:rsidRPr="000E52E5">
        <w:rPr>
          <w:rFonts w:ascii="Verdana" w:eastAsia="Calibri" w:hAnsi="Verdana" w:cs="Arial"/>
          <w:bCs/>
          <w:sz w:val="20"/>
          <w:szCs w:val="20"/>
          <w:lang w:val="es-ES_tradnl"/>
        </w:rPr>
        <w:t xml:space="preserve"> de los conceptos, pues no son actos administrativos, no tienen efectos vinculantes en relación con una situación jurídica particular y concreta, y exponen un criterio que, aunque jurídicamente fundamentado, no representan necesariamente la </w:t>
      </w:r>
      <w:r w:rsidRPr="000E52E5">
        <w:rPr>
          <w:rFonts w:ascii="Verdana" w:eastAsia="Calibri" w:hAnsi="Verdana" w:cs="Arial"/>
          <w:bCs/>
          <w:i/>
          <w:iCs/>
          <w:sz w:val="20"/>
          <w:szCs w:val="20"/>
          <w:lang w:val="es-ES_tradnl"/>
        </w:rPr>
        <w:t>única</w:t>
      </w:r>
      <w:r w:rsidRPr="000E52E5">
        <w:rPr>
          <w:rFonts w:ascii="Verdana" w:eastAsia="Calibri" w:hAnsi="Verdana" w:cs="Arial"/>
          <w:bCs/>
          <w:sz w:val="20"/>
          <w:szCs w:val="20"/>
          <w:lang w:val="es-ES_tradnl"/>
        </w:rPr>
        <w:t xml:space="preserve"> interpretación válida del ordenamiento jurídico. Lo anterior no implica que la Agencia Nacional de Contratación Pública – Colombia Compra Eficiente considere inalterables sus posturas, pues, de ser necesario, podría replantear una tesis previamente expuesta, bajo estrictos estándares argumentativos, al emitir otro concepto, ya que, dada su falta de vinculatoriedad, la legitimación de sus posturas proviene de la fuerza de los argumentos. </w:t>
      </w:r>
    </w:p>
    <w:p w14:paraId="18646A02" w14:textId="77777777" w:rsidR="004D0112" w:rsidRPr="000E52E5" w:rsidRDefault="004D0112" w:rsidP="004D0112">
      <w:pPr>
        <w:spacing w:after="0" w:line="240" w:lineRule="auto"/>
        <w:jc w:val="both"/>
        <w:rPr>
          <w:rFonts w:ascii="Verdana" w:eastAsia="Calibri" w:hAnsi="Verdana" w:cs="Arial"/>
          <w:sz w:val="20"/>
          <w:szCs w:val="20"/>
          <w:highlight w:val="yellow"/>
          <w:lang w:val="es-ES_tradnl"/>
        </w:rPr>
      </w:pPr>
    </w:p>
    <w:p w14:paraId="5F4389FE" w14:textId="77777777" w:rsidR="004D0112" w:rsidRPr="000E52E5" w:rsidRDefault="004D0112" w:rsidP="004D0112">
      <w:pPr>
        <w:spacing w:after="0" w:line="240" w:lineRule="auto"/>
        <w:jc w:val="both"/>
        <w:rPr>
          <w:rFonts w:ascii="Verdana" w:eastAsia="Calibri" w:hAnsi="Verdana" w:cs="Arial"/>
          <w:bCs/>
          <w:lang w:val="es-ES_tradnl"/>
        </w:rPr>
      </w:pPr>
      <w:r w:rsidRPr="000E52E5">
        <w:rPr>
          <w:rFonts w:ascii="Verdana" w:eastAsia="Calibri" w:hAnsi="Verdana" w:cs="Arial"/>
          <w:b/>
          <w:lang w:val="es-ES_tradnl"/>
        </w:rPr>
        <w:lastRenderedPageBreak/>
        <w:t>FUNCIÓN CONSULTIVA – Objeto</w:t>
      </w:r>
    </w:p>
    <w:p w14:paraId="3D11C91D" w14:textId="77777777" w:rsidR="004D0112" w:rsidRPr="000E52E5" w:rsidRDefault="004D0112" w:rsidP="004D0112">
      <w:pPr>
        <w:spacing w:after="0" w:line="240" w:lineRule="auto"/>
        <w:jc w:val="both"/>
        <w:rPr>
          <w:rFonts w:ascii="Verdana" w:hAnsi="Verdana" w:cs="Arial"/>
          <w:sz w:val="20"/>
          <w:szCs w:val="20"/>
          <w:highlight w:val="yellow"/>
          <w:lang w:val="es-ES_tradnl"/>
        </w:rPr>
      </w:pPr>
    </w:p>
    <w:p w14:paraId="6E5D3054" w14:textId="77777777" w:rsidR="004D0112" w:rsidRPr="000E52E5" w:rsidRDefault="004D0112" w:rsidP="004D0112">
      <w:pPr>
        <w:tabs>
          <w:tab w:val="left" w:pos="0"/>
        </w:tabs>
        <w:spacing w:after="0" w:line="240" w:lineRule="auto"/>
        <w:jc w:val="both"/>
        <w:rPr>
          <w:rFonts w:ascii="Verdana" w:eastAsia="Calibri" w:hAnsi="Verdana" w:cs="Arial"/>
          <w:color w:val="000000" w:themeColor="text1"/>
          <w:sz w:val="20"/>
          <w:szCs w:val="20"/>
          <w:lang w:val="es-ES_tradnl"/>
        </w:rPr>
      </w:pPr>
      <w:r w:rsidRPr="000E52E5">
        <w:rPr>
          <w:rFonts w:ascii="Verdana" w:eastAsia="Calibri" w:hAnsi="Verdana" w:cs="Arial"/>
          <w:color w:val="000000" w:themeColor="text1"/>
          <w:sz w:val="20"/>
          <w:szCs w:val="20"/>
          <w:lang w:val="es-ES_tradnl"/>
        </w:rPr>
        <w:t>Los conceptos emitidos por la Agencia Nacional de Contratación Pública – Colombia Compra Eficiente contienen la interpretación de normas de carácter general en materia de compras y contratación pública. El fundamento para su expedición se encuentra en el numeral 8 del artículo 11 y el numeral 5 del artículo 3 del Decreto Ley 4170 de 2011. Tales conceptos no son actos administrativos, es decir, no son decisiones vinculantes u obligatorias, sino que están revestidos de la naturaleza que les confiere el artículo 230 de la Constitución Política y el artículo 28 de la Ley 1437 de 2011. En otras palabras, constituyen doctrina, y por lo tanto son criterios auxiliares para la interpretación y aplicación del derecho. De ahí que no sean obligatorios.</w:t>
      </w:r>
    </w:p>
    <w:p w14:paraId="0813FBB5" w14:textId="77777777" w:rsidR="004D0112" w:rsidRPr="000E52E5" w:rsidRDefault="004D0112" w:rsidP="004D0112">
      <w:pPr>
        <w:tabs>
          <w:tab w:val="left" w:pos="0"/>
        </w:tabs>
        <w:spacing w:after="0" w:line="240" w:lineRule="auto"/>
        <w:jc w:val="both"/>
        <w:rPr>
          <w:rFonts w:ascii="Verdana" w:eastAsia="Calibri" w:hAnsi="Verdana" w:cs="Arial"/>
          <w:color w:val="000000" w:themeColor="text1"/>
          <w:sz w:val="20"/>
          <w:szCs w:val="20"/>
          <w:lang w:val="es-ES_tradnl"/>
        </w:rPr>
      </w:pPr>
    </w:p>
    <w:p w14:paraId="01AC0588" w14:textId="77777777" w:rsidR="004D0112" w:rsidRPr="000E52E5" w:rsidRDefault="004D0112" w:rsidP="004D0112">
      <w:pPr>
        <w:tabs>
          <w:tab w:val="left" w:pos="0"/>
        </w:tabs>
        <w:spacing w:after="0" w:line="240" w:lineRule="auto"/>
        <w:jc w:val="both"/>
        <w:rPr>
          <w:rFonts w:ascii="Verdana" w:eastAsia="Calibri" w:hAnsi="Verdana" w:cs="Arial"/>
          <w:color w:val="000000" w:themeColor="text1"/>
          <w:sz w:val="20"/>
          <w:szCs w:val="20"/>
          <w:lang w:val="es-ES_tradnl"/>
        </w:rPr>
      </w:pPr>
      <w:r w:rsidRPr="000E52E5">
        <w:rPr>
          <w:rFonts w:ascii="Verdana" w:eastAsia="Calibri" w:hAnsi="Verdana" w:cs="Arial"/>
          <w:color w:val="000000" w:themeColor="text1"/>
          <w:sz w:val="20"/>
          <w:szCs w:val="20"/>
          <w:lang w:val="es-ES_tradnl"/>
        </w:rPr>
        <w:t xml:space="preserve">Por lo demás, la actividad hermenéutica que lleva a cabo la Agencia Nacional de Contratación Pública – Colombia Compra Eficiente considera las fuentes normativas de la contratación estatal para asignarles un sentido razonable. Cuando las disposiciones normativas han sido objeto de desarrollo reglamentario o de pronunciamiento judicial, la Agencia tiene en cuenta en los conceptos tales elementos, para construir su interpretación de las normas. Pero, cuando se trata de la definición o comprensión de palabras que no gozan de una delimitación conceptual efectuada por vía reglamentaria o jurisdiccional, Colombia Compra Eficiente deduce el significado que considera más adecuado y armónico con las demás normas que conforman el sistema jurídico de compras y contratación pública. Esto último es lo que sucede con la expresión «mayor proporción», contenida en el numeral 4 del artículo 35 de la Ley 2069 de 2020. Al ser una Ley recientemente expedida y no existir reglamentación, ni jurisprudencia, que haya acotado tal concepto, la Agencia realiza su interpretación </w:t>
      </w:r>
      <w:r w:rsidRPr="000E52E5">
        <w:rPr>
          <w:rFonts w:ascii="Verdana" w:eastAsia="Calibri" w:hAnsi="Verdana" w:cs="Arial"/>
          <w:i/>
          <w:iCs/>
          <w:color w:val="000000" w:themeColor="text1"/>
          <w:sz w:val="20"/>
          <w:szCs w:val="20"/>
          <w:lang w:val="es-ES_tradnl"/>
        </w:rPr>
        <w:t>prima facie</w:t>
      </w:r>
      <w:r w:rsidRPr="000E52E5">
        <w:rPr>
          <w:rFonts w:ascii="Verdana" w:eastAsia="Calibri" w:hAnsi="Verdana" w:cs="Arial"/>
          <w:color w:val="000000" w:themeColor="text1"/>
          <w:sz w:val="20"/>
          <w:szCs w:val="20"/>
          <w:lang w:val="es-ES_tradnl"/>
        </w:rPr>
        <w:t>. Sin embargo, se reitera, dicha interpretación no es vinculante, ni niega que pueda haber otras interpretaciones.</w:t>
      </w:r>
    </w:p>
    <w:p w14:paraId="3F5CDD6A" w14:textId="77777777" w:rsidR="004D0112" w:rsidRPr="000E52E5" w:rsidRDefault="004D0112" w:rsidP="004D0112">
      <w:pPr>
        <w:pStyle w:val="BodyText"/>
        <w:spacing w:after="0" w:line="240" w:lineRule="auto"/>
        <w:ind w:right="102"/>
        <w:jc w:val="both"/>
        <w:rPr>
          <w:rFonts w:ascii="Verdana" w:hAnsi="Verdana" w:cs="Arial"/>
          <w:b/>
          <w:color w:val="000000" w:themeColor="text1"/>
          <w:sz w:val="20"/>
          <w:szCs w:val="20"/>
          <w:lang w:val="es-ES_tradnl"/>
        </w:rPr>
      </w:pPr>
    </w:p>
    <w:p w14:paraId="68A70F63" w14:textId="77777777" w:rsidR="004D0112" w:rsidRPr="00396DBB" w:rsidRDefault="004D0112" w:rsidP="004D0112">
      <w:pPr>
        <w:pStyle w:val="BodyText"/>
        <w:spacing w:after="0" w:line="240" w:lineRule="auto"/>
        <w:ind w:right="102"/>
        <w:jc w:val="both"/>
        <w:rPr>
          <w:rFonts w:ascii="Verdana" w:hAnsi="Verdana" w:cs="Arial"/>
          <w:b/>
          <w:color w:val="000000" w:themeColor="text1"/>
          <w:lang w:val="es-ES_tradnl"/>
        </w:rPr>
      </w:pPr>
      <w:r>
        <w:rPr>
          <w:rFonts w:ascii="Verdana" w:hAnsi="Verdana" w:cs="Arial"/>
          <w:b/>
          <w:color w:val="000000" w:themeColor="text1"/>
          <w:lang w:val="es-ES_tradnl"/>
        </w:rPr>
        <w:t>SELECCIÓN ABREVIADA</w:t>
      </w:r>
      <w:r w:rsidRPr="00396DBB">
        <w:rPr>
          <w:rFonts w:ascii="Verdana" w:hAnsi="Verdana" w:cs="Arial"/>
          <w:b/>
          <w:color w:val="000000" w:themeColor="text1"/>
          <w:lang w:val="es-ES_tradnl"/>
        </w:rPr>
        <w:t xml:space="preserve"> – </w:t>
      </w:r>
      <w:r>
        <w:rPr>
          <w:rFonts w:ascii="Verdana" w:hAnsi="Verdana" w:cs="Arial"/>
          <w:b/>
          <w:color w:val="000000" w:themeColor="text1"/>
          <w:lang w:val="es-ES_tradnl"/>
        </w:rPr>
        <w:t>Marco normativo</w:t>
      </w:r>
      <w:r w:rsidRPr="00396DBB">
        <w:rPr>
          <w:rFonts w:ascii="Verdana" w:hAnsi="Verdana" w:cs="Arial"/>
          <w:b/>
          <w:color w:val="000000" w:themeColor="text1"/>
          <w:lang w:val="es-ES_tradnl"/>
        </w:rPr>
        <w:t xml:space="preserve"> </w:t>
      </w:r>
    </w:p>
    <w:p w14:paraId="6C063EAD" w14:textId="77777777" w:rsidR="004D0112" w:rsidRPr="00396DBB" w:rsidRDefault="004D0112" w:rsidP="004D0112">
      <w:pPr>
        <w:pStyle w:val="BodyText"/>
        <w:spacing w:after="0" w:line="240" w:lineRule="auto"/>
        <w:ind w:right="102"/>
        <w:jc w:val="both"/>
        <w:rPr>
          <w:rFonts w:ascii="Verdana" w:hAnsi="Verdana" w:cs="Arial"/>
          <w:color w:val="000000" w:themeColor="text1"/>
          <w:sz w:val="20"/>
          <w:szCs w:val="20"/>
          <w:lang w:val="es-ES_tradnl"/>
        </w:rPr>
      </w:pPr>
    </w:p>
    <w:p w14:paraId="469F5A66" w14:textId="77777777" w:rsidR="004D0112" w:rsidRDefault="004D0112" w:rsidP="004D0112">
      <w:pPr>
        <w:spacing w:after="0" w:line="240" w:lineRule="auto"/>
        <w:jc w:val="both"/>
        <w:rPr>
          <w:rFonts w:ascii="Verdana" w:eastAsia="Arial" w:hAnsi="Verdana" w:cs="Arial"/>
          <w:color w:val="000000" w:themeColor="text1"/>
          <w:sz w:val="20"/>
          <w:szCs w:val="20"/>
        </w:rPr>
      </w:pPr>
      <w:r w:rsidRPr="00C371AB">
        <w:rPr>
          <w:rFonts w:ascii="Verdana" w:eastAsia="Arial" w:hAnsi="Verdana" w:cs="Arial"/>
          <w:bCs/>
          <w:color w:val="000000" w:themeColor="text1"/>
          <w:sz w:val="20"/>
          <w:szCs w:val="20"/>
          <w:lang w:val="es-MX"/>
        </w:rPr>
        <w:t xml:space="preserve">Respecto a la selección abreviada, </w:t>
      </w:r>
      <w:r w:rsidRPr="00C371AB">
        <w:rPr>
          <w:rFonts w:ascii="Verdana" w:eastAsia="Arial" w:hAnsi="Verdana" w:cs="Arial"/>
          <w:color w:val="000000" w:themeColor="text1"/>
          <w:sz w:val="20"/>
          <w:szCs w:val="20"/>
        </w:rPr>
        <w:t xml:space="preserve">el numeral 2 del artículo 2 de la Ley 1150 de 2007 dispone que “[…]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regulando cada una de las causales. </w:t>
      </w:r>
    </w:p>
    <w:p w14:paraId="6A5BD5F1" w14:textId="77777777" w:rsidR="004D0112" w:rsidRPr="00C371AB" w:rsidRDefault="004D0112" w:rsidP="004D0112">
      <w:pPr>
        <w:spacing w:after="0" w:line="240" w:lineRule="auto"/>
        <w:jc w:val="both"/>
        <w:rPr>
          <w:rFonts w:ascii="Verdana" w:eastAsia="Arial" w:hAnsi="Verdana" w:cs="Arial"/>
          <w:color w:val="000000" w:themeColor="text1"/>
          <w:sz w:val="20"/>
          <w:szCs w:val="20"/>
        </w:rPr>
      </w:pPr>
    </w:p>
    <w:p w14:paraId="602B650D" w14:textId="77777777" w:rsidR="004D0112" w:rsidRDefault="004D0112" w:rsidP="004D0112">
      <w:pPr>
        <w:spacing w:after="0" w:line="240" w:lineRule="auto"/>
        <w:jc w:val="both"/>
        <w:rPr>
          <w:rFonts w:ascii="Verdana" w:eastAsia="Arial" w:hAnsi="Verdana" w:cs="Arial"/>
          <w:color w:val="000000" w:themeColor="text1"/>
          <w:sz w:val="20"/>
          <w:szCs w:val="20"/>
        </w:rPr>
      </w:pPr>
      <w:r w:rsidRPr="00C371AB">
        <w:rPr>
          <w:rFonts w:ascii="Verdana" w:eastAsia="Arial" w:hAnsi="Verdana" w:cs="Arial"/>
          <w:color w:val="000000" w:themeColor="text1"/>
          <w:sz w:val="20"/>
          <w:szCs w:val="20"/>
        </w:rPr>
        <w:t>Se trata de un procedimiento que, conforme a la reglamentación que expida el Gobierno Nacional, agiliza la contratación estatal en los eventos en que no se justifica adelantar una licitación pública, pero tampoco limitar la participación de los proponentes como en la contratación directa, de forma tal que es un mecanismo de selección objetiva que asegura una mayor concurrencia de participantes sin sacrificar los principios de eficacia y eficiencia en el proceso de selección</w:t>
      </w:r>
      <w:r>
        <w:rPr>
          <w:rFonts w:ascii="Verdana" w:eastAsia="Arial" w:hAnsi="Verdana" w:cs="Arial"/>
          <w:color w:val="000000" w:themeColor="text1"/>
          <w:sz w:val="20"/>
          <w:szCs w:val="20"/>
        </w:rPr>
        <w:t>.</w:t>
      </w:r>
    </w:p>
    <w:p w14:paraId="7BD09024" w14:textId="77777777" w:rsidR="004D0112" w:rsidRDefault="004D0112" w:rsidP="004D0112">
      <w:pPr>
        <w:spacing w:after="0" w:line="240" w:lineRule="auto"/>
        <w:jc w:val="both"/>
        <w:rPr>
          <w:rFonts w:ascii="Verdana" w:eastAsia="Arial" w:hAnsi="Verdana" w:cs="Arial"/>
          <w:color w:val="000000" w:themeColor="text1"/>
          <w:sz w:val="20"/>
          <w:szCs w:val="20"/>
        </w:rPr>
      </w:pPr>
    </w:p>
    <w:p w14:paraId="0B36AEEA" w14:textId="77777777" w:rsidR="004D0112" w:rsidRPr="00FB1576" w:rsidRDefault="004D0112" w:rsidP="004D0112">
      <w:pPr>
        <w:spacing w:after="0" w:line="240" w:lineRule="auto"/>
        <w:jc w:val="both"/>
        <w:rPr>
          <w:rFonts w:ascii="Verdana" w:eastAsia="Arial" w:hAnsi="Verdana" w:cs="Arial"/>
          <w:color w:val="000000" w:themeColor="text1"/>
          <w:sz w:val="20"/>
          <w:szCs w:val="20"/>
        </w:rPr>
      </w:pPr>
      <w:r w:rsidRPr="00C371AB">
        <w:rPr>
          <w:rFonts w:ascii="Verdana" w:eastAsia="Arial" w:hAnsi="Verdana" w:cs="Arial"/>
          <w:color w:val="000000" w:themeColor="text1"/>
          <w:sz w:val="20"/>
          <w:szCs w:val="20"/>
        </w:rPr>
        <w:t xml:space="preserve">La selección abreviada se caracteriza por tener etapas un poco sencillas y términos relativamente más cortos que los de la licitación pública, lo cual se justifica por las circunstancias, la naturaleza y los objetos que se contratan a través de esta modalidad, </w:t>
      </w:r>
      <w:r w:rsidRPr="00C371AB">
        <w:rPr>
          <w:rFonts w:ascii="Verdana" w:eastAsia="Arial" w:hAnsi="Verdana" w:cs="Arial"/>
          <w:color w:val="000000" w:themeColor="text1"/>
          <w:sz w:val="20"/>
          <w:szCs w:val="20"/>
        </w:rPr>
        <w:lastRenderedPageBreak/>
        <w:t>los cuales requieren de procedimientos un poco más agiles, sencillos y eficientes. Según el Consejo de Estado, el propósito del legislador es “[…] proveer de mayor agilidad y eficiencia la contratación de algunos bienes o servicios, en los que es deseable la concurrencia de oferentes, pero no en los términos y condiciones de una licitación pública, sino de manera abreviada o, en términos de la ley, simplificada”</w:t>
      </w:r>
      <w:r>
        <w:rPr>
          <w:rFonts w:ascii="Verdana" w:eastAsia="Arial" w:hAnsi="Verdana" w:cs="Arial"/>
          <w:color w:val="000000" w:themeColor="text1"/>
          <w:sz w:val="20"/>
          <w:szCs w:val="20"/>
        </w:rPr>
        <w:t>.</w:t>
      </w:r>
      <w:r w:rsidRPr="00FB1576">
        <w:rPr>
          <w:rFonts w:ascii="Verdana" w:eastAsia="Arial" w:hAnsi="Verdana" w:cs="Arial"/>
          <w:color w:val="000000" w:themeColor="text1"/>
          <w:sz w:val="20"/>
          <w:szCs w:val="20"/>
        </w:rPr>
        <w:t xml:space="preserve"> </w:t>
      </w:r>
    </w:p>
    <w:p w14:paraId="4BE107D2" w14:textId="77777777" w:rsidR="004D0112" w:rsidRPr="00396DBB" w:rsidRDefault="004D0112" w:rsidP="004D0112">
      <w:pPr>
        <w:spacing w:after="0" w:line="240" w:lineRule="auto"/>
        <w:jc w:val="both"/>
        <w:rPr>
          <w:rFonts w:ascii="Verdana" w:eastAsia="Calibri" w:hAnsi="Verdana" w:cs="Arial"/>
          <w:b/>
          <w:color w:val="000000" w:themeColor="text1"/>
          <w:lang w:val="es-ES_tradnl"/>
        </w:rPr>
      </w:pPr>
    </w:p>
    <w:p w14:paraId="12F5E1B4" w14:textId="77777777" w:rsidR="004D0112" w:rsidRPr="00396DBB" w:rsidRDefault="004D0112" w:rsidP="004D0112">
      <w:pPr>
        <w:spacing w:after="0" w:line="240" w:lineRule="auto"/>
        <w:jc w:val="both"/>
        <w:rPr>
          <w:rFonts w:ascii="Verdana" w:eastAsia="Calibri" w:hAnsi="Verdana" w:cs="Arial"/>
          <w:b/>
          <w:color w:val="000000" w:themeColor="text1"/>
          <w:lang w:val="es-ES_tradnl"/>
        </w:rPr>
      </w:pPr>
      <w:r w:rsidRPr="00C371AB">
        <w:rPr>
          <w:rFonts w:ascii="Verdana" w:eastAsia="Calibri" w:hAnsi="Verdana" w:cs="Arial"/>
          <w:b/>
          <w:color w:val="000000" w:themeColor="text1"/>
          <w:lang w:val="es-ES_tradnl"/>
        </w:rPr>
        <w:t>BIENES Y SERVICIOS DE CARACTERÍSTICAS TÉCNICAS UNIFORMES</w:t>
      </w:r>
      <w:r w:rsidRPr="00782519">
        <w:rPr>
          <w:rFonts w:ascii="Verdana" w:eastAsia="Calibri" w:hAnsi="Verdana" w:cs="Arial"/>
          <w:b/>
          <w:color w:val="000000" w:themeColor="text1"/>
          <w:lang w:val="es-ES_tradnl"/>
        </w:rPr>
        <w:t xml:space="preserve"> – </w:t>
      </w:r>
      <w:r>
        <w:rPr>
          <w:rFonts w:ascii="Verdana" w:eastAsia="Calibri" w:hAnsi="Verdana" w:cs="Arial"/>
          <w:b/>
          <w:color w:val="000000" w:themeColor="text1"/>
          <w:lang w:val="es-ES_tradnl"/>
        </w:rPr>
        <w:t xml:space="preserve">Definición </w:t>
      </w:r>
      <w:r w:rsidRPr="00396DBB">
        <w:rPr>
          <w:rFonts w:ascii="Verdana" w:eastAsia="Calibri" w:hAnsi="Verdana" w:cs="Arial"/>
          <w:b/>
          <w:color w:val="000000" w:themeColor="text1"/>
          <w:lang w:val="es-ES_tradnl"/>
        </w:rPr>
        <w:t xml:space="preserve"> </w:t>
      </w:r>
    </w:p>
    <w:p w14:paraId="7DE064C5" w14:textId="77777777" w:rsidR="004D0112" w:rsidRPr="00396DBB" w:rsidRDefault="004D0112" w:rsidP="004D0112">
      <w:pPr>
        <w:spacing w:after="0" w:line="240" w:lineRule="auto"/>
        <w:jc w:val="both"/>
        <w:rPr>
          <w:rFonts w:ascii="Verdana" w:eastAsia="Calibri" w:hAnsi="Verdana" w:cs="Arial"/>
          <w:bCs/>
          <w:color w:val="000000" w:themeColor="text1"/>
          <w:sz w:val="20"/>
          <w:szCs w:val="20"/>
          <w:lang w:val="es-ES_tradnl"/>
        </w:rPr>
      </w:pPr>
    </w:p>
    <w:p w14:paraId="2486C41E" w14:textId="77777777" w:rsidR="004D0112" w:rsidRDefault="004D0112" w:rsidP="004D0112">
      <w:pPr>
        <w:spacing w:after="0" w:line="240" w:lineRule="auto"/>
        <w:jc w:val="both"/>
        <w:rPr>
          <w:rFonts w:ascii="Verdana" w:hAnsi="Verdana" w:cs="Arial"/>
          <w:color w:val="000000" w:themeColor="text1"/>
          <w:sz w:val="20"/>
          <w:szCs w:val="20"/>
        </w:rPr>
      </w:pPr>
      <w:r>
        <w:rPr>
          <w:rFonts w:ascii="Verdana" w:hAnsi="Verdana" w:cs="Arial"/>
          <w:color w:val="000000" w:themeColor="text1"/>
          <w:sz w:val="20"/>
          <w:szCs w:val="20"/>
        </w:rPr>
        <w:t>S</w:t>
      </w:r>
      <w:r w:rsidRPr="00C371AB">
        <w:rPr>
          <w:rFonts w:ascii="Verdana" w:hAnsi="Verdana" w:cs="Arial"/>
          <w:color w:val="000000" w:themeColor="text1"/>
          <w:sz w:val="20"/>
          <w:szCs w:val="20"/>
        </w:rPr>
        <w:t>egún el literal a) del artículo 2.2 de la Ley 1150 de 2007, los bienes y servicios de características técnicas uniformes “[…] corresponden a aquellos que poseen las mismas especificaciones técnicas, con independencia de su diseño o de sus características descriptivas, y comparten patrones de desempeño y calidad objetivamente definidos”. Asimismo, el artículo 2.2.1.1.1.3.1 del Decreto 1082 de 2015 los define como aquellos “Bienes y servicios de común utilización con especificaciones técnicas y patrones de desempeño y calidad iguales o similares, que en consecuencia pueden ser agrupados como bienes y servicios homogéneos para su adquisición y a los que se refiere el literal (a) del numeral 2 del artículo 2 de la Ley 1150 de 2007”</w:t>
      </w:r>
      <w:r w:rsidRPr="00782519">
        <w:rPr>
          <w:rFonts w:ascii="Verdana" w:hAnsi="Verdana" w:cs="Arial"/>
          <w:color w:val="000000" w:themeColor="text1"/>
          <w:sz w:val="20"/>
          <w:szCs w:val="20"/>
        </w:rPr>
        <w:t>.</w:t>
      </w:r>
    </w:p>
    <w:p w14:paraId="611E719D" w14:textId="77777777" w:rsidR="004D0112" w:rsidRPr="00396DBB" w:rsidRDefault="004D0112" w:rsidP="004D0112">
      <w:pPr>
        <w:spacing w:after="0" w:line="240" w:lineRule="auto"/>
        <w:jc w:val="both"/>
        <w:rPr>
          <w:rFonts w:ascii="Verdana" w:hAnsi="Verdana" w:cs="Arial"/>
          <w:color w:val="000000" w:themeColor="text1"/>
          <w:sz w:val="21"/>
          <w:szCs w:val="21"/>
          <w:lang w:val="es-ES_tradnl"/>
        </w:rPr>
      </w:pPr>
    </w:p>
    <w:p w14:paraId="67F96F25" w14:textId="77777777" w:rsidR="004D0112" w:rsidRPr="00396DBB" w:rsidRDefault="004D0112" w:rsidP="004D0112">
      <w:pPr>
        <w:spacing w:after="0" w:line="240" w:lineRule="auto"/>
        <w:jc w:val="both"/>
        <w:rPr>
          <w:rFonts w:ascii="Verdana" w:eastAsia="Calibri" w:hAnsi="Verdana" w:cs="Arial"/>
          <w:b/>
          <w:color w:val="000000" w:themeColor="text1"/>
          <w:lang w:val="es-ES_tradnl"/>
        </w:rPr>
      </w:pPr>
      <w:r w:rsidRPr="00C371AB">
        <w:rPr>
          <w:rFonts w:ascii="Verdana" w:eastAsia="Calibri" w:hAnsi="Verdana" w:cs="Arial"/>
          <w:b/>
          <w:color w:val="000000" w:themeColor="text1"/>
          <w:lang w:val="es-ES_tradnl"/>
        </w:rPr>
        <w:t>BIENES Y SERVICIOS DE CARACTERÍSTICAS TÉCNICAS UNIFORMES</w:t>
      </w:r>
      <w:r w:rsidRPr="00782519">
        <w:rPr>
          <w:rFonts w:ascii="Verdana" w:eastAsia="Calibri" w:hAnsi="Verdana" w:cs="Arial"/>
          <w:b/>
          <w:color w:val="000000" w:themeColor="text1"/>
          <w:lang w:val="es-ES_tradnl"/>
        </w:rPr>
        <w:t xml:space="preserve"> ‒ </w:t>
      </w:r>
      <w:r>
        <w:rPr>
          <w:rFonts w:ascii="Verdana" w:eastAsia="Calibri" w:hAnsi="Verdana" w:cs="Arial"/>
          <w:b/>
          <w:color w:val="000000" w:themeColor="text1"/>
          <w:lang w:val="es-ES_tradnl"/>
        </w:rPr>
        <w:t xml:space="preserve">Características – Formas de adquisición </w:t>
      </w:r>
    </w:p>
    <w:p w14:paraId="6729D9D9" w14:textId="77777777" w:rsidR="004D0112" w:rsidRPr="00782519" w:rsidRDefault="004D0112" w:rsidP="004D0112">
      <w:pPr>
        <w:tabs>
          <w:tab w:val="left" w:pos="426"/>
        </w:tabs>
        <w:spacing w:after="0" w:line="240" w:lineRule="auto"/>
        <w:contextualSpacing/>
        <w:jc w:val="both"/>
        <w:rPr>
          <w:rFonts w:ascii="Verdana" w:eastAsia="Calibri" w:hAnsi="Verdana" w:cs="Arial"/>
          <w:b/>
          <w:bCs/>
          <w:sz w:val="20"/>
          <w:szCs w:val="20"/>
          <w:lang w:val="es-MX"/>
        </w:rPr>
      </w:pPr>
    </w:p>
    <w:p w14:paraId="4B9739E4" w14:textId="77777777" w:rsidR="004D0112" w:rsidRDefault="004D0112" w:rsidP="004D0112">
      <w:pPr>
        <w:tabs>
          <w:tab w:val="left" w:pos="426"/>
        </w:tabs>
        <w:spacing w:after="0" w:line="240" w:lineRule="auto"/>
        <w:contextualSpacing/>
        <w:jc w:val="both"/>
        <w:rPr>
          <w:rFonts w:ascii="Verdana" w:eastAsia="Calibri" w:hAnsi="Verdana" w:cs="Arial"/>
          <w:noProof/>
          <w:sz w:val="20"/>
          <w:szCs w:val="20"/>
          <w:lang w:val="es-ES_tradnl"/>
        </w:rPr>
      </w:pPr>
      <w:r w:rsidRPr="00C371AB">
        <w:rPr>
          <w:rFonts w:ascii="Verdana" w:eastAsia="Calibri" w:hAnsi="Verdana" w:cs="Arial"/>
          <w:noProof/>
          <w:sz w:val="20"/>
          <w:szCs w:val="20"/>
          <w:lang w:val="es-ES_tradnl"/>
        </w:rPr>
        <w:t xml:space="preserve">Para identificar los bienes y servicios que corresponden a este tipo, se destacan dos (2) aspectos importantes: la común utilización y la homogeneidad. Para la doctrina, la </w:t>
      </w:r>
      <w:r w:rsidRPr="00C371AB">
        <w:rPr>
          <w:rFonts w:ascii="Verdana" w:eastAsia="Calibri" w:hAnsi="Verdana" w:cs="Arial"/>
          <w:i/>
          <w:iCs/>
          <w:noProof/>
          <w:sz w:val="20"/>
          <w:szCs w:val="20"/>
          <w:lang w:val="es-ES_tradnl"/>
        </w:rPr>
        <w:t>común utilización</w:t>
      </w:r>
      <w:r w:rsidRPr="00C371AB">
        <w:rPr>
          <w:rFonts w:ascii="Verdana" w:eastAsia="Calibri" w:hAnsi="Verdana" w:cs="Arial"/>
          <w:noProof/>
          <w:sz w:val="20"/>
          <w:szCs w:val="20"/>
          <w:lang w:val="es-ES_tradnl"/>
        </w:rPr>
        <w:t xml:space="preserve"> “[…] busca que los bienes o servicios que se compren en esta categoría sean de los que se ofrecen en un mercado con un estándar para quienes los demandan, o lo que es igual, que la oferta de los mismos en el mercado ocurriese en condiciones equivalentes para todo interesado en adquirirlos”. Por su parte, la </w:t>
      </w:r>
      <w:r w:rsidRPr="00C371AB">
        <w:rPr>
          <w:rFonts w:ascii="Verdana" w:eastAsia="Calibri" w:hAnsi="Verdana" w:cs="Arial"/>
          <w:i/>
          <w:iCs/>
          <w:noProof/>
          <w:sz w:val="20"/>
          <w:szCs w:val="20"/>
          <w:lang w:val="es-ES_tradnl"/>
        </w:rPr>
        <w:t>homogeneidad</w:t>
      </w:r>
      <w:r w:rsidRPr="00C371AB">
        <w:rPr>
          <w:rFonts w:ascii="Verdana" w:eastAsia="Calibri" w:hAnsi="Verdana" w:cs="Arial"/>
          <w:noProof/>
          <w:sz w:val="20"/>
          <w:szCs w:val="20"/>
          <w:lang w:val="es-ES_tradnl"/>
        </w:rPr>
        <w:t xml:space="preserve"> se refiere a que “[…] sean fácilmente describibles por características mínimas comunes a los de su tipo, excluyendo elementos no esenciales, tales como los de diseño o cualquier otro que no altere la funcionalidad del bien o servicio. Ello debe ser así, en la medida en la cual se busca que la administración logre que compitan bienes o servicios de igual calidad, ofrecidos por los proponentes capaces de satisfacer el requerimiento de la entidad contratante”.</w:t>
      </w:r>
    </w:p>
    <w:p w14:paraId="0394B46D" w14:textId="77777777" w:rsidR="004D0112" w:rsidRPr="00C371AB" w:rsidRDefault="004D0112" w:rsidP="004D0112">
      <w:pPr>
        <w:tabs>
          <w:tab w:val="left" w:pos="426"/>
        </w:tabs>
        <w:spacing w:after="0" w:line="240" w:lineRule="auto"/>
        <w:contextualSpacing/>
        <w:jc w:val="both"/>
        <w:rPr>
          <w:rFonts w:ascii="Verdana" w:eastAsia="Calibri" w:hAnsi="Verdana" w:cs="Arial"/>
          <w:noProof/>
          <w:sz w:val="20"/>
          <w:szCs w:val="20"/>
          <w:lang w:val="es-ES_tradnl"/>
        </w:rPr>
      </w:pPr>
    </w:p>
    <w:p w14:paraId="7ADA6FD8" w14:textId="77777777" w:rsidR="004D0112" w:rsidRDefault="004D0112" w:rsidP="004D0112">
      <w:pPr>
        <w:tabs>
          <w:tab w:val="left" w:pos="426"/>
        </w:tabs>
        <w:spacing w:after="0" w:line="240" w:lineRule="auto"/>
        <w:contextualSpacing/>
        <w:jc w:val="both"/>
        <w:rPr>
          <w:rFonts w:ascii="Verdana" w:eastAsia="Calibri" w:hAnsi="Verdana" w:cs="Arial"/>
          <w:noProof/>
          <w:sz w:val="20"/>
          <w:szCs w:val="20"/>
          <w:lang w:val="es-ES_tradnl"/>
        </w:rPr>
      </w:pPr>
      <w:r w:rsidRPr="00C371AB">
        <w:rPr>
          <w:rFonts w:ascii="Verdana" w:eastAsia="Calibri" w:hAnsi="Verdana" w:cs="Arial"/>
          <w:noProof/>
          <w:sz w:val="20"/>
          <w:szCs w:val="20"/>
          <w:lang w:val="es-ES_tradnl"/>
        </w:rPr>
        <w:t>Los elementos centrales para definir si un bien o servicio se considera de características técnicas uniformes consiste en que posea las mismas especificaciones técnicas y compartan patrones de desempeño y calidad objetivamente definidos. Por ello, es posible adquirirlos en el mercado en condiciones estandarizadas u homogéneas, con independencia de su diseño o de sus características descriptivas, pues éstas no afectan su funcionalidad. La forma cómo se adquieren en el mercado determina si un bien o servicio encaja en esta categoría, de ahí que el Decreto 1082 de 2015 disponga que “[…] pueden ser agrupados como bienes y servicios homogéneos para su adquisición […]”, dado que cuentan con especificaciones técnicas y patrones de desempeño y calidad similares</w:t>
      </w:r>
      <w:r w:rsidRPr="00782519">
        <w:rPr>
          <w:rFonts w:ascii="Verdana" w:eastAsia="Calibri" w:hAnsi="Verdana" w:cs="Arial"/>
          <w:noProof/>
          <w:sz w:val="20"/>
          <w:szCs w:val="20"/>
          <w:lang w:val="es-ES_tradnl"/>
        </w:rPr>
        <w:t xml:space="preserve">. </w:t>
      </w:r>
    </w:p>
    <w:p w14:paraId="29019ECA" w14:textId="77777777" w:rsidR="004D0112" w:rsidRPr="00396DBB" w:rsidRDefault="004D0112" w:rsidP="004D0112">
      <w:pPr>
        <w:spacing w:after="0" w:line="240" w:lineRule="auto"/>
        <w:jc w:val="both"/>
        <w:rPr>
          <w:rFonts w:ascii="Verdana" w:hAnsi="Verdana" w:cs="Arial"/>
          <w:color w:val="000000" w:themeColor="text1"/>
          <w:sz w:val="21"/>
          <w:szCs w:val="21"/>
          <w:lang w:val="es-ES_tradnl"/>
        </w:rPr>
      </w:pPr>
    </w:p>
    <w:p w14:paraId="3E3585D2" w14:textId="77777777" w:rsidR="004D0112" w:rsidRPr="00396DBB" w:rsidRDefault="004D0112" w:rsidP="004D0112">
      <w:pPr>
        <w:spacing w:after="0" w:line="240" w:lineRule="auto"/>
        <w:jc w:val="both"/>
        <w:rPr>
          <w:rFonts w:ascii="Verdana" w:eastAsia="Calibri" w:hAnsi="Verdana" w:cs="Arial"/>
          <w:b/>
          <w:color w:val="000000" w:themeColor="text1"/>
          <w:lang w:val="es-ES_tradnl"/>
        </w:rPr>
      </w:pPr>
      <w:r>
        <w:rPr>
          <w:rFonts w:ascii="Verdana" w:eastAsia="Calibri" w:hAnsi="Verdana" w:cs="Arial"/>
          <w:b/>
          <w:color w:val="000000" w:themeColor="text1"/>
          <w:lang w:val="es-ES_tradnl"/>
        </w:rPr>
        <w:lastRenderedPageBreak/>
        <w:t xml:space="preserve">SERVICIOS DE VIGILANCIA PRIVADA – </w:t>
      </w:r>
      <w:r w:rsidRPr="00CC1214">
        <w:rPr>
          <w:rFonts w:ascii="Verdana" w:eastAsia="Calibri" w:hAnsi="Verdana" w:cs="Arial"/>
          <w:b/>
          <w:color w:val="000000" w:themeColor="text1"/>
          <w:lang w:val="es-ES_tradnl"/>
        </w:rPr>
        <w:t>Licitación pública – Menor cuantía – Contratación</w:t>
      </w:r>
      <w:r>
        <w:rPr>
          <w:rFonts w:ascii="Verdana" w:eastAsia="Calibri" w:hAnsi="Verdana" w:cs="Arial"/>
          <w:b/>
          <w:color w:val="000000" w:themeColor="text1"/>
          <w:lang w:val="es-ES_tradnl"/>
        </w:rPr>
        <w:t xml:space="preserve">  </w:t>
      </w:r>
    </w:p>
    <w:p w14:paraId="265BAC59" w14:textId="77777777" w:rsidR="004D0112" w:rsidRPr="00782519" w:rsidRDefault="004D0112" w:rsidP="004D0112">
      <w:pPr>
        <w:tabs>
          <w:tab w:val="left" w:pos="426"/>
        </w:tabs>
        <w:spacing w:after="0" w:line="240" w:lineRule="auto"/>
        <w:contextualSpacing/>
        <w:jc w:val="both"/>
        <w:rPr>
          <w:rFonts w:ascii="Verdana" w:eastAsia="Calibri" w:hAnsi="Verdana" w:cs="Arial"/>
          <w:b/>
          <w:bCs/>
          <w:sz w:val="20"/>
          <w:szCs w:val="20"/>
          <w:lang w:val="es-MX"/>
        </w:rPr>
      </w:pPr>
    </w:p>
    <w:p w14:paraId="25EF8AC1" w14:textId="77777777" w:rsidR="004D0112" w:rsidRDefault="004D0112" w:rsidP="004D0112">
      <w:pPr>
        <w:tabs>
          <w:tab w:val="left" w:pos="426"/>
        </w:tabs>
        <w:spacing w:after="0" w:line="240" w:lineRule="auto"/>
        <w:contextualSpacing/>
        <w:jc w:val="both"/>
        <w:rPr>
          <w:rFonts w:ascii="Verdana" w:eastAsia="Calibri" w:hAnsi="Verdana" w:cs="Arial"/>
          <w:noProof/>
          <w:sz w:val="20"/>
          <w:szCs w:val="20"/>
          <w:lang w:val="es-ES_tradnl"/>
        </w:rPr>
      </w:pPr>
      <w:r w:rsidRPr="00CC1214">
        <w:rPr>
          <w:rFonts w:ascii="Verdana" w:eastAsia="Calibri" w:hAnsi="Verdana" w:cs="Arial"/>
          <w:noProof/>
          <w:sz w:val="20"/>
          <w:szCs w:val="20"/>
          <w:lang w:val="es-ES_tradnl"/>
        </w:rPr>
        <w:t xml:space="preserve">Respecto a los servicios de vigilancia y seguridad privada regulados por el Decreto Ley 356 de 1994, si bien nada se opone a que sean considerados como de características técnicas uniformes, la contratación de éstos a través de las modalidades antes indicadas no es funcional para garantizar la selección objetiva. Esto comoquiera que las tarifas mínimas establecidas para estos servicios en la Circular Externa de la Superintendencia de Vigilancia y Seguridad Privada </w:t>
      </w:r>
      <w:r w:rsidRPr="006C6FFD">
        <w:rPr>
          <w:rFonts w:ascii="Verdana" w:eastAsia="Calibri" w:hAnsi="Verdana" w:cs="Arial"/>
          <w:bCs/>
          <w:noProof/>
          <w:sz w:val="20"/>
          <w:szCs w:val="20"/>
        </w:rPr>
        <w:t>20241300000445 del 30 de diciembre de 2024</w:t>
      </w:r>
      <w:r w:rsidRPr="00CC1214">
        <w:rPr>
          <w:rFonts w:ascii="Verdana" w:eastAsia="Calibri" w:hAnsi="Verdana" w:cs="Arial"/>
          <w:noProof/>
          <w:sz w:val="20"/>
          <w:szCs w:val="20"/>
          <w:lang w:val="es-ES_tradnl"/>
        </w:rPr>
        <w:t xml:space="preserve"> representan una medida regulatoria que hace que los ofrecimientos para la prestación de este tipo de servicios tiendan al valor mínimo permitido por regulación tarifaria, lo que hace que las Entidades Estatales no puedan elegir la oferta más favorable con base en el menor precio ofertado, como bien podría suceder con otros bienes o servicios que no tienen un precio mínimo regulado. </w:t>
      </w:r>
    </w:p>
    <w:p w14:paraId="71AADF55" w14:textId="77777777" w:rsidR="004D0112" w:rsidRPr="00CC1214" w:rsidRDefault="004D0112" w:rsidP="004D0112">
      <w:pPr>
        <w:tabs>
          <w:tab w:val="left" w:pos="426"/>
        </w:tabs>
        <w:spacing w:after="0" w:line="240" w:lineRule="auto"/>
        <w:contextualSpacing/>
        <w:jc w:val="both"/>
        <w:rPr>
          <w:rFonts w:ascii="Verdana" w:eastAsia="Calibri" w:hAnsi="Verdana" w:cs="Arial"/>
          <w:noProof/>
          <w:sz w:val="20"/>
          <w:szCs w:val="20"/>
          <w:lang w:val="es-ES_tradnl"/>
        </w:rPr>
      </w:pPr>
      <w:r w:rsidRPr="00CC1214">
        <w:rPr>
          <w:rFonts w:ascii="Verdana" w:eastAsia="Calibri" w:hAnsi="Verdana" w:cs="Arial"/>
          <w:noProof/>
          <w:sz w:val="20"/>
          <w:szCs w:val="20"/>
          <w:lang w:val="es-ES_tradnl"/>
        </w:rPr>
        <w:t xml:space="preserve">  </w:t>
      </w:r>
    </w:p>
    <w:p w14:paraId="4346BC2F" w14:textId="77777777" w:rsidR="004D0112" w:rsidRDefault="004D0112" w:rsidP="004D0112">
      <w:pPr>
        <w:tabs>
          <w:tab w:val="left" w:pos="426"/>
        </w:tabs>
        <w:spacing w:after="0" w:line="240" w:lineRule="auto"/>
        <w:contextualSpacing/>
        <w:jc w:val="both"/>
        <w:rPr>
          <w:rFonts w:ascii="Verdana" w:eastAsia="Calibri" w:hAnsi="Verdana" w:cs="Arial"/>
          <w:noProof/>
          <w:sz w:val="20"/>
          <w:szCs w:val="20"/>
          <w:lang w:val="es-ES_tradnl"/>
        </w:rPr>
      </w:pPr>
      <w:r w:rsidRPr="00CC1214">
        <w:rPr>
          <w:rFonts w:ascii="Verdana" w:eastAsia="Calibri" w:hAnsi="Verdana" w:cs="Arial"/>
          <w:noProof/>
          <w:sz w:val="20"/>
          <w:szCs w:val="20"/>
          <w:lang w:val="es-ES_tradnl"/>
        </w:rPr>
        <w:t xml:space="preserve">En atención a esto, la modalidad de selección más adecuada para la contratación de servicios de vigilancia y seguridad privada es la licitación pública prevista en el numeral 1 del artículo 2 de la Ley 1150 de 2007 como la regla general para objetos no sujetos a alguna modalidad en específico. Esto además debido a que la licitación pública es la modalidad que brinda más garantías para la selección objetiva, ya que de acuerdo con el artículo 5, numeral 2, de la Ley 1150 de 2007, reglamentado en el artículo 2.2.1.1.2.2.2 del Decreto 1082 de 2015, en este tipo de procedimientos la oferta más favorable es aquella que represente la mejor relación calidad-precio, cuestión que debe determinarse valorando, además del precio, factores de calidad, criterios sociales y ambientales, sin perjuicio de la aplicación de puntajes adicionales y acciones afirmativas previstos en la normativa de la contratación pública. Esto además resulta coherente con lo dispuesto en el artículo 6 de la Ley 1920 de 2018, que se refiere de manera expresa a la licitación pública como una modalidad de selección aplicable para contratar los servicios servicios de vigilancia y seguridad privada, previendo además la aplicación de factores de evaluación distintos del precio. </w:t>
      </w:r>
    </w:p>
    <w:p w14:paraId="0BAE3E1B" w14:textId="77777777" w:rsidR="004D0112" w:rsidRPr="00CC1214" w:rsidRDefault="004D0112" w:rsidP="004D0112">
      <w:pPr>
        <w:tabs>
          <w:tab w:val="left" w:pos="426"/>
        </w:tabs>
        <w:spacing w:after="0" w:line="240" w:lineRule="auto"/>
        <w:contextualSpacing/>
        <w:jc w:val="both"/>
        <w:rPr>
          <w:rFonts w:ascii="Verdana" w:eastAsia="Calibri" w:hAnsi="Verdana" w:cs="Arial"/>
          <w:noProof/>
          <w:sz w:val="20"/>
          <w:szCs w:val="20"/>
          <w:lang w:val="es-ES_tradnl"/>
        </w:rPr>
      </w:pPr>
    </w:p>
    <w:p w14:paraId="36913BEB" w14:textId="77777777" w:rsidR="004D0112" w:rsidRPr="00782519" w:rsidRDefault="004D0112" w:rsidP="004D0112">
      <w:pPr>
        <w:tabs>
          <w:tab w:val="left" w:pos="426"/>
        </w:tabs>
        <w:spacing w:after="0" w:line="240" w:lineRule="auto"/>
        <w:contextualSpacing/>
        <w:jc w:val="both"/>
        <w:rPr>
          <w:rFonts w:ascii="Verdana" w:eastAsia="Calibri" w:hAnsi="Verdana" w:cs="Arial"/>
          <w:noProof/>
          <w:sz w:val="20"/>
          <w:szCs w:val="20"/>
          <w:lang w:val="es-ES_tradnl"/>
        </w:rPr>
      </w:pPr>
      <w:r w:rsidRPr="00CC1214">
        <w:rPr>
          <w:rFonts w:ascii="Verdana" w:eastAsia="Calibri" w:hAnsi="Verdana" w:cs="Arial"/>
          <w:noProof/>
          <w:sz w:val="20"/>
          <w:szCs w:val="20"/>
          <w:lang w:val="es-ES_tradnl"/>
        </w:rPr>
        <w:t xml:space="preserve">Lo anterior sin perjuicio de la aplicación de la modalidad de selección abreviada de menor cuantía cuando se requiera contratar servicios vigilancia y seguridad privada por valores que se ubiquen dentro de la menor cuantía de la respectiva Entidad Estatal, de acuerdo con los rangos establecidos en el literal b) del numeral 2 del artículo 2 de la Ley 1150 de 2007. En esta modalidad, al igual que en la licitación, la oferta más favorable se determina de acuerdo con lo establecido en el numeral 2 del artículo 5 de la Ley 1150 de 2007, esto es, en atención a la mejor relación calidad-precio. </w:t>
      </w:r>
      <w:r w:rsidRPr="009673B4">
        <w:rPr>
          <w:rFonts w:ascii="Verdana" w:eastAsia="Calibri" w:hAnsi="Verdana" w:cs="Arial"/>
          <w:noProof/>
          <w:sz w:val="20"/>
          <w:szCs w:val="20"/>
          <w:lang w:val="es-ES_tradnl"/>
        </w:rPr>
        <w:t xml:space="preserve">  </w:t>
      </w:r>
      <w:r w:rsidRPr="00782519">
        <w:rPr>
          <w:rFonts w:ascii="Verdana" w:eastAsia="Calibri" w:hAnsi="Verdana" w:cs="Arial"/>
          <w:noProof/>
          <w:sz w:val="20"/>
          <w:szCs w:val="20"/>
          <w:lang w:val="es-ES_tradnl"/>
        </w:rPr>
        <w:t xml:space="preserve"> </w:t>
      </w:r>
    </w:p>
    <w:p w14:paraId="7CB4835B" w14:textId="77777777" w:rsidR="004D0112" w:rsidRPr="005145C2" w:rsidRDefault="004D0112" w:rsidP="004D0112">
      <w:pPr>
        <w:spacing w:after="0" w:line="240" w:lineRule="auto"/>
        <w:rPr>
          <w:rFonts w:ascii="Verdana" w:eastAsia="Geomanist Light" w:hAnsi="Verdana" w:cs="Arial"/>
          <w:color w:val="000000" w:themeColor="text1"/>
          <w:lang w:val="es-ES_tradnl"/>
        </w:rPr>
      </w:pPr>
    </w:p>
    <w:p w14:paraId="342023DC" w14:textId="77777777" w:rsidR="004D0112" w:rsidRDefault="004D0112" w:rsidP="004D0112">
      <w:pPr>
        <w:spacing w:after="0" w:line="240" w:lineRule="auto"/>
        <w:rPr>
          <w:rFonts w:ascii="Verdana" w:eastAsia="Geomanist Light" w:hAnsi="Verdana" w:cs="Arial"/>
          <w:color w:val="000000" w:themeColor="text1"/>
          <w:lang w:val="es-MX"/>
        </w:rPr>
      </w:pPr>
    </w:p>
    <w:p w14:paraId="500C74AE" w14:textId="77777777" w:rsidR="004D0112" w:rsidRDefault="004D0112" w:rsidP="004D0112">
      <w:pPr>
        <w:spacing w:after="0" w:line="240" w:lineRule="auto"/>
        <w:rPr>
          <w:rFonts w:ascii="Verdana" w:eastAsia="Geomanist Light" w:hAnsi="Verdana" w:cs="Arial"/>
          <w:color w:val="000000" w:themeColor="text1"/>
          <w:lang w:val="es-MX"/>
        </w:rPr>
      </w:pPr>
    </w:p>
    <w:p w14:paraId="08E5152D" w14:textId="77777777" w:rsidR="004D0112" w:rsidRDefault="004D0112" w:rsidP="004D0112">
      <w:pPr>
        <w:spacing w:after="0" w:line="240" w:lineRule="auto"/>
        <w:rPr>
          <w:rFonts w:ascii="Verdana" w:eastAsia="Geomanist Light" w:hAnsi="Verdana" w:cs="Arial"/>
          <w:color w:val="000000" w:themeColor="text1"/>
          <w:lang w:val="es-MX"/>
        </w:rPr>
      </w:pPr>
    </w:p>
    <w:p w14:paraId="576A0A48" w14:textId="77777777" w:rsidR="004D0112" w:rsidRDefault="004D0112" w:rsidP="004D0112">
      <w:pPr>
        <w:spacing w:after="0" w:line="240" w:lineRule="auto"/>
        <w:rPr>
          <w:rFonts w:ascii="Verdana" w:eastAsia="Geomanist Light" w:hAnsi="Verdana" w:cs="Arial"/>
          <w:color w:val="000000" w:themeColor="text1"/>
          <w:lang w:val="es-MX"/>
        </w:rPr>
      </w:pPr>
    </w:p>
    <w:p w14:paraId="1A194912" w14:textId="77777777" w:rsidR="004D0112" w:rsidRDefault="004D0112" w:rsidP="004D0112">
      <w:pPr>
        <w:spacing w:after="0" w:line="240" w:lineRule="auto"/>
        <w:rPr>
          <w:rFonts w:ascii="Verdana" w:eastAsia="Geomanist Light" w:hAnsi="Verdana" w:cs="Arial"/>
          <w:color w:val="000000" w:themeColor="text1"/>
          <w:lang w:val="es-MX"/>
        </w:rPr>
      </w:pPr>
    </w:p>
    <w:p w14:paraId="5714F401" w14:textId="77777777" w:rsidR="004D0112" w:rsidRDefault="004D0112" w:rsidP="004D0112">
      <w:pPr>
        <w:spacing w:after="0" w:line="240" w:lineRule="auto"/>
        <w:rPr>
          <w:rFonts w:ascii="Verdana" w:eastAsia="Geomanist Light" w:hAnsi="Verdana" w:cs="Arial"/>
          <w:color w:val="000000" w:themeColor="text1"/>
          <w:lang w:val="es-MX"/>
        </w:rPr>
      </w:pPr>
    </w:p>
    <w:p w14:paraId="6947E3B3" w14:textId="77777777" w:rsidR="004D0112" w:rsidRDefault="004D0112" w:rsidP="002E4E68">
      <w:pPr>
        <w:spacing w:after="0" w:line="240" w:lineRule="auto"/>
        <w:rPr>
          <w:rFonts w:ascii="Verdana" w:eastAsia="Geomanist Light" w:hAnsi="Verdana" w:cs="Arial"/>
          <w:color w:val="000000" w:themeColor="text1"/>
          <w:lang w:val="es-MX"/>
        </w:rPr>
      </w:pPr>
    </w:p>
    <w:p w14:paraId="31ACEE6B" w14:textId="701ED114" w:rsidR="0092434F" w:rsidRPr="002E4E68" w:rsidRDefault="0092434F" w:rsidP="002E4E68">
      <w:pPr>
        <w:spacing w:after="0" w:line="240" w:lineRule="auto"/>
        <w:rPr>
          <w:rFonts w:ascii="Verdana" w:eastAsia="Geomanist Light" w:hAnsi="Verdana" w:cs="Arial"/>
          <w:color w:val="201F1E"/>
          <w:lang w:val="es-MX"/>
        </w:rPr>
      </w:pPr>
      <w:r w:rsidRPr="002E4E68">
        <w:rPr>
          <w:rFonts w:ascii="Verdana" w:eastAsia="Geomanist Light" w:hAnsi="Verdana" w:cs="Arial"/>
          <w:color w:val="000000" w:themeColor="text1"/>
          <w:lang w:val="es-MX"/>
        </w:rPr>
        <w:lastRenderedPageBreak/>
        <w:t>Bogotá D.C., </w:t>
      </w:r>
      <w:r w:rsidR="00A555BD" w:rsidRPr="00A555BD">
        <w:rPr>
          <w:rFonts w:ascii="Verdana" w:eastAsia="Geomanist Light" w:hAnsi="Verdana" w:cs="Arial"/>
          <w:color w:val="000000" w:themeColor="text1"/>
          <w:lang w:val="es-MX"/>
        </w:rPr>
        <w:t>17 de Septiembre de 2025</w:t>
      </w:r>
    </w:p>
    <w:p w14:paraId="52435FFA" w14:textId="77777777" w:rsidR="0092434F" w:rsidRPr="002E4E68" w:rsidRDefault="0092434F" w:rsidP="002E4E68">
      <w:pPr>
        <w:spacing w:after="0" w:line="240" w:lineRule="auto"/>
        <w:jc w:val="both"/>
        <w:rPr>
          <w:rFonts w:ascii="Verdana" w:eastAsia="Calibri" w:hAnsi="Verdana" w:cs="Arial"/>
          <w:color w:val="000000"/>
          <w:lang w:val="es-ES"/>
        </w:rPr>
      </w:pPr>
    </w:p>
    <w:p w14:paraId="7DC5E33E" w14:textId="25083B23" w:rsidR="0092434F" w:rsidRDefault="00A555BD" w:rsidP="00A555BD">
      <w:pPr>
        <w:spacing w:after="0" w:line="240" w:lineRule="auto"/>
        <w:jc w:val="right"/>
        <w:rPr>
          <w:rFonts w:ascii="Verdana" w:eastAsia="Calibri" w:hAnsi="Verdana" w:cs="Arial"/>
          <w:color w:val="000000"/>
          <w:lang w:val="es-ES"/>
        </w:rPr>
      </w:pPr>
      <w:r w:rsidRPr="00A555BD">
        <w:rPr>
          <w:rFonts w:ascii="Verdana" w:eastAsia="Calibri" w:hAnsi="Verdana" w:cs="Arial"/>
          <w:noProof/>
          <w:color w:val="000000"/>
          <w:lang w:val="es-ES"/>
        </w:rPr>
        <w:drawing>
          <wp:inline distT="0" distB="0" distL="0" distR="0" wp14:anchorId="47D18036" wp14:editId="4B3070EE">
            <wp:extent cx="2400300" cy="622300"/>
            <wp:effectExtent l="0" t="0" r="0" b="0"/>
            <wp:docPr id="699072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72913" name=""/>
                    <pic:cNvPicPr/>
                  </pic:nvPicPr>
                  <pic:blipFill>
                    <a:blip r:embed="rId10"/>
                    <a:stretch>
                      <a:fillRect/>
                    </a:stretch>
                  </pic:blipFill>
                  <pic:spPr>
                    <a:xfrm>
                      <a:off x="0" y="0"/>
                      <a:ext cx="2400300" cy="622300"/>
                    </a:xfrm>
                    <a:prstGeom prst="rect">
                      <a:avLst/>
                    </a:prstGeom>
                  </pic:spPr>
                </pic:pic>
              </a:graphicData>
            </a:graphic>
          </wp:inline>
        </w:drawing>
      </w:r>
    </w:p>
    <w:p w14:paraId="0F47482A" w14:textId="77777777" w:rsidR="00A555BD" w:rsidRPr="002E4E68" w:rsidRDefault="00A555BD" w:rsidP="002E4E68">
      <w:pPr>
        <w:spacing w:after="0" w:line="240" w:lineRule="auto"/>
        <w:jc w:val="both"/>
        <w:rPr>
          <w:rFonts w:ascii="Verdana" w:eastAsia="Calibri" w:hAnsi="Verdana" w:cs="Arial"/>
          <w:color w:val="000000"/>
          <w:lang w:val="es-ES"/>
        </w:rPr>
      </w:pPr>
    </w:p>
    <w:p w14:paraId="2BABB12B" w14:textId="77777777" w:rsidR="0092434F" w:rsidRPr="002E4E68" w:rsidRDefault="0092434F" w:rsidP="002E4E68">
      <w:pPr>
        <w:spacing w:after="0" w:line="240" w:lineRule="auto"/>
        <w:jc w:val="both"/>
        <w:rPr>
          <w:rFonts w:ascii="Verdana" w:eastAsia="Calibri" w:hAnsi="Verdana" w:cs="Arial"/>
          <w:lang w:val="es-ES" w:eastAsia="es-ES"/>
        </w:rPr>
      </w:pPr>
      <w:r w:rsidRPr="002E4E68">
        <w:rPr>
          <w:rFonts w:ascii="Verdana" w:eastAsia="Calibri" w:hAnsi="Verdana" w:cs="Arial"/>
          <w:lang w:val="es-ES" w:eastAsia="es-ES"/>
        </w:rPr>
        <w:t>Señor</w:t>
      </w:r>
    </w:p>
    <w:p w14:paraId="6B4E176B" w14:textId="33C5FC30" w:rsidR="0092434F" w:rsidRPr="002E4E68" w:rsidRDefault="007B5DD2" w:rsidP="002E4E68">
      <w:pPr>
        <w:spacing w:after="0" w:line="240" w:lineRule="auto"/>
        <w:rPr>
          <w:rFonts w:ascii="Verdana" w:eastAsia="Calibri" w:hAnsi="Verdana" w:cs="Arial"/>
          <w:lang w:val="es-ES" w:eastAsia="es-ES"/>
        </w:rPr>
      </w:pPr>
      <w:r>
        <w:rPr>
          <w:rFonts w:ascii="Verdana" w:eastAsia="Calibri" w:hAnsi="Verdana" w:cs="Arial"/>
          <w:b/>
          <w:bCs/>
          <w:lang w:val="es-ES" w:eastAsia="es-ES"/>
        </w:rPr>
        <w:t>XXXX</w:t>
      </w:r>
    </w:p>
    <w:p w14:paraId="2DE56101" w14:textId="77777777" w:rsidR="0092434F" w:rsidRPr="002E4E68" w:rsidRDefault="0092434F" w:rsidP="002E4E68">
      <w:pPr>
        <w:spacing w:after="0" w:line="240" w:lineRule="auto"/>
        <w:rPr>
          <w:rFonts w:ascii="Verdana" w:eastAsia="Calibri" w:hAnsi="Verdana" w:cs="Arial"/>
          <w:b/>
          <w:bCs/>
          <w:color w:val="000000"/>
          <w:lang w:val="es-ES_tradnl" w:eastAsia="es-ES_tradnl"/>
        </w:rPr>
      </w:pPr>
    </w:p>
    <w:p w14:paraId="53C723E0" w14:textId="77777777" w:rsidR="0092434F" w:rsidRPr="002E4E68" w:rsidRDefault="0092434F" w:rsidP="002E4E68">
      <w:pPr>
        <w:spacing w:after="0" w:line="240" w:lineRule="auto"/>
        <w:rPr>
          <w:rFonts w:ascii="Verdana" w:eastAsia="Calibri" w:hAnsi="Verdana" w:cs="Arial"/>
          <w:b/>
          <w:bCs/>
          <w:color w:val="000000"/>
          <w:lang w:val="es-ES_tradnl" w:eastAsia="es-ES_tradnl"/>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100"/>
      </w:tblGrid>
      <w:tr w:rsidR="0092434F" w:rsidRPr="002E4E68" w14:paraId="27FC2915" w14:textId="77777777" w:rsidTr="00ED121F">
        <w:trPr>
          <w:trHeight w:val="222"/>
        </w:trPr>
        <w:tc>
          <w:tcPr>
            <w:tcW w:w="2689" w:type="dxa"/>
          </w:tcPr>
          <w:p w14:paraId="19B83147" w14:textId="77777777" w:rsidR="0092434F" w:rsidRPr="002E4E68" w:rsidRDefault="0092434F" w:rsidP="002E4E68">
            <w:pPr>
              <w:jc w:val="both"/>
              <w:rPr>
                <w:rFonts w:ascii="Verdana" w:eastAsia="Calibri" w:hAnsi="Verdana" w:cs="Arial"/>
                <w:b/>
                <w:bCs/>
                <w:color w:val="7030A0"/>
                <w:lang w:val="es-ES_tradnl" w:eastAsia="es-ES_tradnl"/>
              </w:rPr>
            </w:pPr>
          </w:p>
        </w:tc>
        <w:tc>
          <w:tcPr>
            <w:tcW w:w="6100" w:type="dxa"/>
          </w:tcPr>
          <w:p w14:paraId="4CD71409" w14:textId="2E91A56D" w:rsidR="0092434F" w:rsidRPr="00663A44" w:rsidRDefault="0092434F" w:rsidP="002E4E68">
            <w:pPr>
              <w:jc w:val="both"/>
              <w:rPr>
                <w:rFonts w:ascii="Verdana" w:eastAsia="Calibri" w:hAnsi="Verdana" w:cs="Arial"/>
                <w:b/>
                <w:bCs/>
                <w:lang w:val="es-ES" w:eastAsia="es-ES"/>
              </w:rPr>
            </w:pPr>
            <w:r w:rsidRPr="0020273C">
              <w:rPr>
                <w:rFonts w:ascii="Verdana" w:eastAsia="Calibri" w:hAnsi="Verdana" w:cs="Arial"/>
                <w:b/>
                <w:bCs/>
                <w:lang w:val="es-ES" w:eastAsia="es-ES"/>
              </w:rPr>
              <w:t xml:space="preserve">Concepto C – </w:t>
            </w:r>
            <w:r w:rsidR="00F62C03" w:rsidRPr="00C615EC">
              <w:rPr>
                <w:rFonts w:ascii="Verdana" w:eastAsia="Calibri" w:hAnsi="Verdana" w:cs="Arial"/>
                <w:b/>
                <w:bCs/>
                <w:lang w:val="es-ES" w:eastAsia="es-ES"/>
              </w:rPr>
              <w:t>1089</w:t>
            </w:r>
            <w:r w:rsidR="00F62C03" w:rsidRPr="0020273C">
              <w:rPr>
                <w:rFonts w:ascii="Verdana" w:eastAsia="Calibri" w:hAnsi="Verdana" w:cs="Arial"/>
                <w:b/>
                <w:bCs/>
                <w:lang w:val="es-ES" w:eastAsia="es-ES"/>
              </w:rPr>
              <w:t xml:space="preserve"> </w:t>
            </w:r>
            <w:r w:rsidRPr="0020273C">
              <w:rPr>
                <w:rFonts w:ascii="Verdana" w:eastAsia="Calibri" w:hAnsi="Verdana" w:cs="Arial"/>
                <w:b/>
                <w:bCs/>
                <w:lang w:val="es-ES" w:eastAsia="es-ES"/>
              </w:rPr>
              <w:t>de 2025</w:t>
            </w:r>
          </w:p>
          <w:p w14:paraId="4A472FA8" w14:textId="77777777" w:rsidR="002E4E68" w:rsidRPr="0020273C" w:rsidRDefault="002E4E68" w:rsidP="002E4E68">
            <w:pPr>
              <w:jc w:val="both"/>
              <w:rPr>
                <w:rFonts w:ascii="Verdana" w:eastAsia="Calibri" w:hAnsi="Verdana" w:cs="Arial"/>
                <w:b/>
                <w:bCs/>
                <w:color w:val="7030A0"/>
                <w:lang w:val="es-ES" w:eastAsia="es-ES"/>
              </w:rPr>
            </w:pPr>
          </w:p>
        </w:tc>
      </w:tr>
      <w:tr w:rsidR="0092434F" w:rsidRPr="002E4E68" w14:paraId="0878EEBE" w14:textId="77777777" w:rsidTr="00441EAC">
        <w:trPr>
          <w:trHeight w:val="884"/>
        </w:trPr>
        <w:tc>
          <w:tcPr>
            <w:tcW w:w="2689" w:type="dxa"/>
          </w:tcPr>
          <w:p w14:paraId="0FC0D76F" w14:textId="77777777" w:rsidR="0092434F" w:rsidRPr="002E4E68" w:rsidRDefault="0092434F" w:rsidP="002E4E68">
            <w:pPr>
              <w:jc w:val="both"/>
              <w:rPr>
                <w:rFonts w:ascii="Verdana" w:eastAsia="Calibri" w:hAnsi="Verdana" w:cs="Arial"/>
                <w:color w:val="000000"/>
                <w:lang w:val="es-ES_tradnl" w:eastAsia="es-ES_tradnl"/>
              </w:rPr>
            </w:pPr>
            <w:r w:rsidRPr="002E4E68">
              <w:rPr>
                <w:rFonts w:ascii="Verdana" w:eastAsia="Calibri" w:hAnsi="Verdana" w:cs="Arial"/>
                <w:b/>
                <w:color w:val="000000"/>
                <w:lang w:val="es-ES_tradnl" w:eastAsia="es-ES_tradnl"/>
              </w:rPr>
              <w:t>Temas:</w:t>
            </w:r>
            <w:r w:rsidRPr="002E4E68">
              <w:rPr>
                <w:rFonts w:ascii="Verdana" w:eastAsia="Calibri" w:hAnsi="Verdana" w:cs="Arial"/>
                <w:color w:val="000000"/>
                <w:lang w:val="es-ES_tradnl" w:eastAsia="es-ES_tradnl"/>
              </w:rPr>
              <w:t xml:space="preserve">                   </w:t>
            </w:r>
          </w:p>
        </w:tc>
        <w:tc>
          <w:tcPr>
            <w:tcW w:w="6100" w:type="dxa"/>
          </w:tcPr>
          <w:p w14:paraId="741577C4" w14:textId="77777777" w:rsidR="0092434F" w:rsidRPr="0020273C" w:rsidRDefault="0092434F" w:rsidP="005A3914">
            <w:pPr>
              <w:jc w:val="both"/>
              <w:rPr>
                <w:rFonts w:ascii="Verdana" w:eastAsia="Calibri" w:hAnsi="Verdana" w:cs="Arial"/>
                <w:lang w:val="es-ES" w:eastAsia="es-ES"/>
              </w:rPr>
            </w:pPr>
            <w:r w:rsidRPr="0020273C">
              <w:rPr>
                <w:rFonts w:ascii="Verdana" w:eastAsia="Calibri" w:hAnsi="Verdana" w:cs="Arial"/>
                <w:lang w:val="es-ES" w:eastAsia="es-ES"/>
              </w:rPr>
              <w:t xml:space="preserve">CONCEPTOS DE COLOMBIA COMPRA EFICIENTE – Obligatoriedad / FUNCIÓN CONSULTIVA – Alcance / CONCEPTOS DE COLOMBIA COMPRA EFICIENTE – Revocación directa – Improcedencia / FUNCIÓN CONSULTIVA – Objeto / SELECCIÓN ABREVIADA – Marco normativo / BIENES Y SERVICIOS DE CARACTERÍSTICAS TÉCNICAS UNIFORMES – Definición / BIENES Y SERVICIOS DE CARACTERÍSTICAS TÉCNICAS UNIFORMES ‒ Características – Formas de adquisición / SERVICIOS DE VIGILANCIA PRIVADA – Licitación pública – Menor cuantía – Contratación                     </w:t>
            </w:r>
          </w:p>
          <w:p w14:paraId="76A08E1D" w14:textId="77777777" w:rsidR="0092434F" w:rsidRPr="0020273C" w:rsidRDefault="0092434F" w:rsidP="005A3914">
            <w:pPr>
              <w:jc w:val="both"/>
              <w:rPr>
                <w:rFonts w:ascii="Verdana" w:eastAsia="Calibri" w:hAnsi="Verdana" w:cs="Arial"/>
                <w:lang w:val="es-ES" w:eastAsia="es-ES"/>
              </w:rPr>
            </w:pPr>
            <w:r w:rsidRPr="0020273C">
              <w:rPr>
                <w:rFonts w:ascii="Verdana" w:eastAsia="Calibri" w:hAnsi="Verdana" w:cs="Arial"/>
                <w:lang w:val="es-ES" w:eastAsia="es-ES"/>
              </w:rPr>
              <w:t xml:space="preserve">  </w:t>
            </w:r>
          </w:p>
        </w:tc>
      </w:tr>
      <w:tr w:rsidR="0092434F" w:rsidRPr="002E4E68" w14:paraId="0B1AF730" w14:textId="77777777" w:rsidTr="00441EAC">
        <w:tc>
          <w:tcPr>
            <w:tcW w:w="2689" w:type="dxa"/>
          </w:tcPr>
          <w:p w14:paraId="226B9A69" w14:textId="77777777" w:rsidR="0092434F" w:rsidRPr="002E4E68" w:rsidRDefault="0092434F" w:rsidP="002E4E68">
            <w:pPr>
              <w:jc w:val="both"/>
              <w:rPr>
                <w:rFonts w:ascii="Verdana" w:eastAsia="Calibri" w:hAnsi="Verdana" w:cs="Arial"/>
                <w:b/>
                <w:lang w:val="es-ES_tradnl" w:eastAsia="es-ES_tradnl"/>
              </w:rPr>
            </w:pPr>
            <w:r w:rsidRPr="002E4E68">
              <w:rPr>
                <w:rFonts w:ascii="Verdana" w:eastAsia="Calibri" w:hAnsi="Verdana" w:cs="Arial"/>
                <w:b/>
                <w:lang w:val="es-ES_tradnl" w:eastAsia="es-ES_tradnl"/>
              </w:rPr>
              <w:t>Radicación:</w:t>
            </w:r>
            <w:r w:rsidRPr="002E4E68">
              <w:rPr>
                <w:rFonts w:ascii="Verdana" w:eastAsia="Calibri" w:hAnsi="Verdana" w:cs="Arial"/>
                <w:lang w:val="es-ES_tradnl" w:eastAsia="es-ES_tradnl"/>
              </w:rPr>
              <w:t xml:space="preserve">               </w:t>
            </w:r>
          </w:p>
        </w:tc>
        <w:tc>
          <w:tcPr>
            <w:tcW w:w="6100" w:type="dxa"/>
          </w:tcPr>
          <w:p w14:paraId="150F6824" w14:textId="77777777" w:rsidR="0092434F" w:rsidRPr="0020273C" w:rsidRDefault="0092434F" w:rsidP="005A3914">
            <w:pPr>
              <w:jc w:val="both"/>
              <w:rPr>
                <w:rFonts w:ascii="Verdana" w:eastAsia="Calibri" w:hAnsi="Verdana" w:cs="Arial"/>
                <w:lang w:eastAsia="es-ES_tradnl"/>
              </w:rPr>
            </w:pPr>
            <w:r w:rsidRPr="0020273C">
              <w:rPr>
                <w:rFonts w:ascii="Verdana" w:eastAsia="Calibri" w:hAnsi="Verdana" w:cs="Arial"/>
                <w:lang w:val="es-ES_tradnl" w:eastAsia="es-ES_tradnl"/>
              </w:rPr>
              <w:t xml:space="preserve">Respuesta a la consulta con radicado No. 1_2025_08_06_008209                                     </w:t>
            </w:r>
          </w:p>
        </w:tc>
      </w:tr>
    </w:tbl>
    <w:p w14:paraId="24899234" w14:textId="77777777" w:rsidR="0092434F" w:rsidRPr="002E4E68" w:rsidRDefault="0092434F" w:rsidP="002E4E68">
      <w:pPr>
        <w:spacing w:after="0" w:line="240" w:lineRule="auto"/>
        <w:jc w:val="both"/>
        <w:rPr>
          <w:rFonts w:ascii="Verdana" w:eastAsia="Calibri" w:hAnsi="Verdana" w:cs="Arial"/>
          <w:color w:val="000000"/>
          <w:lang w:val="es-ES_tradnl" w:eastAsia="es-ES_tradnl"/>
        </w:rPr>
      </w:pPr>
    </w:p>
    <w:p w14:paraId="4CBA9D59" w14:textId="77777777" w:rsidR="0092434F" w:rsidRPr="002E4E68" w:rsidRDefault="0092434F" w:rsidP="002E4E68">
      <w:pPr>
        <w:spacing w:after="0" w:line="240" w:lineRule="auto"/>
        <w:jc w:val="both"/>
        <w:rPr>
          <w:rFonts w:ascii="Verdana" w:eastAsia="Calibri" w:hAnsi="Verdana" w:cs="Arial"/>
          <w:color w:val="000000"/>
          <w:lang w:val="es-ES_tradnl" w:eastAsia="es-ES_tradnl"/>
        </w:rPr>
      </w:pPr>
    </w:p>
    <w:p w14:paraId="2E332B9C" w14:textId="77777777" w:rsidR="0092434F" w:rsidRPr="008E6AD9" w:rsidRDefault="0092434F" w:rsidP="0092434F">
      <w:pPr>
        <w:spacing w:after="0" w:line="276" w:lineRule="auto"/>
        <w:jc w:val="both"/>
        <w:rPr>
          <w:rFonts w:ascii="Verdana" w:eastAsia="Calibri" w:hAnsi="Verdana" w:cs="Arial"/>
          <w:lang w:val="es-ES" w:eastAsia="es-ES"/>
        </w:rPr>
      </w:pPr>
      <w:r w:rsidRPr="008E6AD9">
        <w:rPr>
          <w:rFonts w:ascii="Verdana" w:eastAsia="Calibri" w:hAnsi="Verdana" w:cs="Arial"/>
          <w:lang w:val="es-ES" w:eastAsia="es-ES"/>
        </w:rPr>
        <w:t>Estimad</w:t>
      </w:r>
      <w:r>
        <w:rPr>
          <w:rFonts w:ascii="Verdana" w:eastAsia="Calibri" w:hAnsi="Verdana" w:cs="Arial"/>
          <w:lang w:val="es-ES" w:eastAsia="es-ES"/>
        </w:rPr>
        <w:t>o</w:t>
      </w:r>
      <w:r w:rsidRPr="008E6AD9">
        <w:rPr>
          <w:rFonts w:ascii="Verdana" w:eastAsia="Calibri" w:hAnsi="Verdana" w:cs="Arial"/>
          <w:lang w:val="es-ES" w:eastAsia="es-ES"/>
        </w:rPr>
        <w:t xml:space="preserve"> </w:t>
      </w:r>
      <w:r>
        <w:rPr>
          <w:rFonts w:ascii="Verdana" w:eastAsia="Calibri" w:hAnsi="Verdana" w:cs="Arial"/>
          <w:lang w:val="es-ES" w:eastAsia="es-ES"/>
        </w:rPr>
        <w:t xml:space="preserve">señor </w:t>
      </w:r>
      <w:r w:rsidRPr="00B828F6">
        <w:rPr>
          <w:rFonts w:ascii="Verdana" w:eastAsia="Calibri" w:hAnsi="Verdana" w:cs="Arial"/>
          <w:lang w:val="es-ES" w:eastAsia="es-ES"/>
        </w:rPr>
        <w:t>Balaguera Valiente</w:t>
      </w:r>
      <w:r w:rsidRPr="008E6AD9">
        <w:rPr>
          <w:rFonts w:ascii="Verdana" w:eastAsia="Calibri" w:hAnsi="Verdana" w:cs="Arial"/>
          <w:lang w:val="es-ES" w:eastAsia="es-ES"/>
        </w:rPr>
        <w:t xml:space="preserve">: </w:t>
      </w:r>
    </w:p>
    <w:p w14:paraId="7C1CD610" w14:textId="77777777" w:rsidR="0092434F" w:rsidRDefault="0092434F" w:rsidP="0092434F">
      <w:pPr>
        <w:tabs>
          <w:tab w:val="left" w:pos="3768"/>
        </w:tabs>
        <w:spacing w:after="0" w:line="276" w:lineRule="auto"/>
        <w:jc w:val="both"/>
        <w:rPr>
          <w:rFonts w:ascii="Verdana" w:eastAsia="Calibri" w:hAnsi="Verdana" w:cs="Arial"/>
          <w:color w:val="000000" w:themeColor="text1"/>
          <w:lang w:val="es-ES" w:eastAsia="es-ES"/>
        </w:rPr>
      </w:pPr>
      <w:r>
        <w:rPr>
          <w:rFonts w:ascii="Verdana" w:eastAsia="Calibri" w:hAnsi="Verdana" w:cs="Arial"/>
          <w:color w:val="000000" w:themeColor="text1"/>
          <w:lang w:val="es-ES" w:eastAsia="es-ES"/>
        </w:rPr>
        <w:tab/>
      </w:r>
    </w:p>
    <w:p w14:paraId="794D0E35" w14:textId="77777777" w:rsidR="0092434F" w:rsidRPr="00593A5F" w:rsidRDefault="0092434F" w:rsidP="0092434F">
      <w:pPr>
        <w:spacing w:after="0" w:line="276" w:lineRule="auto"/>
        <w:jc w:val="both"/>
        <w:rPr>
          <w:rFonts w:ascii="Verdana" w:eastAsia="Calibri" w:hAnsi="Verdana" w:cs="Arial"/>
          <w:color w:val="7030A0"/>
          <w:lang w:val="es-ES" w:eastAsia="es-ES"/>
        </w:rPr>
      </w:pPr>
      <w:r w:rsidRPr="00593A5F">
        <w:rPr>
          <w:rFonts w:ascii="Verdana" w:eastAsia="Calibri" w:hAnsi="Verdana" w:cs="Arial"/>
          <w:color w:val="000000" w:themeColor="text1"/>
          <w:lang w:val="es-ES" w:eastAsia="es-ES"/>
        </w:rPr>
        <w:t>En ejercicio de la competencia otorgada por los artículos 3, numeral 5º, y 11, numeral 8º, del Decreto Ley 4170 de 2011,</w:t>
      </w:r>
      <w:r w:rsidRPr="00593A5F">
        <w:rPr>
          <w:rFonts w:ascii="Verdana" w:eastAsia="Arial MT" w:hAnsi="Verdana" w:cs="Arial MT"/>
          <w:lang w:val="es-ES" w:eastAsia="es-ES"/>
        </w:rPr>
        <w:t xml:space="preserve"> </w:t>
      </w:r>
      <w:r w:rsidRPr="00593A5F">
        <w:rPr>
          <w:rFonts w:ascii="Verdana" w:hAnsi="Verdana" w:cs="Arial"/>
        </w:rPr>
        <w:t xml:space="preserve">así como lo establecido en </w:t>
      </w:r>
      <w:r>
        <w:rPr>
          <w:rFonts w:ascii="Verdana" w:hAnsi="Verdana" w:cs="Arial"/>
        </w:rPr>
        <w:t xml:space="preserve">el artículo 4 de </w:t>
      </w:r>
      <w:r w:rsidRPr="00593A5F">
        <w:rPr>
          <w:rFonts w:ascii="Verdana" w:hAnsi="Verdana" w:cs="Arial"/>
        </w:rPr>
        <w:t xml:space="preserve">la Resolución 1707 de 2018 expedida por esta Entidad, </w:t>
      </w:r>
      <w:r w:rsidRPr="00593A5F">
        <w:rPr>
          <w:rFonts w:ascii="Verdana" w:eastAsia="Calibri" w:hAnsi="Verdana" w:cs="Arial"/>
          <w:color w:val="000000" w:themeColor="text1"/>
          <w:lang w:val="es-ES" w:eastAsia="es-ES"/>
        </w:rPr>
        <w:t>la Agencia Nacional de Contratación Pública – Colombia Compra Eficiente responde su solicitud de</w:t>
      </w:r>
      <w:r>
        <w:rPr>
          <w:rFonts w:ascii="Verdana" w:eastAsia="Calibri" w:hAnsi="Verdana" w:cs="Arial"/>
          <w:color w:val="000000" w:themeColor="text1"/>
          <w:lang w:val="es-ES" w:eastAsia="es-ES"/>
        </w:rPr>
        <w:t xml:space="preserve"> consulta de </w:t>
      </w:r>
      <w:r w:rsidRPr="008E6AD9">
        <w:rPr>
          <w:rFonts w:ascii="Verdana" w:eastAsia="Calibri" w:hAnsi="Verdana" w:cs="Arial"/>
          <w:lang w:val="es-ES" w:eastAsia="es-ES"/>
        </w:rPr>
        <w:t>fecha</w:t>
      </w:r>
      <w:r>
        <w:rPr>
          <w:rFonts w:ascii="Verdana" w:eastAsia="Calibri" w:hAnsi="Verdana" w:cs="Arial"/>
          <w:lang w:val="es-ES" w:eastAsia="es-ES"/>
        </w:rPr>
        <w:t xml:space="preserve"> 6 de agosto de 2025</w:t>
      </w:r>
      <w:r w:rsidRPr="008E6AD9">
        <w:rPr>
          <w:rFonts w:ascii="Verdana" w:eastAsia="Calibri" w:hAnsi="Verdana" w:cs="Arial"/>
          <w:lang w:val="es-ES" w:eastAsia="es-ES"/>
        </w:rPr>
        <w:t>,</w:t>
      </w:r>
      <w:r>
        <w:rPr>
          <w:rFonts w:ascii="Verdana" w:eastAsia="Calibri" w:hAnsi="Verdana" w:cs="Arial"/>
          <w:lang w:val="es-ES" w:eastAsia="es-ES"/>
        </w:rPr>
        <w:t xml:space="preserve"> </w:t>
      </w:r>
      <w:r w:rsidRPr="008E6AD9">
        <w:rPr>
          <w:rFonts w:ascii="Verdana" w:eastAsia="Calibri" w:hAnsi="Verdana" w:cs="Arial"/>
          <w:lang w:val="es-ES" w:eastAsia="es-ES"/>
        </w:rPr>
        <w:t>en la cua</w:t>
      </w:r>
      <w:r>
        <w:rPr>
          <w:rFonts w:ascii="Verdana" w:eastAsia="Calibri" w:hAnsi="Verdana" w:cs="Arial"/>
          <w:lang w:val="es-ES" w:eastAsia="es-ES"/>
        </w:rPr>
        <w:t>l</w:t>
      </w:r>
      <w:r w:rsidRPr="008E6AD9">
        <w:rPr>
          <w:rFonts w:ascii="Verdana" w:eastAsia="Calibri" w:hAnsi="Verdana" w:cs="Arial"/>
          <w:lang w:val="es-ES" w:eastAsia="es-ES"/>
        </w:rPr>
        <w:t xml:space="preserve">: </w:t>
      </w:r>
    </w:p>
    <w:p w14:paraId="1C2704C3" w14:textId="77777777" w:rsidR="0092434F" w:rsidRPr="00272A7B" w:rsidRDefault="0092434F" w:rsidP="0092434F">
      <w:pPr>
        <w:pStyle w:val="ListParagraph"/>
        <w:tabs>
          <w:tab w:val="left" w:pos="142"/>
          <w:tab w:val="left" w:pos="284"/>
        </w:tabs>
        <w:spacing w:after="0" w:line="276" w:lineRule="auto"/>
        <w:ind w:left="0"/>
        <w:jc w:val="both"/>
        <w:rPr>
          <w:rFonts w:ascii="Verdana" w:eastAsia="Century Gothic" w:hAnsi="Verdana" w:cs="Century Gothic"/>
          <w:b/>
          <w:bCs/>
        </w:rPr>
      </w:pPr>
    </w:p>
    <w:p w14:paraId="1FEE69E9" w14:textId="77777777" w:rsidR="0092434F" w:rsidRPr="005A3914" w:rsidRDefault="0092434F" w:rsidP="0092434F">
      <w:pPr>
        <w:spacing w:after="0" w:line="240" w:lineRule="auto"/>
        <w:ind w:left="709" w:right="709"/>
        <w:jc w:val="both"/>
        <w:rPr>
          <w:rFonts w:ascii="Verdana" w:eastAsia="Century Gothic" w:hAnsi="Verdana" w:cs="Century Gothic"/>
          <w:sz w:val="20"/>
          <w:szCs w:val="20"/>
          <w:lang w:val="es-ES"/>
        </w:rPr>
      </w:pPr>
      <w:bookmarkStart w:id="0" w:name="_Hlk95313578"/>
      <w:r w:rsidRPr="005A3914">
        <w:rPr>
          <w:rFonts w:ascii="Verdana" w:eastAsia="Century Gothic" w:hAnsi="Verdana" w:cs="Century Gothic"/>
          <w:sz w:val="20"/>
          <w:szCs w:val="20"/>
          <w:lang w:val="es-ES"/>
        </w:rPr>
        <w:t>“</w:t>
      </w:r>
      <w:bookmarkEnd w:id="0"/>
      <w:r w:rsidRPr="005A3914">
        <w:rPr>
          <w:rFonts w:ascii="Verdana" w:eastAsia="Century Gothic" w:hAnsi="Verdana" w:cs="Century Gothic"/>
          <w:sz w:val="20"/>
          <w:szCs w:val="20"/>
          <w:lang w:val="es-ES"/>
        </w:rPr>
        <w:t xml:space="preserve">[…] se solicita a la Agencia module y modifique la posición expresada en el concepto C-231 de 2025, en virtud a lo establecido en el numeral 2 del artículo 2.2.1.2.1.2.1 del Decreto 1082 de 2015, por cuanto las entidades pueden acudir a la selección abreviada, para contratar bienes y servicios de características técnicas uniformes y de común utilización y cuyo bien o </w:t>
      </w:r>
      <w:r w:rsidRPr="005A3914">
        <w:rPr>
          <w:rFonts w:ascii="Verdana" w:eastAsia="Century Gothic" w:hAnsi="Verdana" w:cs="Century Gothic"/>
          <w:sz w:val="20"/>
          <w:szCs w:val="20"/>
          <w:lang w:val="es-ES"/>
        </w:rPr>
        <w:lastRenderedPageBreak/>
        <w:t>servicio sea regulado como es el caso de la prestación de servicios de vigilancia privada y con esto acudir a los tres mecanismos para desarrollar el proceso, ya que sea por (i) acuerdo marco de precios o (ii) bolsa de productos o (iii) subasta inversa, cada uno desarrollado en el Decreto Reglamentario 1082 de 2015 a partir del Artículo 2.2.1.2.1.2.1”.</w:t>
      </w:r>
      <w:r w:rsidRPr="00B851AE">
        <w:rPr>
          <w:rFonts w:ascii="Verdana" w:eastAsia="Century Gothic" w:hAnsi="Verdana" w:cs="Century Gothic"/>
          <w:sz w:val="20"/>
          <w:szCs w:val="20"/>
          <w:lang w:val="es-ES"/>
        </w:rPr>
        <w:t xml:space="preserve"> </w:t>
      </w:r>
    </w:p>
    <w:p w14:paraId="1861C48C" w14:textId="77777777" w:rsidR="0092434F" w:rsidRPr="008E6AD9" w:rsidRDefault="0092434F" w:rsidP="0092434F">
      <w:pPr>
        <w:pStyle w:val="ListParagraph"/>
        <w:tabs>
          <w:tab w:val="left" w:pos="142"/>
          <w:tab w:val="left" w:pos="284"/>
        </w:tabs>
        <w:spacing w:after="0" w:line="276" w:lineRule="auto"/>
        <w:ind w:left="0"/>
        <w:jc w:val="both"/>
        <w:rPr>
          <w:rFonts w:ascii="Verdana" w:eastAsia="Century Gothic" w:hAnsi="Verdana" w:cs="Century Gothic"/>
          <w:b/>
          <w:bCs/>
        </w:rPr>
      </w:pPr>
    </w:p>
    <w:p w14:paraId="79BDEB79" w14:textId="77777777" w:rsidR="0092434F" w:rsidRPr="00A652FF" w:rsidRDefault="0092434F" w:rsidP="0092434F">
      <w:pPr>
        <w:spacing w:after="120" w:line="276" w:lineRule="auto"/>
        <w:ind w:firstLine="709"/>
        <w:jc w:val="both"/>
        <w:rPr>
          <w:rFonts w:ascii="Verdana" w:eastAsia="Calibri" w:hAnsi="Verdana" w:cs="Arial"/>
          <w:color w:val="000000"/>
          <w:lang w:val="es-ES" w:eastAsia="es-ES"/>
        </w:rPr>
      </w:pPr>
      <w:r>
        <w:rPr>
          <w:rFonts w:ascii="Verdana" w:eastAsia="Calibri" w:hAnsi="Verdana" w:cs="Arial"/>
          <w:color w:val="000000"/>
          <w:lang w:val="es-ES" w:eastAsia="es-ES"/>
        </w:rPr>
        <w:t>De manera preliminar</w:t>
      </w:r>
      <w:r w:rsidRPr="00593A5F">
        <w:rPr>
          <w:rFonts w:ascii="Verdana" w:eastAsia="Calibri" w:hAnsi="Verdana" w:cs="Arial"/>
          <w:color w:val="000000"/>
          <w:lang w:val="es-ES" w:eastAsia="es-ES"/>
        </w:rPr>
        <w:t>, resulta necesario acotar que esta entidad s</w:t>
      </w:r>
      <w:r>
        <w:rPr>
          <w:rFonts w:ascii="Verdana" w:eastAsia="Calibri" w:hAnsi="Verdana" w:cs="Arial"/>
          <w:color w:val="000000"/>
          <w:lang w:val="es-ES" w:eastAsia="es-ES"/>
        </w:rPr>
        <w:t>ó</w:t>
      </w:r>
      <w:r w:rsidRPr="00593A5F">
        <w:rPr>
          <w:rFonts w:ascii="Verdana" w:eastAsia="Calibri" w:hAnsi="Verdana" w:cs="Arial"/>
          <w:color w:val="000000"/>
          <w:lang w:val="es-ES" w:eastAsia="es-ES"/>
        </w:rPr>
        <w:t xml:space="preserve">lo tiene competencia para responder consultas sobre la aplicación de normas de carácter general en materia de compras y contratación pública. En ese sentido, resolver casos particulares desborda las atribuciones asignadas por el legislador extraordinario, que no concibió a Colombia Compra Eficiente como una autoridad para solucionar problemas jurídicos </w:t>
      </w:r>
      <w:r>
        <w:rPr>
          <w:rFonts w:ascii="Verdana" w:eastAsia="Calibri" w:hAnsi="Verdana" w:cs="Arial"/>
          <w:color w:val="000000"/>
          <w:lang w:val="es-ES" w:eastAsia="es-ES"/>
        </w:rPr>
        <w:t>concretos</w:t>
      </w:r>
      <w:r w:rsidRPr="00593A5F">
        <w:rPr>
          <w:rFonts w:ascii="Verdana" w:eastAsia="Calibri" w:hAnsi="Verdana" w:cs="Arial"/>
          <w:color w:val="000000"/>
          <w:lang w:val="es-ES" w:eastAsia="es-ES"/>
        </w:rPr>
        <w:t xml:space="preserve"> de todos los partícipes del sistema de compra pública. La competencia de esta entidad se fija con límites claros, con el objeto de evitar que la Agencia actúe como una instancia de validación de las actuaciones de las entidades sujetas a la Ley 80 de 1993 o de los demás participantes de la contratación pública. Esta competencia de interpretación de normas generales, por definición, no puede extenderse a la resolución de controversias ni a brindar asesorías sobre casos puntuales. </w:t>
      </w:r>
      <w:r w:rsidRPr="00593A5F">
        <w:rPr>
          <w:rFonts w:ascii="Verdana" w:eastAsia="Calibri" w:hAnsi="Verdana" w:cs="Arial"/>
          <w:color w:val="000000"/>
          <w:szCs w:val="24"/>
          <w:lang w:val="es-ES_tradnl" w:eastAsia="es-ES_tradnl"/>
        </w:rPr>
        <w:tab/>
      </w:r>
    </w:p>
    <w:p w14:paraId="05FF7F24" w14:textId="24840DA2" w:rsidR="0092434F" w:rsidRDefault="0092434F" w:rsidP="0092434F">
      <w:pPr>
        <w:spacing w:after="0" w:line="276" w:lineRule="auto"/>
        <w:ind w:firstLine="709"/>
        <w:jc w:val="both"/>
        <w:rPr>
          <w:rFonts w:ascii="Verdana" w:eastAsia="Calibri" w:hAnsi="Verdana" w:cs="Arial"/>
          <w:color w:val="000000"/>
          <w:lang w:val="es-ES" w:eastAsia="es-ES"/>
        </w:rPr>
      </w:pPr>
      <w:r w:rsidRPr="00593A5F">
        <w:rPr>
          <w:rFonts w:ascii="Verdana" w:eastAsia="Calibri" w:hAnsi="Verdana" w:cs="Arial"/>
          <w:color w:val="000000"/>
          <w:lang w:val="es-ES" w:eastAsia="es-ES"/>
        </w:rPr>
        <w:t>Conforme lo expuesto, en aras de satisfacer el derecho fundamental de petición se resolverá su consulta dentro de los límites de la referida competencia consultiva, esto es, haciendo abstracción de la</w:t>
      </w:r>
      <w:r>
        <w:rPr>
          <w:rFonts w:ascii="Verdana" w:eastAsia="Calibri" w:hAnsi="Verdana" w:cs="Arial"/>
          <w:color w:val="000000"/>
          <w:lang w:val="es-ES" w:eastAsia="es-ES"/>
        </w:rPr>
        <w:t>s circunstancias</w:t>
      </w:r>
      <w:r w:rsidRPr="00593A5F">
        <w:rPr>
          <w:rFonts w:ascii="Verdana" w:eastAsia="Calibri" w:hAnsi="Verdana" w:cs="Arial"/>
          <w:color w:val="000000"/>
          <w:lang w:val="es-ES" w:eastAsia="es-ES"/>
        </w:rPr>
        <w:t xml:space="preserve"> </w:t>
      </w:r>
      <w:r>
        <w:rPr>
          <w:rFonts w:ascii="Verdana" w:eastAsia="Calibri" w:hAnsi="Verdana" w:cs="Arial"/>
          <w:color w:val="000000"/>
          <w:lang w:val="es-ES" w:eastAsia="es-ES"/>
        </w:rPr>
        <w:t>específicas que la hayan motivado</w:t>
      </w:r>
      <w:r w:rsidRPr="00593A5F">
        <w:rPr>
          <w:rFonts w:ascii="Verdana" w:eastAsia="Calibri" w:hAnsi="Verdana" w:cs="Arial"/>
          <w:color w:val="000000"/>
          <w:lang w:val="es-ES" w:eastAsia="es-ES"/>
        </w:rPr>
        <w:t xml:space="preserve">, pero </w:t>
      </w:r>
      <w:r w:rsidR="00254CAB">
        <w:rPr>
          <w:rFonts w:ascii="Verdana" w:eastAsia="Calibri" w:hAnsi="Verdana" w:cs="Arial"/>
          <w:color w:val="000000"/>
          <w:lang w:val="es-ES" w:eastAsia="es-ES"/>
        </w:rPr>
        <w:t>señalando</w:t>
      </w:r>
      <w:r w:rsidR="00254CAB" w:rsidRPr="00593A5F">
        <w:rPr>
          <w:rFonts w:ascii="Verdana" w:eastAsia="Calibri" w:hAnsi="Verdana" w:cs="Arial"/>
          <w:color w:val="000000"/>
          <w:lang w:val="es-ES" w:eastAsia="es-ES"/>
        </w:rPr>
        <w:t xml:space="preserve"> </w:t>
      </w:r>
      <w:r w:rsidR="00254CAB">
        <w:rPr>
          <w:rFonts w:ascii="Verdana" w:eastAsia="Calibri" w:hAnsi="Verdana" w:cs="Arial"/>
          <w:color w:val="000000"/>
          <w:lang w:val="es-ES" w:eastAsia="es-ES"/>
        </w:rPr>
        <w:t>alg</w:t>
      </w:r>
      <w:r w:rsidRPr="00593A5F">
        <w:rPr>
          <w:rFonts w:ascii="Verdana" w:eastAsia="Calibri" w:hAnsi="Verdana" w:cs="Arial"/>
          <w:color w:val="000000"/>
          <w:lang w:val="es-ES" w:eastAsia="es-ES"/>
        </w:rPr>
        <w:t xml:space="preserve">unas consideraciones sobre las normas generales relacionadas con </w:t>
      </w:r>
      <w:r>
        <w:rPr>
          <w:rFonts w:ascii="Verdana" w:eastAsia="Calibri" w:hAnsi="Verdana" w:cs="Arial"/>
          <w:color w:val="000000"/>
          <w:lang w:val="es-ES" w:eastAsia="es-ES"/>
        </w:rPr>
        <w:t>el</w:t>
      </w:r>
      <w:r w:rsidRPr="00247BDE">
        <w:rPr>
          <w:rFonts w:ascii="Verdana" w:eastAsia="Calibri" w:hAnsi="Verdana" w:cs="Arial"/>
          <w:color w:val="7030A0"/>
          <w:lang w:val="es-ES" w:eastAsia="es-ES"/>
        </w:rPr>
        <w:t xml:space="preserve"> </w:t>
      </w:r>
      <w:r>
        <w:rPr>
          <w:rFonts w:ascii="Verdana" w:eastAsia="Calibri" w:hAnsi="Verdana" w:cs="Arial"/>
          <w:color w:val="000000"/>
          <w:lang w:val="es-ES" w:eastAsia="es-ES"/>
        </w:rPr>
        <w:t>problema</w:t>
      </w:r>
      <w:r w:rsidRPr="00247BDE">
        <w:rPr>
          <w:rFonts w:ascii="Verdana" w:eastAsia="Calibri" w:hAnsi="Verdana" w:cs="Arial"/>
          <w:color w:val="7030A0"/>
          <w:lang w:val="es-ES" w:eastAsia="es-ES"/>
        </w:rPr>
        <w:t xml:space="preserve"> </w:t>
      </w:r>
      <w:r>
        <w:rPr>
          <w:rFonts w:ascii="Verdana" w:eastAsia="Calibri" w:hAnsi="Verdana" w:cs="Arial"/>
          <w:color w:val="000000"/>
          <w:lang w:val="es-ES" w:eastAsia="es-ES"/>
        </w:rPr>
        <w:t>jurídico</w:t>
      </w:r>
      <w:r w:rsidRPr="00247BDE">
        <w:rPr>
          <w:rFonts w:ascii="Verdana" w:eastAsia="Calibri" w:hAnsi="Verdana" w:cs="Arial"/>
          <w:color w:val="7030A0"/>
          <w:lang w:val="es-ES" w:eastAsia="es-ES"/>
        </w:rPr>
        <w:t xml:space="preserve"> </w:t>
      </w:r>
      <w:r>
        <w:rPr>
          <w:rFonts w:ascii="Verdana" w:eastAsia="Calibri" w:hAnsi="Verdana" w:cs="Arial"/>
          <w:color w:val="000000"/>
          <w:lang w:val="es-ES" w:eastAsia="es-ES"/>
        </w:rPr>
        <w:t>de su</w:t>
      </w:r>
      <w:r w:rsidRPr="00593A5F">
        <w:rPr>
          <w:rFonts w:ascii="Verdana" w:eastAsia="Calibri" w:hAnsi="Verdana" w:cs="Arial"/>
          <w:color w:val="000000"/>
          <w:lang w:val="es-ES" w:eastAsia="es-ES"/>
        </w:rPr>
        <w:t xml:space="preserve"> consulta.</w:t>
      </w:r>
      <w:r>
        <w:rPr>
          <w:rFonts w:ascii="Verdana" w:eastAsia="Calibri" w:hAnsi="Verdana" w:cs="Arial"/>
          <w:color w:val="000000"/>
          <w:lang w:val="es-ES" w:eastAsia="es-ES"/>
        </w:rPr>
        <w:t xml:space="preserve"> </w:t>
      </w:r>
      <w:r w:rsidRPr="00593A5F">
        <w:rPr>
          <w:rFonts w:ascii="Verdana" w:eastAsia="Calibri" w:hAnsi="Verdana" w:cs="Arial"/>
          <w:color w:val="000000"/>
          <w:lang w:val="es-ES" w:eastAsia="es-ES"/>
        </w:rPr>
        <w:t xml:space="preserve"> </w:t>
      </w:r>
    </w:p>
    <w:p w14:paraId="35BD370F" w14:textId="77777777" w:rsidR="0092434F" w:rsidRPr="00593A5F" w:rsidRDefault="0092434F" w:rsidP="0092434F">
      <w:pPr>
        <w:spacing w:after="0" w:line="276" w:lineRule="auto"/>
        <w:ind w:firstLine="709"/>
        <w:jc w:val="both"/>
        <w:rPr>
          <w:rFonts w:ascii="Verdana" w:eastAsia="Calibri" w:hAnsi="Verdana" w:cs="Arial"/>
          <w:color w:val="000000"/>
          <w:lang w:val="es-ES" w:eastAsia="es-ES"/>
        </w:rPr>
      </w:pPr>
    </w:p>
    <w:p w14:paraId="36F61005" w14:textId="77777777" w:rsidR="0092434F" w:rsidRPr="00593A5F" w:rsidRDefault="0092434F" w:rsidP="0092434F">
      <w:pPr>
        <w:pStyle w:val="ListParagraph"/>
        <w:numPr>
          <w:ilvl w:val="0"/>
          <w:numId w:val="16"/>
        </w:numPr>
        <w:tabs>
          <w:tab w:val="left" w:pos="142"/>
          <w:tab w:val="left" w:pos="284"/>
        </w:tabs>
        <w:spacing w:after="0" w:line="276" w:lineRule="auto"/>
        <w:ind w:left="0" w:firstLine="0"/>
        <w:jc w:val="both"/>
        <w:rPr>
          <w:rFonts w:ascii="Verdana" w:eastAsia="Century Gothic" w:hAnsi="Verdana" w:cs="Century Gothic"/>
          <w:b/>
          <w:bCs/>
        </w:rPr>
      </w:pPr>
      <w:r w:rsidRPr="00593A5F">
        <w:rPr>
          <w:rFonts w:ascii="Verdana" w:eastAsia="Century Gothic" w:hAnsi="Verdana" w:cs="Century Gothic"/>
          <w:b/>
          <w:bCs/>
        </w:rPr>
        <w:t>Problema planteado:</w:t>
      </w:r>
    </w:p>
    <w:p w14:paraId="18D153EE" w14:textId="77777777" w:rsidR="0092434F" w:rsidRPr="00593A5F" w:rsidRDefault="0092434F" w:rsidP="0092434F">
      <w:pPr>
        <w:tabs>
          <w:tab w:val="left" w:pos="426"/>
        </w:tabs>
        <w:spacing w:after="0" w:line="276" w:lineRule="auto"/>
        <w:jc w:val="both"/>
        <w:rPr>
          <w:rFonts w:ascii="Verdana" w:eastAsia="Century Gothic" w:hAnsi="Verdana" w:cs="Century Gothic"/>
          <w:lang w:val="es-ES"/>
        </w:rPr>
      </w:pPr>
    </w:p>
    <w:p w14:paraId="318D8935" w14:textId="790BBAD1" w:rsidR="0092434F" w:rsidRPr="00593A5F" w:rsidRDefault="0092434F" w:rsidP="0092434F">
      <w:pPr>
        <w:spacing w:after="0" w:line="276" w:lineRule="auto"/>
        <w:jc w:val="both"/>
        <w:rPr>
          <w:rFonts w:ascii="Verdana" w:eastAsia="Century Gothic" w:hAnsi="Verdana" w:cs="Century Gothic"/>
        </w:rPr>
      </w:pPr>
      <w:r w:rsidRPr="00906BE9">
        <w:rPr>
          <w:rFonts w:ascii="Verdana" w:eastAsia="Century Gothic" w:hAnsi="Verdana" w:cs="Century Gothic"/>
        </w:rPr>
        <w:t xml:space="preserve">De acuerdo con el contenido de su solicitud, esta Agencia resolverá </w:t>
      </w:r>
      <w:r>
        <w:rPr>
          <w:rFonts w:ascii="Verdana" w:eastAsia="Century Gothic" w:hAnsi="Verdana" w:cs="Century Gothic"/>
        </w:rPr>
        <w:t>el</w:t>
      </w:r>
      <w:r w:rsidRPr="00906BE9">
        <w:rPr>
          <w:rFonts w:ascii="Verdana" w:eastAsia="Century Gothic" w:hAnsi="Verdana" w:cs="Century Gothic"/>
        </w:rPr>
        <w:t xml:space="preserve"> siguiente problema jurídico: </w:t>
      </w:r>
      <w:r>
        <w:rPr>
          <w:rFonts w:ascii="Verdana" w:eastAsia="Century Gothic" w:hAnsi="Verdana" w:cs="Century Gothic"/>
        </w:rPr>
        <w:t xml:space="preserve">¿teniendo en cuenta el numeral 2 del artículo </w:t>
      </w:r>
      <w:r w:rsidRPr="00B828F6">
        <w:rPr>
          <w:rFonts w:ascii="Verdana" w:eastAsia="Century Gothic" w:hAnsi="Verdana" w:cs="Century Gothic"/>
        </w:rPr>
        <w:t>2.2.1.2.1.2.1 del Decreto 1082 de 2015</w:t>
      </w:r>
      <w:r>
        <w:rPr>
          <w:rFonts w:ascii="Verdana" w:eastAsia="Century Gothic" w:hAnsi="Verdana" w:cs="Century Gothic"/>
        </w:rPr>
        <w:t xml:space="preserve">, hay lugar a </w:t>
      </w:r>
      <w:r w:rsidR="00C34BC3">
        <w:rPr>
          <w:rFonts w:ascii="Verdana" w:eastAsia="Century Gothic" w:hAnsi="Verdana" w:cs="Century Gothic"/>
        </w:rPr>
        <w:t>modificar</w:t>
      </w:r>
      <w:r>
        <w:rPr>
          <w:rFonts w:ascii="Verdana" w:eastAsia="Century Gothic" w:hAnsi="Verdana" w:cs="Century Gothic"/>
        </w:rPr>
        <w:t xml:space="preserve"> la postura del Concepto C-231 del 1˚ de abril de 2025?</w:t>
      </w:r>
      <w:r w:rsidRPr="00906BE9">
        <w:rPr>
          <w:rFonts w:ascii="Verdana" w:eastAsia="Century Gothic" w:hAnsi="Verdana" w:cs="Century Gothic"/>
        </w:rPr>
        <w:t xml:space="preserve">       </w:t>
      </w:r>
      <w:r>
        <w:rPr>
          <w:rFonts w:ascii="Verdana" w:eastAsia="Century Gothic" w:hAnsi="Verdana" w:cs="Century Gothic"/>
        </w:rPr>
        <w:t xml:space="preserve">       </w:t>
      </w:r>
      <w:r w:rsidRPr="00C00976">
        <w:rPr>
          <w:rFonts w:ascii="Verdana" w:eastAsia="Century Gothic" w:hAnsi="Verdana" w:cs="Century Gothic"/>
          <w:color w:val="7030A0"/>
        </w:rPr>
        <w:t xml:space="preserve"> </w:t>
      </w:r>
    </w:p>
    <w:p w14:paraId="1DD5957D" w14:textId="77777777" w:rsidR="0092434F" w:rsidRPr="004B140F" w:rsidRDefault="0092434F" w:rsidP="0092434F">
      <w:pPr>
        <w:spacing w:after="0" w:line="276" w:lineRule="auto"/>
        <w:jc w:val="both"/>
        <w:rPr>
          <w:rFonts w:ascii="Verdana" w:eastAsia="Calibri" w:hAnsi="Verdana" w:cs="Arial"/>
          <w:color w:val="7030A0"/>
        </w:rPr>
      </w:pPr>
    </w:p>
    <w:p w14:paraId="25D4B115" w14:textId="77777777" w:rsidR="0092434F" w:rsidRPr="00593A5F" w:rsidRDefault="0092434F" w:rsidP="0092434F">
      <w:pPr>
        <w:pStyle w:val="ListParagraph"/>
        <w:numPr>
          <w:ilvl w:val="0"/>
          <w:numId w:val="16"/>
        </w:numPr>
        <w:tabs>
          <w:tab w:val="left" w:pos="142"/>
          <w:tab w:val="left" w:pos="284"/>
        </w:tabs>
        <w:spacing w:after="0" w:line="276" w:lineRule="auto"/>
        <w:ind w:left="0" w:firstLine="0"/>
        <w:contextualSpacing w:val="0"/>
        <w:jc w:val="both"/>
        <w:rPr>
          <w:rFonts w:ascii="Verdana" w:eastAsia="Century Gothic" w:hAnsi="Verdana" w:cs="Century Gothic"/>
          <w:b/>
          <w:bCs/>
        </w:rPr>
      </w:pPr>
      <w:r w:rsidRPr="00593A5F">
        <w:rPr>
          <w:rFonts w:ascii="Verdana" w:eastAsia="Century Gothic" w:hAnsi="Verdana" w:cs="Century Gothic"/>
          <w:b/>
          <w:bCs/>
        </w:rPr>
        <w:t>Respuesta:</w:t>
      </w:r>
    </w:p>
    <w:p w14:paraId="6B9A2FD8" w14:textId="77777777" w:rsidR="0092434F" w:rsidRPr="00593A5F" w:rsidRDefault="0092434F" w:rsidP="0092434F">
      <w:pPr>
        <w:tabs>
          <w:tab w:val="left" w:pos="142"/>
          <w:tab w:val="left" w:pos="284"/>
        </w:tabs>
        <w:spacing w:after="0" w:line="276" w:lineRule="auto"/>
        <w:jc w:val="both"/>
        <w:rPr>
          <w:rFonts w:ascii="Verdana" w:eastAsia="Century Gothic" w:hAnsi="Verdana" w:cs="Century Gothic"/>
          <w:b/>
          <w:bCs/>
          <w:lang w:val="es-ES"/>
        </w:rPr>
      </w:pP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92434F" w:rsidRPr="00593A5F" w14:paraId="0DB33520" w14:textId="77777777" w:rsidTr="00441EAC">
        <w:trPr>
          <w:jc w:val="center"/>
        </w:trPr>
        <w:tc>
          <w:tcPr>
            <w:tcW w:w="8828" w:type="dxa"/>
          </w:tcPr>
          <w:p w14:paraId="152A5AAC" w14:textId="520AE241" w:rsidR="0092434F" w:rsidRPr="00185EE9" w:rsidRDefault="0092434F" w:rsidP="00441EAC">
            <w:pPr>
              <w:spacing w:after="120" w:line="276" w:lineRule="auto"/>
              <w:jc w:val="both"/>
              <w:rPr>
                <w:rFonts w:ascii="Verdana" w:eastAsia="Calibri" w:hAnsi="Verdana" w:cs="Arial"/>
                <w:bCs/>
                <w:color w:val="000000" w:themeColor="text1"/>
              </w:rPr>
            </w:pPr>
            <w:bookmarkStart w:id="1" w:name="_Hlk171694685"/>
            <w:r>
              <w:rPr>
                <w:rFonts w:ascii="Verdana" w:eastAsia="Calibri" w:hAnsi="Verdana" w:cs="Times New Roman"/>
                <w:iCs/>
                <w:lang w:val="es-ES"/>
              </w:rPr>
              <w:t>Conforme a la interpretación general de las normas del sistema de compras</w:t>
            </w:r>
            <w:r w:rsidR="00BE0A63">
              <w:rPr>
                <w:rFonts w:ascii="Verdana" w:eastAsia="Calibri" w:hAnsi="Verdana" w:cs="Times New Roman"/>
                <w:iCs/>
                <w:lang w:val="es-ES"/>
              </w:rPr>
              <w:t xml:space="preserve"> y contratación</w:t>
            </w:r>
            <w:r>
              <w:rPr>
                <w:rFonts w:ascii="Verdana" w:eastAsia="Calibri" w:hAnsi="Verdana" w:cs="Times New Roman"/>
                <w:iCs/>
                <w:lang w:val="es-ES"/>
              </w:rPr>
              <w:t xml:space="preserve"> pública,</w:t>
            </w:r>
            <w:r w:rsidRPr="00185EE9">
              <w:rPr>
                <w:rFonts w:ascii="Verdana" w:eastAsia="Calibri" w:hAnsi="Verdana" w:cs="Times New Roman"/>
                <w:iCs/>
                <w:lang w:val="es-ES"/>
              </w:rPr>
              <w:t xml:space="preserve"> debe indicarse que, </w:t>
            </w:r>
            <w:r w:rsidRPr="00185EE9">
              <w:rPr>
                <w:rFonts w:ascii="Verdana" w:eastAsia="Calibri" w:hAnsi="Verdana" w:cs="Times New Roman"/>
                <w:i/>
                <w:lang w:val="es-ES"/>
              </w:rPr>
              <w:t xml:space="preserve">en principio, </w:t>
            </w:r>
            <w:r w:rsidRPr="00185EE9">
              <w:rPr>
                <w:rFonts w:ascii="Verdana" w:eastAsia="Calibri" w:hAnsi="Verdana" w:cs="Times New Roman"/>
                <w:iCs/>
                <w:lang w:val="es-ES"/>
              </w:rPr>
              <w:t>la modalidad de selección aplicable</w:t>
            </w:r>
            <w:r w:rsidRPr="00185EE9">
              <w:rPr>
                <w:rFonts w:ascii="Verdana" w:eastAsia="Calibri" w:hAnsi="Verdana" w:cs="Arial"/>
                <w:bCs/>
                <w:color w:val="000000" w:themeColor="text1"/>
              </w:rPr>
              <w:t xml:space="preserve"> para la adquisición de</w:t>
            </w:r>
            <w:r w:rsidRPr="00185EE9">
              <w:rPr>
                <w:rFonts w:ascii="Verdana" w:eastAsia="Calibri" w:hAnsi="Verdana" w:cs="Arial"/>
                <w:bCs/>
                <w:i/>
                <w:iCs/>
                <w:color w:val="000000" w:themeColor="text1"/>
              </w:rPr>
              <w:t xml:space="preserve"> </w:t>
            </w:r>
            <w:r w:rsidRPr="00185EE9">
              <w:rPr>
                <w:rFonts w:ascii="Verdana" w:eastAsia="Calibri" w:hAnsi="Verdana" w:cs="Arial"/>
                <w:bCs/>
                <w:color w:val="000000" w:themeColor="text1"/>
              </w:rPr>
              <w:t>bienes y servicios de características técnicas uniformes y común utilización es la selección abreviada a la que hace referencia el</w:t>
            </w:r>
            <w:r w:rsidRPr="00185EE9">
              <w:rPr>
                <w:rFonts w:ascii="Verdana" w:eastAsia="Calibri" w:hAnsi="Verdana" w:cs="Arial"/>
                <w:bCs/>
                <w:i/>
                <w:iCs/>
                <w:color w:val="000000" w:themeColor="text1"/>
              </w:rPr>
              <w:t xml:space="preserve"> </w:t>
            </w:r>
            <w:r w:rsidRPr="00185EE9">
              <w:rPr>
                <w:rFonts w:ascii="Verdana" w:eastAsia="Calibri" w:hAnsi="Verdana" w:cs="Arial"/>
                <w:bCs/>
                <w:color w:val="000000" w:themeColor="text1"/>
              </w:rPr>
              <w:t xml:space="preserve">literal a) del numeral 2 del 2 artículo de la Ley 1150 de 2007. </w:t>
            </w:r>
            <w:r w:rsidRPr="00185EE9">
              <w:rPr>
                <w:rFonts w:ascii="Verdana" w:eastAsia="Calibri" w:hAnsi="Verdana" w:cs="Arial"/>
                <w:bCs/>
                <w:color w:val="000000" w:themeColor="text1"/>
              </w:rPr>
              <w:lastRenderedPageBreak/>
              <w:t>Esto supone que, para la adquisición de estos bienes o servicios, las Entidades Estatales deban escoger a los proponentes habilitados que presenten ofertas de menor valor, en el marco de la aplicación del mecanismo de subasta inversa o de instrumentos de compra por catálogo derivados de la celebración de acuerdos marco de precios o de procedimientos de adquisición en bolsas de productos.</w:t>
            </w:r>
            <w:r>
              <w:rPr>
                <w:rFonts w:ascii="Verdana" w:eastAsia="Calibri" w:hAnsi="Verdana" w:cs="Arial"/>
                <w:bCs/>
                <w:color w:val="000000" w:themeColor="text1"/>
              </w:rPr>
              <w:t xml:space="preserve"> Como las propuestas se evalúan en función del aspecto económico, las fórmulas de </w:t>
            </w:r>
            <w:r w:rsidRPr="0087562C">
              <w:rPr>
                <w:rFonts w:ascii="Verdana" w:eastAsia="Calibri" w:hAnsi="Verdana" w:cs="Arial"/>
                <w:bCs/>
                <w:color w:val="000000" w:themeColor="text1"/>
              </w:rPr>
              <w:t xml:space="preserve">media aritmética </w:t>
            </w:r>
            <w:r>
              <w:rPr>
                <w:rFonts w:ascii="Verdana" w:eastAsia="Calibri" w:hAnsi="Verdana" w:cs="Arial"/>
                <w:bCs/>
                <w:color w:val="000000" w:themeColor="text1"/>
              </w:rPr>
              <w:t xml:space="preserve">o </w:t>
            </w:r>
            <w:r w:rsidRPr="0087562C">
              <w:rPr>
                <w:rFonts w:ascii="Verdana" w:eastAsia="Calibri" w:hAnsi="Verdana" w:cs="Arial"/>
                <w:bCs/>
                <w:color w:val="000000" w:themeColor="text1"/>
              </w:rPr>
              <w:t>geométrica</w:t>
            </w:r>
            <w:r>
              <w:rPr>
                <w:rFonts w:ascii="Verdana" w:eastAsia="Calibri" w:hAnsi="Verdana" w:cs="Arial"/>
                <w:bCs/>
                <w:color w:val="000000" w:themeColor="text1"/>
              </w:rPr>
              <w:t xml:space="preserve"> son inaplicables por sustracción de materia. </w:t>
            </w:r>
            <w:r w:rsidRPr="00185EE9">
              <w:rPr>
                <w:rFonts w:ascii="Verdana" w:eastAsia="Calibri" w:hAnsi="Verdana" w:cs="Arial"/>
                <w:bCs/>
                <w:color w:val="000000" w:themeColor="text1"/>
              </w:rPr>
              <w:t xml:space="preserve"> </w:t>
            </w:r>
          </w:p>
          <w:p w14:paraId="14E52CDD" w14:textId="43A5FA25" w:rsidR="0092434F" w:rsidRPr="00185EE9" w:rsidRDefault="0092434F" w:rsidP="00441EAC">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Sin embargo, si bien nada se opone a que los servicios de vigilancia y seguridad privada</w:t>
            </w:r>
            <w:r w:rsidR="00D36E66">
              <w:rPr>
                <w:rFonts w:ascii="Verdana" w:eastAsia="Calibri" w:hAnsi="Verdana" w:cs="Arial"/>
                <w:bCs/>
                <w:color w:val="000000" w:themeColor="text1"/>
              </w:rPr>
              <w:t>,</w:t>
            </w:r>
            <w:r w:rsidRPr="00185EE9">
              <w:rPr>
                <w:rFonts w:ascii="Verdana" w:eastAsia="Calibri" w:hAnsi="Verdana" w:cs="Arial"/>
                <w:bCs/>
                <w:color w:val="000000" w:themeColor="text1"/>
              </w:rPr>
              <w:t xml:space="preserve"> regulados por el Decreto Ley 356 de 1994</w:t>
            </w:r>
            <w:r w:rsidR="00D36E66">
              <w:rPr>
                <w:rFonts w:ascii="Verdana" w:eastAsia="Calibri" w:hAnsi="Verdana" w:cs="Arial"/>
                <w:bCs/>
                <w:color w:val="000000" w:themeColor="text1"/>
              </w:rPr>
              <w:t>,</w:t>
            </w:r>
            <w:r w:rsidRPr="00185EE9">
              <w:rPr>
                <w:rFonts w:ascii="Verdana" w:eastAsia="Calibri" w:hAnsi="Verdana" w:cs="Arial"/>
                <w:bCs/>
                <w:color w:val="000000" w:themeColor="text1"/>
              </w:rPr>
              <w:t xml:space="preserve"> sean considerados como de características técnicas uniformes, la contratación de estos a través de las modalidades antes indicadas no es funcional para garantizar la selección objetiva. Esto comoquiera que las tarifas mínimas establecidas para estos servicios en la Circular Externa de la Superintendencia de Vigilancia y Seguridad Privada </w:t>
            </w:r>
            <w:r w:rsidRPr="009161D9">
              <w:rPr>
                <w:rFonts w:ascii="Verdana" w:eastAsia="Calibri" w:hAnsi="Verdana" w:cs="Arial"/>
                <w:bCs/>
                <w:color w:val="000000" w:themeColor="text1"/>
              </w:rPr>
              <w:t>20241300000445</w:t>
            </w:r>
            <w:r w:rsidRPr="00185EE9">
              <w:rPr>
                <w:rFonts w:ascii="Verdana" w:eastAsia="Calibri" w:hAnsi="Verdana" w:cs="Arial"/>
                <w:bCs/>
                <w:color w:val="000000" w:themeColor="text1"/>
              </w:rPr>
              <w:t xml:space="preserve"> del 30 de diciembre de 202</w:t>
            </w:r>
            <w:r>
              <w:rPr>
                <w:rFonts w:ascii="Verdana" w:eastAsia="Calibri" w:hAnsi="Verdana" w:cs="Arial"/>
                <w:bCs/>
                <w:color w:val="000000" w:themeColor="text1"/>
              </w:rPr>
              <w:t>4</w:t>
            </w:r>
            <w:r w:rsidRPr="00185EE9">
              <w:rPr>
                <w:rFonts w:ascii="Verdana" w:eastAsia="Calibri" w:hAnsi="Verdana" w:cs="Arial"/>
                <w:bCs/>
                <w:color w:val="000000" w:themeColor="text1"/>
              </w:rPr>
              <w:t xml:space="preserve"> representan una medida regulatoria que hace que los ofrecimientos para la prestación de este tipo de servicios tiendan al valor mínimo permitido por regulación tarifaria, lo que hace que las Entidades Estatales no puedan elegir la oferta más favorable con base en el menor precio ofertado, como bien podría suceder con otros bienes o servicios que no tienen un precio mínimo regulado.   </w:t>
            </w:r>
          </w:p>
          <w:p w14:paraId="36F6CC7D" w14:textId="0696BAE6" w:rsidR="0092434F" w:rsidRDefault="0092434F" w:rsidP="00441EAC">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En atención a esto, la modalidad de selección más adecuada para la contratación de servicios de vigilancia y seguridad privada es la licitación pública prevista en el numeral 1 del artículo 2 de la Ley 1150 de 2007</w:t>
            </w:r>
            <w:r w:rsidR="00954D0E">
              <w:rPr>
                <w:rFonts w:ascii="Verdana" w:eastAsia="Calibri" w:hAnsi="Verdana" w:cs="Arial"/>
                <w:bCs/>
                <w:color w:val="000000" w:themeColor="text1"/>
              </w:rPr>
              <w:t>,</w:t>
            </w:r>
            <w:r w:rsidR="00743827">
              <w:rPr>
                <w:rFonts w:ascii="Verdana" w:eastAsia="Calibri" w:hAnsi="Verdana" w:cs="Arial"/>
                <w:bCs/>
                <w:color w:val="000000" w:themeColor="text1"/>
              </w:rPr>
              <w:t xml:space="preserve"> la cual aplica</w:t>
            </w:r>
            <w:r w:rsidRPr="00185EE9">
              <w:rPr>
                <w:rFonts w:ascii="Verdana" w:eastAsia="Calibri" w:hAnsi="Verdana" w:cs="Arial"/>
                <w:bCs/>
                <w:color w:val="000000" w:themeColor="text1"/>
              </w:rPr>
              <w:t xml:space="preserve"> como la regla general para objetos no sujetos a alguna modalidad en específico. Esto además debido a que la licitación pública es la modalidad que brinda más garantías para la selección objetiva, ya que, de acuerdo con el artículo 5, numeral 2 de la Ley 1150 de 2007, reglamentado en el artículo 2.2.1.1.2.2.2 del Decreto 1082 de 2015, en este tipo de procedimientos la oferta más favorable es aquella que represente la mejor relación calidad-precio, cuestión que debe determinarse valorando, además del precio, factores de calidad, criterios sociales y ambientales, sin perjuicio de la aplicación de puntajes adicionales y acciones afirmativas previstos en la normativa de la contratación pública. </w:t>
            </w:r>
            <w:r w:rsidR="00651AB9">
              <w:rPr>
                <w:rFonts w:ascii="Verdana" w:eastAsia="Calibri" w:hAnsi="Verdana" w:cs="Arial"/>
                <w:bCs/>
                <w:color w:val="000000" w:themeColor="text1"/>
              </w:rPr>
              <w:t>Lo expuesto,</w:t>
            </w:r>
            <w:r w:rsidRPr="00185EE9">
              <w:rPr>
                <w:rFonts w:ascii="Verdana" w:eastAsia="Calibri" w:hAnsi="Verdana" w:cs="Arial"/>
                <w:bCs/>
                <w:color w:val="000000" w:themeColor="text1"/>
              </w:rPr>
              <w:t xml:space="preserve"> resulta coherente con lo dispuesto en el</w:t>
            </w:r>
            <w:r w:rsidRPr="00185EE9">
              <w:rPr>
                <w:rFonts w:ascii="Verdana" w:eastAsia="Calibri" w:hAnsi="Verdana" w:cs="Arial"/>
                <w:color w:val="000000"/>
                <w:lang w:val="es-ES_tradnl"/>
              </w:rPr>
              <w:t xml:space="preserve"> artículo 6 de la Ley 1920 de 2018, que </w:t>
            </w:r>
            <w:r w:rsidRPr="00185EE9">
              <w:rPr>
                <w:rFonts w:ascii="Verdana" w:eastAsia="Calibri" w:hAnsi="Verdana" w:cs="Arial"/>
                <w:bCs/>
                <w:color w:val="000000"/>
                <w:lang w:val="es-ES_tradnl"/>
              </w:rPr>
              <w:t xml:space="preserve">se refiere de manera expresa a la </w:t>
            </w:r>
            <w:r w:rsidRPr="00185EE9">
              <w:rPr>
                <w:rFonts w:ascii="Verdana" w:eastAsia="Calibri" w:hAnsi="Verdana" w:cs="Arial"/>
                <w:bCs/>
                <w:color w:val="000000"/>
                <w:lang w:val="es-ES_tradnl"/>
              </w:rPr>
              <w:lastRenderedPageBreak/>
              <w:t xml:space="preserve">licitación pública como una modalidad de selección aplicable para contratar los servicios </w:t>
            </w:r>
            <w:r w:rsidRPr="00185EE9">
              <w:rPr>
                <w:rFonts w:ascii="Verdana" w:eastAsia="Calibri" w:hAnsi="Verdana" w:cs="Arial"/>
                <w:bCs/>
                <w:color w:val="000000" w:themeColor="text1"/>
              </w:rPr>
              <w:t xml:space="preserve">servicios de vigilancia y seguridad privada, previendo además la aplicación de factores de evaluación distintos del precio. </w:t>
            </w:r>
          </w:p>
          <w:p w14:paraId="350FA5B6" w14:textId="77777777" w:rsidR="0092434F" w:rsidRDefault="0092434F" w:rsidP="00441EAC">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 xml:space="preserve">Lo anterior sin perjuicio de la aplicación de la modalidad de selección abreviada de menor cuantía cuando se requiera contratar servicios vigilancia y seguridad privada por valores que se ubiquen dentro de la menor cuantía de la respectiva Entidad Estatal, de acuerdo con los rangos establecidos en el literal b) del numeral 2 del artículo 2 de la Ley 1150 de 2007. En esta modalidad, al igual que en la licitación, la oferta más favorable se determina de acuerdo con lo establecido en el numeral 2 del artículo 5 de la Ley 1150 de 2007, esto es, en atención a la mejor relación calidad-precio. </w:t>
            </w:r>
          </w:p>
          <w:p w14:paraId="62EB5A3E" w14:textId="77777777" w:rsidR="00CB6F8F" w:rsidRDefault="0092434F" w:rsidP="00441EAC">
            <w:pPr>
              <w:spacing w:after="120" w:line="276" w:lineRule="auto"/>
              <w:ind w:firstLine="709"/>
              <w:jc w:val="both"/>
              <w:rPr>
                <w:rFonts w:ascii="Verdana" w:eastAsia="Century Gothic" w:hAnsi="Verdana" w:cs="Century Gothic"/>
              </w:rPr>
            </w:pPr>
            <w:r>
              <w:rPr>
                <w:rFonts w:ascii="Verdana" w:eastAsia="Calibri" w:hAnsi="Verdana" w:cs="Arial"/>
                <w:bCs/>
                <w:color w:val="000000" w:themeColor="text1"/>
              </w:rPr>
              <w:t xml:space="preserve">Aunque </w:t>
            </w:r>
            <w:r>
              <w:rPr>
                <w:rFonts w:ascii="Verdana" w:eastAsia="Century Gothic" w:hAnsi="Verdana" w:cs="Century Gothic"/>
              </w:rPr>
              <w:t xml:space="preserve">el numeral 2 del artículo </w:t>
            </w:r>
            <w:r w:rsidRPr="00B828F6">
              <w:rPr>
                <w:rFonts w:ascii="Verdana" w:eastAsia="Century Gothic" w:hAnsi="Verdana" w:cs="Century Gothic"/>
              </w:rPr>
              <w:t>2.2.1.2.1.2.1</w:t>
            </w:r>
            <w:r>
              <w:rPr>
                <w:rFonts w:ascii="Verdana" w:eastAsia="Century Gothic" w:hAnsi="Verdana" w:cs="Century Gothic"/>
              </w:rPr>
              <w:t xml:space="preserve"> del Decreto 1082 de 2015 dispone que los pliegos de condiciones </w:t>
            </w:r>
            <w:r w:rsidRPr="008E3F3E">
              <w:rPr>
                <w:rFonts w:ascii="Verdana" w:eastAsia="Century Gothic" w:hAnsi="Verdana" w:cs="Century Gothic"/>
              </w:rPr>
              <w:t>para contratar bienes y servicios de características técnicas uniformes, la entidad estatal debe indicar</w:t>
            </w:r>
            <w:r>
              <w:rPr>
                <w:rFonts w:ascii="Verdana" w:eastAsia="Century Gothic" w:hAnsi="Verdana" w:cs="Century Gothic"/>
              </w:rPr>
              <w:t xml:space="preserve"> “</w:t>
            </w:r>
            <w:r w:rsidRPr="008E3F3E">
              <w:rPr>
                <w:rFonts w:ascii="Verdana" w:eastAsia="Century Gothic" w:hAnsi="Verdana" w:cs="Century Gothic"/>
              </w:rPr>
              <w:t>Si el precio del bien o servicio es regulado, la variable sobre la cual se hace la evaluación de las ofertas</w:t>
            </w:r>
            <w:r>
              <w:rPr>
                <w:rFonts w:ascii="Verdana" w:eastAsia="Century Gothic" w:hAnsi="Verdana" w:cs="Century Gothic"/>
              </w:rPr>
              <w:t>”, el contenido de esta norma no cambia la conclusión del párrafo precedente</w:t>
            </w:r>
            <w:r w:rsidRPr="008E3F3E">
              <w:rPr>
                <w:rFonts w:ascii="Verdana" w:eastAsia="Century Gothic" w:hAnsi="Verdana" w:cs="Century Gothic"/>
              </w:rPr>
              <w:t>.</w:t>
            </w:r>
            <w:r>
              <w:rPr>
                <w:rFonts w:ascii="Verdana" w:eastAsia="Century Gothic" w:hAnsi="Verdana" w:cs="Century Gothic"/>
              </w:rPr>
              <w:t xml:space="preserve"> </w:t>
            </w:r>
          </w:p>
          <w:p w14:paraId="345509D7" w14:textId="232F26AC" w:rsidR="0092434F" w:rsidRDefault="0092434F" w:rsidP="00441EAC">
            <w:pPr>
              <w:spacing w:after="120" w:line="276" w:lineRule="auto"/>
              <w:ind w:firstLine="709"/>
              <w:jc w:val="both"/>
              <w:rPr>
                <w:rFonts w:ascii="Verdana" w:eastAsia="Calibri" w:hAnsi="Verdana" w:cs="Arial"/>
                <w:bCs/>
                <w:color w:val="000000" w:themeColor="text1"/>
              </w:rPr>
            </w:pPr>
            <w:r>
              <w:rPr>
                <w:rFonts w:ascii="Verdana" w:eastAsia="Century Gothic" w:hAnsi="Verdana" w:cs="Century Gothic"/>
              </w:rPr>
              <w:t xml:space="preserve">Para estos efectos, no puede perderse de vista que –conforme al artículo 5.3 de la Ley 1150 de 2007– “[…] </w:t>
            </w:r>
            <w:r w:rsidRPr="00120EB3">
              <w:rPr>
                <w:rFonts w:ascii="Verdana" w:eastAsia="Century Gothic" w:hAnsi="Verdana" w:cs="Century Gothic"/>
              </w:rPr>
              <w:t>en los pliegos de condiciones para las contrataciones cuyo objeto sea la adquisición o suministro de bienes y servicios de características técnicas uniformes y común utilización, las entidades estatales incluirán como único factor de evaluación el menor precio ofrecido</w:t>
            </w:r>
            <w:r>
              <w:rPr>
                <w:rFonts w:ascii="Verdana" w:eastAsia="Century Gothic" w:hAnsi="Verdana" w:cs="Century Gothic"/>
              </w:rPr>
              <w:t>”; razón por la cual, no hay lugar a la ponderación de elementos adicionales en la subasta inversa, los acuerdos marco de precios o las bolsas de productos. Como en la licitación pública o en la selección abreviada de menor cuantía los demás elementos diferentes al precio son ponderables, la Agencia reitera la tesis del Concepto C-231 del 1˚ de abril de 2025.</w:t>
            </w:r>
          </w:p>
          <w:p w14:paraId="3D6744F6" w14:textId="77777777" w:rsidR="0092434F" w:rsidRDefault="0092434F" w:rsidP="00441EAC">
            <w:pPr>
              <w:spacing w:after="120" w:line="276" w:lineRule="auto"/>
              <w:ind w:firstLine="709"/>
              <w:jc w:val="both"/>
              <w:rPr>
                <w:rStyle w:val="s15"/>
                <w:rFonts w:ascii="Verdana" w:hAnsi="Verdana"/>
                <w:color w:val="000000"/>
              </w:rPr>
            </w:pPr>
            <w:r w:rsidRPr="001941FD">
              <w:rPr>
                <w:rStyle w:val="s15"/>
                <w:rFonts w:ascii="Verdana" w:hAnsi="Verdana"/>
                <w:color w:val="000000"/>
              </w:rPr>
              <w:t>Al margen de la explicación precedente debe advertirse que el análisis requerido para resolver problemas específicos en torno a la gestión contractual de las entidades públicas debe ser realizado por quienes tengan interés en ello, de acuerdo con lo explicado la aclaración preliminar del presente oficio.</w:t>
            </w:r>
            <w:r w:rsidRPr="001941FD">
              <w:rPr>
                <w:rStyle w:val="apple-converted-space"/>
                <w:rFonts w:ascii="Verdana" w:hAnsi="Verdana"/>
                <w:color w:val="000000"/>
              </w:rPr>
              <w:t> </w:t>
            </w:r>
            <w:r w:rsidRPr="001941FD">
              <w:rPr>
                <w:rStyle w:val="s15"/>
                <w:rFonts w:ascii="Verdana" w:hAnsi="Verdana"/>
                <w:color w:val="000000"/>
              </w:rPr>
              <w:t>Por lo anterior, previo</w:t>
            </w:r>
            <w:r w:rsidRPr="001941FD">
              <w:rPr>
                <w:rStyle w:val="apple-converted-space"/>
                <w:rFonts w:ascii="Verdana" w:hAnsi="Verdana"/>
                <w:color w:val="000000"/>
              </w:rPr>
              <w:t> </w:t>
            </w:r>
            <w:r w:rsidRPr="001941FD">
              <w:rPr>
                <w:rStyle w:val="s15"/>
                <w:rFonts w:ascii="Verdana" w:hAnsi="Verdana"/>
                <w:color w:val="000000"/>
              </w:rPr>
              <w:t xml:space="preserve">concepto de sus asesores, la solución de situaciones particulares corresponde a los interesados adoptar la decisión correspondiente y, en caso de conflicto, a las autoridades judiciales, fiscales y disciplinarias. Así, cada entidad definirá la forma de adelantar su gestión </w:t>
            </w:r>
            <w:r w:rsidRPr="001941FD">
              <w:rPr>
                <w:rStyle w:val="s15"/>
                <w:rFonts w:ascii="Verdana" w:hAnsi="Verdana"/>
                <w:color w:val="000000"/>
              </w:rPr>
              <w:lastRenderedPageBreak/>
              <w:t>contractual, sin que sea atribución de Colombia Compra Eficiente validar sus actuaciones.</w:t>
            </w:r>
          </w:p>
          <w:p w14:paraId="3DCD72A0" w14:textId="77777777" w:rsidR="0092434F" w:rsidRPr="001941FD" w:rsidRDefault="0092434F" w:rsidP="00441EAC">
            <w:pPr>
              <w:spacing w:line="276" w:lineRule="auto"/>
              <w:ind w:firstLine="709"/>
              <w:jc w:val="both"/>
              <w:rPr>
                <w:rFonts w:ascii="Verdana" w:eastAsia="Calibri" w:hAnsi="Verdana" w:cs="Arial"/>
                <w:bCs/>
                <w:color w:val="000000" w:themeColor="text1"/>
              </w:rPr>
            </w:pPr>
            <w:r w:rsidRPr="000E52E5">
              <w:rPr>
                <w:rFonts w:ascii="Verdana" w:eastAsia="Calibri" w:hAnsi="Verdana" w:cs="Arial"/>
                <w:bCs/>
                <w:color w:val="000000" w:themeColor="text1"/>
              </w:rPr>
              <w:t>Conforme al artículo 28 de la Ley 1437 de 2011, se informa al peticionario que “Salvo disposición legal en contrario, los conceptos emitidos por las autoridades como respuestas a peticiones realizadas en ejercicio del derecho a formular consultas no serán de obligatorio cumplimiento o ejecución”.</w:t>
            </w:r>
            <w:r>
              <w:rPr>
                <w:rFonts w:ascii="Verdana" w:eastAsia="Calibri" w:hAnsi="Verdana" w:cs="Arial"/>
                <w:bCs/>
                <w:color w:val="000000" w:themeColor="text1"/>
              </w:rPr>
              <w:t xml:space="preserve"> </w:t>
            </w:r>
            <w:r w:rsidRPr="000E52E5">
              <w:rPr>
                <w:rFonts w:ascii="Verdana" w:eastAsia="Calibri" w:hAnsi="Verdana" w:cs="Arial"/>
                <w:bCs/>
                <w:color w:val="000000" w:themeColor="text1"/>
                <w:lang w:val="es-ES_tradnl"/>
              </w:rPr>
              <w:t xml:space="preserve">Así las cosas, Colombia Compra Eficiente considera que no hay lugar a acceder, por ejemplo, a solicitudes de </w:t>
            </w:r>
            <w:r w:rsidRPr="000E52E5">
              <w:rPr>
                <w:rFonts w:ascii="Verdana" w:eastAsia="Calibri" w:hAnsi="Verdana" w:cs="Arial"/>
                <w:bCs/>
                <w:i/>
                <w:iCs/>
                <w:color w:val="000000" w:themeColor="text1"/>
                <w:lang w:val="es-ES_tradnl"/>
              </w:rPr>
              <w:t>revocación directa</w:t>
            </w:r>
            <w:r w:rsidRPr="000E52E5">
              <w:rPr>
                <w:rFonts w:ascii="Verdana" w:eastAsia="Calibri" w:hAnsi="Verdana" w:cs="Arial"/>
                <w:bCs/>
                <w:color w:val="000000" w:themeColor="text1"/>
                <w:lang w:val="es-ES_tradnl"/>
              </w:rPr>
              <w:t xml:space="preserve"> de los conceptos, pues no son actos administrativos, no tienen efectos vinculantes en relación con una situación jurídica particular y concreta, y exponen un criterio que, aunque jurídicamente fundamentado, no representan necesariamente la </w:t>
            </w:r>
            <w:r w:rsidRPr="000E52E5">
              <w:rPr>
                <w:rFonts w:ascii="Verdana" w:eastAsia="Calibri" w:hAnsi="Verdana" w:cs="Arial"/>
                <w:bCs/>
                <w:i/>
                <w:iCs/>
                <w:color w:val="000000" w:themeColor="text1"/>
                <w:lang w:val="es-ES_tradnl"/>
              </w:rPr>
              <w:t>única</w:t>
            </w:r>
            <w:r w:rsidRPr="000E52E5">
              <w:rPr>
                <w:rFonts w:ascii="Verdana" w:eastAsia="Calibri" w:hAnsi="Verdana" w:cs="Arial"/>
                <w:bCs/>
                <w:color w:val="000000" w:themeColor="text1"/>
                <w:lang w:val="es-ES_tradnl"/>
              </w:rPr>
              <w:t xml:space="preserve"> interpretación válida del ordenamiento jurídico.</w:t>
            </w:r>
          </w:p>
        </w:tc>
      </w:tr>
    </w:tbl>
    <w:p w14:paraId="2F09CDAA" w14:textId="77777777" w:rsidR="0092434F" w:rsidRPr="00593A5F" w:rsidRDefault="0092434F" w:rsidP="0092434F">
      <w:pPr>
        <w:tabs>
          <w:tab w:val="left" w:pos="142"/>
          <w:tab w:val="left" w:pos="284"/>
        </w:tabs>
        <w:spacing w:after="0" w:line="276" w:lineRule="auto"/>
        <w:jc w:val="both"/>
        <w:rPr>
          <w:rFonts w:ascii="Verdana" w:eastAsia="Century Gothic" w:hAnsi="Verdana" w:cs="Century Gothic"/>
          <w:b/>
          <w:bCs/>
          <w:lang w:val="es-ES"/>
        </w:rPr>
      </w:pPr>
    </w:p>
    <w:bookmarkEnd w:id="1"/>
    <w:p w14:paraId="2623BFB6" w14:textId="77777777" w:rsidR="0092434F" w:rsidRPr="00593A5F" w:rsidRDefault="0092434F" w:rsidP="0092434F">
      <w:pPr>
        <w:pStyle w:val="ListParagraph"/>
        <w:numPr>
          <w:ilvl w:val="0"/>
          <w:numId w:val="16"/>
        </w:numPr>
        <w:tabs>
          <w:tab w:val="left" w:pos="142"/>
          <w:tab w:val="left" w:pos="284"/>
        </w:tabs>
        <w:spacing w:after="0" w:line="276" w:lineRule="auto"/>
        <w:ind w:left="0" w:firstLine="0"/>
        <w:contextualSpacing w:val="0"/>
        <w:jc w:val="both"/>
        <w:rPr>
          <w:rFonts w:ascii="Verdana" w:eastAsia="Century Gothic" w:hAnsi="Verdana" w:cs="Century Gothic"/>
          <w:b/>
          <w:bCs/>
        </w:rPr>
      </w:pPr>
      <w:r w:rsidRPr="00593A5F">
        <w:rPr>
          <w:rFonts w:ascii="Verdana" w:eastAsia="Century Gothic" w:hAnsi="Verdana" w:cs="Century Gothic"/>
          <w:b/>
          <w:bCs/>
        </w:rPr>
        <w:t>Razones de la respuesta:</w:t>
      </w:r>
    </w:p>
    <w:p w14:paraId="447E717F" w14:textId="77777777" w:rsidR="0092434F" w:rsidRPr="00593A5F" w:rsidRDefault="0092434F" w:rsidP="0092434F">
      <w:pPr>
        <w:spacing w:after="0" w:line="276" w:lineRule="auto"/>
        <w:jc w:val="both"/>
        <w:rPr>
          <w:rFonts w:ascii="Verdana" w:eastAsia="Calibri" w:hAnsi="Verdana" w:cs="Arial"/>
          <w:color w:val="7030A0"/>
          <w:lang w:val="es-ES"/>
        </w:rPr>
      </w:pPr>
    </w:p>
    <w:p w14:paraId="41D500CF" w14:textId="77777777" w:rsidR="0092434F" w:rsidRDefault="0092434F" w:rsidP="0092434F">
      <w:pPr>
        <w:spacing w:after="0" w:line="276" w:lineRule="auto"/>
        <w:jc w:val="both"/>
        <w:rPr>
          <w:rFonts w:ascii="Verdana" w:eastAsia="Calibri" w:hAnsi="Verdana" w:cs="Arial"/>
          <w:lang w:val="es-ES"/>
        </w:rPr>
      </w:pPr>
      <w:r w:rsidRPr="00B96799">
        <w:rPr>
          <w:rFonts w:ascii="Verdana" w:eastAsia="Calibri" w:hAnsi="Verdana" w:cs="Arial"/>
          <w:lang w:val="es-ES"/>
        </w:rPr>
        <w:t>Lo anterior se sustenta en las siguientes consideraciones:</w:t>
      </w:r>
    </w:p>
    <w:p w14:paraId="238CDFB7" w14:textId="77777777" w:rsidR="0092434F" w:rsidRPr="00415608" w:rsidRDefault="0092434F" w:rsidP="0092434F">
      <w:pPr>
        <w:spacing w:after="0" w:line="276" w:lineRule="auto"/>
        <w:jc w:val="both"/>
        <w:rPr>
          <w:rFonts w:ascii="Verdana" w:eastAsia="Calibri" w:hAnsi="Verdana" w:cs="Arial"/>
          <w:lang w:val="es-ES"/>
        </w:rPr>
      </w:pPr>
    </w:p>
    <w:p w14:paraId="6E6F3323" w14:textId="77777777" w:rsidR="0092434F" w:rsidRPr="00856F20" w:rsidRDefault="0092434F" w:rsidP="186C6763">
      <w:pPr>
        <w:tabs>
          <w:tab w:val="left" w:pos="426"/>
        </w:tabs>
        <w:spacing w:after="0" w:line="276" w:lineRule="auto"/>
        <w:jc w:val="both"/>
        <w:rPr>
          <w:rFonts w:ascii="Verdana" w:eastAsia="Calibri" w:hAnsi="Verdana" w:cs="Arial"/>
          <w:lang w:val="es-ES"/>
        </w:rPr>
      </w:pPr>
      <w:r w:rsidRPr="186C6763">
        <w:rPr>
          <w:rFonts w:ascii="Verdana" w:eastAsia="Calibri" w:hAnsi="Verdana" w:cs="Arial"/>
          <w:color w:val="000000" w:themeColor="text1"/>
          <w:lang w:val="es-ES" w:eastAsia="es-ES"/>
        </w:rPr>
        <w:t xml:space="preserve">i. </w:t>
      </w:r>
      <w:r w:rsidRPr="186C6763">
        <w:rPr>
          <w:rFonts w:ascii="Verdana" w:eastAsia="Calibri" w:hAnsi="Verdana" w:cs="Arial"/>
          <w:lang w:val="es-ES"/>
        </w:rPr>
        <w:t>En ejercicio de las competencias consagradas en los artículos 3, numeral 5, 11, numeral 8, 12, numeral 6, y 13, numeral 4, del Decreto 4170 de 2011, la Agencia Nacional de Contratación Pública – Colombia Compra Eficiente resuelve consultas sobre los asuntos de su competencia, esto es, sobre las normas que conforman el sistema de compras y contratación pública. Esta competencia consultiva se relaciona con el artículo 28 de la Ley 1437 de 2011, sustituido por el artículo 1 de la Ley 1755, que dispone lo siguiente:</w:t>
      </w:r>
    </w:p>
    <w:p w14:paraId="3B09C6BE" w14:textId="77777777" w:rsidR="0092434F" w:rsidRPr="00856F20" w:rsidRDefault="0092434F" w:rsidP="0092434F">
      <w:pPr>
        <w:tabs>
          <w:tab w:val="left" w:pos="426"/>
        </w:tabs>
        <w:spacing w:after="0" w:line="276" w:lineRule="auto"/>
        <w:jc w:val="both"/>
        <w:rPr>
          <w:rFonts w:ascii="Verdana" w:eastAsia="Calibri" w:hAnsi="Verdana" w:cs="Arial"/>
          <w:bCs/>
          <w:lang w:val="es-ES_tradnl"/>
        </w:rPr>
      </w:pPr>
    </w:p>
    <w:p w14:paraId="011A38A0" w14:textId="77777777" w:rsidR="0092434F" w:rsidRPr="005A3914" w:rsidRDefault="0092434F" w:rsidP="0092434F">
      <w:pPr>
        <w:tabs>
          <w:tab w:val="left" w:pos="426"/>
        </w:tabs>
        <w:spacing w:after="0" w:line="240" w:lineRule="auto"/>
        <w:ind w:left="709" w:right="709"/>
        <w:jc w:val="both"/>
        <w:rPr>
          <w:rFonts w:ascii="Verdana" w:eastAsia="Calibri" w:hAnsi="Verdana" w:cs="Arial"/>
          <w:bCs/>
          <w:sz w:val="20"/>
          <w:szCs w:val="20"/>
          <w:lang w:val="es-ES_tradnl"/>
        </w:rPr>
      </w:pPr>
      <w:r w:rsidRPr="005A3914">
        <w:rPr>
          <w:rFonts w:ascii="Verdana" w:eastAsia="Calibri" w:hAnsi="Verdana" w:cs="Arial"/>
          <w:bCs/>
          <w:sz w:val="20"/>
          <w:szCs w:val="20"/>
          <w:lang w:val="es-ES_tradnl"/>
        </w:rPr>
        <w:t xml:space="preserve">“Artículo 28. Alcance de los conceptos. Salvo disposición legal en contrario, los conceptos emitidos por las autoridades como respuestas a peticiones realizadas en ejercicio del derecho a formular consultas no serán de obligatorio cumplimiento o ejecución”.  </w:t>
      </w:r>
    </w:p>
    <w:p w14:paraId="65FAFE2E" w14:textId="77777777" w:rsidR="0092434F" w:rsidRPr="00856F20" w:rsidRDefault="0092434F" w:rsidP="0092434F">
      <w:pPr>
        <w:tabs>
          <w:tab w:val="left" w:pos="426"/>
        </w:tabs>
        <w:spacing w:after="0" w:line="276" w:lineRule="auto"/>
        <w:jc w:val="both"/>
        <w:rPr>
          <w:rFonts w:ascii="Verdana" w:eastAsia="Calibri" w:hAnsi="Verdana" w:cs="Arial"/>
          <w:bCs/>
          <w:lang w:val="es-ES_tradnl"/>
        </w:rPr>
      </w:pPr>
    </w:p>
    <w:p w14:paraId="68F6236B" w14:textId="77777777" w:rsidR="0092434F" w:rsidRPr="00856F20" w:rsidRDefault="0092434F" w:rsidP="0092434F">
      <w:pPr>
        <w:tabs>
          <w:tab w:val="left" w:pos="709"/>
        </w:tabs>
        <w:spacing w:line="276" w:lineRule="auto"/>
        <w:jc w:val="both"/>
        <w:rPr>
          <w:rFonts w:ascii="Verdana" w:eastAsia="Calibri" w:hAnsi="Verdana" w:cs="Arial"/>
          <w:bCs/>
          <w:lang w:val="es-ES_tradnl"/>
        </w:rPr>
      </w:pPr>
      <w:r w:rsidRPr="00856F20">
        <w:rPr>
          <w:rFonts w:ascii="Verdana" w:eastAsia="Calibri" w:hAnsi="Verdana" w:cs="Arial"/>
          <w:bCs/>
          <w:lang w:val="es-ES_tradnl"/>
        </w:rPr>
        <w:tab/>
        <w:t>La ley es clara cuando establece que los conceptos, emitidos por las autoridades al responder peticiones realizadas en ejercicio del derecho a formular consultas, no son de obligatorio cumplimiento o ejecución, en otras palabras, no tienen efectos vinculantes. Las respuestas emitidas como concepto, entonces, consisten en la posición hermenéutica que las entidades tienen respecto del ordenamiento jurídico. Esto explica por qué esta Agencia, reiteradamente, no resuelve controversias concretas ni brinda asesorías puntuales a los partícipes de la contratación estatal.</w:t>
      </w:r>
    </w:p>
    <w:p w14:paraId="45B9BD14" w14:textId="77777777" w:rsidR="0092434F" w:rsidRPr="00856F20" w:rsidRDefault="0092434F" w:rsidP="0092434F">
      <w:pPr>
        <w:tabs>
          <w:tab w:val="left" w:pos="709"/>
        </w:tabs>
        <w:spacing w:before="120" w:line="276" w:lineRule="auto"/>
        <w:jc w:val="both"/>
        <w:rPr>
          <w:rFonts w:ascii="Verdana" w:eastAsia="Calibri" w:hAnsi="Verdana" w:cs="Arial"/>
          <w:bCs/>
          <w:sz w:val="21"/>
          <w:szCs w:val="21"/>
          <w:lang w:val="es-ES_tradnl"/>
        </w:rPr>
      </w:pPr>
      <w:r w:rsidRPr="00856F20">
        <w:rPr>
          <w:rFonts w:ascii="Verdana" w:eastAsia="Calibri" w:hAnsi="Verdana" w:cs="Arial"/>
          <w:bCs/>
          <w:lang w:val="es-ES_tradnl"/>
        </w:rPr>
        <w:lastRenderedPageBreak/>
        <w:tab/>
        <w:t xml:space="preserve">Esta posición es compartida por varias entidades públicas que ejercen la misma función. Por ejemplo, la Procuraduría General de la Nación aclaró que el concepto </w:t>
      </w:r>
      <w:r>
        <w:rPr>
          <w:rFonts w:ascii="Verdana" w:eastAsia="Calibri" w:hAnsi="Verdana" w:cs="Arial"/>
          <w:bCs/>
          <w:lang w:val="es-ES_tradnl"/>
        </w:rPr>
        <w:t>“</w:t>
      </w:r>
      <w:r w:rsidRPr="00856F20">
        <w:rPr>
          <w:rFonts w:ascii="Verdana" w:eastAsia="Calibri" w:hAnsi="Verdana" w:cs="Arial"/>
          <w:bCs/>
          <w:lang w:val="es-ES_tradnl"/>
        </w:rPr>
        <w:t>sólo constituye un criterio auxiliar de interpretación y que no tiene carácter vinculante de acuerdo con lo dispuesto en los artículos 230 de la Constitución Política, 5° de la Ley 153 de 1887 y 28 de la ley 1437 de 2011</w:t>
      </w:r>
      <w:r>
        <w:rPr>
          <w:rFonts w:ascii="Verdana" w:eastAsia="Calibri" w:hAnsi="Verdana" w:cs="Arial"/>
          <w:bCs/>
          <w:lang w:val="es-ES_tradnl"/>
        </w:rPr>
        <w:t>”</w:t>
      </w:r>
      <w:r w:rsidRPr="00856F20">
        <w:rPr>
          <w:rStyle w:val="FootnoteReference"/>
          <w:rFonts w:ascii="Verdana" w:eastAsia="Calibri" w:hAnsi="Verdana" w:cs="Arial"/>
          <w:bCs/>
          <w:lang w:val="es-ES_tradnl"/>
        </w:rPr>
        <w:footnoteReference w:id="2"/>
      </w:r>
      <w:r w:rsidRPr="00856F20">
        <w:rPr>
          <w:rFonts w:ascii="Verdana" w:eastAsia="Calibri" w:hAnsi="Verdana" w:cs="Arial"/>
          <w:bCs/>
          <w:lang w:val="es-ES_tradnl"/>
        </w:rPr>
        <w:t>. Igualmente, en concepto del año 2017</w:t>
      </w:r>
      <w:r w:rsidRPr="00856F20">
        <w:rPr>
          <w:rStyle w:val="FootnoteReference"/>
          <w:rFonts w:ascii="Verdana" w:eastAsia="Calibri" w:hAnsi="Verdana" w:cs="Arial"/>
          <w:bCs/>
          <w:lang w:val="es-ES_tradnl"/>
        </w:rPr>
        <w:footnoteReference w:id="3"/>
      </w:r>
      <w:r w:rsidRPr="00856F20">
        <w:rPr>
          <w:rFonts w:ascii="Verdana" w:eastAsia="Calibri" w:hAnsi="Verdana" w:cs="Arial"/>
          <w:bCs/>
          <w:lang w:val="es-ES_tradnl"/>
        </w:rPr>
        <w:t xml:space="preserve">, la Contraloría General de la República precisó que los </w:t>
      </w:r>
      <w:r>
        <w:rPr>
          <w:rFonts w:ascii="Verdana" w:eastAsia="Calibri" w:hAnsi="Verdana" w:cs="Arial"/>
          <w:bCs/>
          <w:lang w:val="es-ES_tradnl"/>
        </w:rPr>
        <w:t>“</w:t>
      </w:r>
      <w:r w:rsidRPr="00856F20">
        <w:rPr>
          <w:rFonts w:ascii="Verdana" w:eastAsia="Calibri" w:hAnsi="Verdana" w:cs="Arial"/>
          <w:bCs/>
          <w:lang w:val="es-ES_tradnl"/>
        </w:rPr>
        <w:t>[…] conceptos emitidos por la Oficina Jurídica de la Contraloría General de la República, son orientaciones de carácter general que […] no son de obligatorio cumplimiento o ejecución, ni tienen el carácter de fuente normativa y sólo pueden ser utilizados para facilitar la interpretación y aplicación de las normas jurídicas vigentes […]</w:t>
      </w:r>
      <w:r>
        <w:rPr>
          <w:rFonts w:ascii="Verdana" w:eastAsia="Calibri" w:hAnsi="Verdana" w:cs="Arial"/>
          <w:bCs/>
          <w:lang w:val="es-ES_tradnl"/>
        </w:rPr>
        <w:t>”</w:t>
      </w:r>
      <w:r w:rsidRPr="00856F20">
        <w:rPr>
          <w:rFonts w:ascii="Verdana" w:eastAsia="Calibri" w:hAnsi="Verdana" w:cs="Arial"/>
          <w:bCs/>
          <w:lang w:val="es-ES_tradnl"/>
        </w:rPr>
        <w:t>.</w:t>
      </w:r>
    </w:p>
    <w:p w14:paraId="01976FC0" w14:textId="77777777" w:rsidR="0092434F" w:rsidRPr="00856F20" w:rsidRDefault="0092434F" w:rsidP="0092434F">
      <w:pPr>
        <w:tabs>
          <w:tab w:val="left" w:pos="709"/>
        </w:tabs>
        <w:spacing w:before="120" w:line="276" w:lineRule="auto"/>
        <w:jc w:val="both"/>
        <w:rPr>
          <w:rFonts w:ascii="Verdana" w:eastAsia="Calibri" w:hAnsi="Verdana" w:cs="Arial"/>
          <w:bCs/>
          <w:lang w:val="es-ES_tradnl"/>
        </w:rPr>
      </w:pPr>
      <w:r w:rsidRPr="00856F20">
        <w:rPr>
          <w:rFonts w:ascii="Verdana" w:eastAsia="Calibri" w:hAnsi="Verdana" w:cs="Arial"/>
          <w:bCs/>
          <w:lang w:val="es-ES_tradnl"/>
        </w:rPr>
        <w:tab/>
        <w:t xml:space="preserve">En términos generales, lo que se busca con el ejercicio de la función consultiva es que la opinión jurídica de la Agencia Nacional de Contratación Pública – Colombia Compra Eficiente sea un criterio de orientación para los operadores jurídicos, sin que ello suponga resolver un problema entre partes o asumir la </w:t>
      </w:r>
      <w:r w:rsidRPr="00856F20">
        <w:rPr>
          <w:rFonts w:ascii="Verdana" w:eastAsia="Calibri" w:hAnsi="Verdana" w:cs="Arial"/>
          <w:bCs/>
          <w:i/>
          <w:iCs/>
          <w:lang w:val="es-ES_tradnl"/>
        </w:rPr>
        <w:t>única</w:t>
      </w:r>
      <w:r w:rsidRPr="00856F20">
        <w:rPr>
          <w:rFonts w:ascii="Verdana" w:eastAsia="Calibri" w:hAnsi="Verdana" w:cs="Arial"/>
          <w:bCs/>
          <w:lang w:val="es-ES_tradnl"/>
        </w:rPr>
        <w:t xml:space="preserve"> posible interpretación de una disposición normativa. Esto no descarta que, en la práctica, al emitirse la opinión sobre la interpretación del ordenamiento jurídico, exista coincidencia con el criterio que expone alguna de las partes o la persona que solicita la consulta, circunstancia que no descarta interpretaciones diferentes</w:t>
      </w:r>
      <w:r w:rsidRPr="00856F20">
        <w:rPr>
          <w:rStyle w:val="FootnoteReference"/>
          <w:rFonts w:ascii="Verdana" w:eastAsia="Calibri" w:hAnsi="Verdana" w:cs="Arial"/>
          <w:bCs/>
          <w:lang w:val="es-ES_tradnl"/>
        </w:rPr>
        <w:footnoteReference w:id="4"/>
      </w:r>
      <w:r w:rsidRPr="00856F20">
        <w:rPr>
          <w:rFonts w:ascii="Verdana" w:eastAsia="Calibri" w:hAnsi="Verdana" w:cs="Arial"/>
          <w:bCs/>
          <w:lang w:val="es-ES_tradnl"/>
        </w:rPr>
        <w:t>.</w:t>
      </w:r>
    </w:p>
    <w:p w14:paraId="126E9185" w14:textId="77777777" w:rsidR="00B1040C" w:rsidRDefault="0092434F" w:rsidP="186C6763">
      <w:pPr>
        <w:tabs>
          <w:tab w:val="left" w:pos="709"/>
        </w:tabs>
        <w:spacing w:before="120" w:line="276" w:lineRule="auto"/>
        <w:ind w:firstLine="709"/>
        <w:jc w:val="both"/>
        <w:rPr>
          <w:rFonts w:ascii="Verdana" w:eastAsia="Calibri" w:hAnsi="Verdana" w:cs="Arial"/>
          <w:lang w:val="es-ES"/>
        </w:rPr>
      </w:pPr>
      <w:r w:rsidRPr="186C6763">
        <w:rPr>
          <w:rFonts w:ascii="Verdana" w:eastAsia="Calibri" w:hAnsi="Verdana" w:cs="Arial"/>
          <w:lang w:val="es-ES"/>
        </w:rPr>
        <w:t xml:space="preserve">Las autoridades que ejercen funciones consultivas pueden expresar su interpretación de un precepto normativo que no excluye otras interpretaciones posibles, pues el derecho, como sistema normativo, es un lenguaje que, en ocasiones, se tiñe de vaguedad, en virtud de la utilización de conceptos jurídicos indeterminados. Así, puede pasar, por ejemplo, que un ministerio considere que una norma debe entenderse en un sentido, pero que otra entidad, vinculada o adscrita a ese ministerio, entienda que la misma norma debe interpretarse de otra manera. Eso hace parte de la lógica deliberativa y dialéctica del funcionamiento del Estado y refleja el principio democrático. </w:t>
      </w:r>
    </w:p>
    <w:p w14:paraId="29A6D72B" w14:textId="24C583BE" w:rsidR="0092434F" w:rsidRPr="00856F20" w:rsidRDefault="0092434F" w:rsidP="0092434F">
      <w:pPr>
        <w:tabs>
          <w:tab w:val="left" w:pos="709"/>
        </w:tabs>
        <w:spacing w:before="120" w:line="276" w:lineRule="auto"/>
        <w:ind w:firstLine="709"/>
        <w:jc w:val="both"/>
        <w:rPr>
          <w:rFonts w:ascii="Verdana" w:eastAsia="Calibri" w:hAnsi="Verdana" w:cs="Arial"/>
          <w:bCs/>
          <w:lang w:val="es-ES_tradnl"/>
        </w:rPr>
      </w:pPr>
      <w:r w:rsidRPr="00856F20">
        <w:rPr>
          <w:rFonts w:ascii="Verdana" w:eastAsia="Calibri" w:hAnsi="Verdana" w:cs="Arial"/>
          <w:bCs/>
          <w:lang w:val="es-ES_tradnl"/>
        </w:rPr>
        <w:t xml:space="preserve">De todos modos, </w:t>
      </w:r>
      <w:r w:rsidR="00B1040C">
        <w:rPr>
          <w:rFonts w:ascii="Verdana" w:eastAsia="Calibri" w:hAnsi="Verdana" w:cs="Arial"/>
          <w:bCs/>
          <w:lang w:val="es-ES_tradnl"/>
        </w:rPr>
        <w:t>lo anterior</w:t>
      </w:r>
      <w:r w:rsidR="00B1040C" w:rsidRPr="00856F20">
        <w:rPr>
          <w:rFonts w:ascii="Verdana" w:eastAsia="Calibri" w:hAnsi="Verdana" w:cs="Arial"/>
          <w:bCs/>
          <w:lang w:val="es-ES_tradnl"/>
        </w:rPr>
        <w:t xml:space="preserve"> </w:t>
      </w:r>
      <w:r w:rsidRPr="00856F20">
        <w:rPr>
          <w:rFonts w:ascii="Verdana" w:eastAsia="Calibri" w:hAnsi="Verdana" w:cs="Arial"/>
          <w:bCs/>
          <w:lang w:val="es-ES_tradnl"/>
        </w:rPr>
        <w:t xml:space="preserve">no significa que el criterio de una u otra tenga validez o prevalencia sobre la otra, ya que se trata de opiniones emitidas a título </w:t>
      </w:r>
      <w:r w:rsidRPr="00856F20">
        <w:rPr>
          <w:rFonts w:ascii="Verdana" w:eastAsia="Calibri" w:hAnsi="Verdana" w:cs="Arial"/>
          <w:bCs/>
          <w:lang w:val="es-ES_tradnl"/>
        </w:rPr>
        <w:lastRenderedPageBreak/>
        <w:t xml:space="preserve">de concepto, pese a que entre las entidades exista una jerarquía o de la naturaleza y competencias que se prediquen de una y otra. Incluso, aun cuando los jueces interpreten con autoridad el sentido de la disposición normativa, el concepto emitido por la entidad no deja de ser tal y no adquiere efectos vinculantes, por más que coincida con el de la autoridad judicial, pues, en esa hipótesis, lo que vincula es la decisión del juez, no el de la entidad que ejerció la función consultiva, pues, como se viene diciendo, dicha competencia se enmarca en el artículo 28 de la Ley 1437 de 2011. En otras palabras, los conceptos </w:t>
      </w:r>
      <w:r>
        <w:rPr>
          <w:rFonts w:ascii="Verdana" w:eastAsia="Calibri" w:hAnsi="Verdana" w:cs="Arial"/>
          <w:bCs/>
          <w:lang w:val="es-ES_tradnl"/>
        </w:rPr>
        <w:t>“</w:t>
      </w:r>
      <w:r w:rsidRPr="00856F20">
        <w:rPr>
          <w:rFonts w:ascii="Verdana" w:eastAsia="Calibri" w:hAnsi="Verdana" w:cs="Arial"/>
          <w:bCs/>
          <w:lang w:val="es-ES_tradnl"/>
        </w:rPr>
        <w:t>no serán de obligatorio cumplimiento o ejecución</w:t>
      </w:r>
      <w:r>
        <w:rPr>
          <w:rFonts w:ascii="Verdana" w:eastAsia="Calibri" w:hAnsi="Verdana" w:cs="Arial"/>
          <w:bCs/>
          <w:lang w:val="es-ES_tradnl"/>
        </w:rPr>
        <w:t>”</w:t>
      </w:r>
      <w:r w:rsidRPr="00856F20">
        <w:rPr>
          <w:rFonts w:ascii="Verdana" w:eastAsia="Calibri" w:hAnsi="Verdana" w:cs="Arial"/>
          <w:bCs/>
          <w:lang w:val="es-ES_tradnl"/>
        </w:rPr>
        <w:t xml:space="preserve">. </w:t>
      </w:r>
    </w:p>
    <w:p w14:paraId="00994BDE" w14:textId="77777777" w:rsidR="0092434F" w:rsidRPr="00856F20" w:rsidRDefault="0092434F" w:rsidP="0092434F">
      <w:pPr>
        <w:tabs>
          <w:tab w:val="left" w:pos="709"/>
        </w:tabs>
        <w:spacing w:before="120" w:after="0" w:line="276" w:lineRule="auto"/>
        <w:jc w:val="both"/>
        <w:rPr>
          <w:rFonts w:ascii="Verdana" w:eastAsia="Calibri" w:hAnsi="Verdana" w:cs="Arial"/>
          <w:bCs/>
          <w:lang w:val="es-ES_tradnl"/>
        </w:rPr>
      </w:pPr>
      <w:r w:rsidRPr="00856F20">
        <w:rPr>
          <w:rFonts w:ascii="Verdana" w:eastAsia="Calibri" w:hAnsi="Verdana" w:cs="Arial"/>
          <w:bCs/>
          <w:lang w:val="es-ES_tradnl"/>
        </w:rPr>
        <w:tab/>
        <w:t xml:space="preserve">En similares términos, el artículo 112 de la Ley 1437 de 2011 establece, en relación con la Sala de Consulta y Servicio Civil, que </w:t>
      </w:r>
      <w:r>
        <w:rPr>
          <w:rFonts w:ascii="Verdana" w:eastAsia="Calibri" w:hAnsi="Verdana" w:cs="Arial"/>
          <w:bCs/>
          <w:lang w:val="es-ES_tradnl"/>
        </w:rPr>
        <w:t>“</w:t>
      </w:r>
      <w:r w:rsidRPr="00856F20">
        <w:rPr>
          <w:rFonts w:ascii="Verdana" w:eastAsia="Calibri" w:hAnsi="Verdana" w:cs="Arial"/>
          <w:bCs/>
          <w:lang w:val="es-ES_tradnl"/>
        </w:rPr>
        <w:t>los conceptos de la Sala no serán vinculantes, salvo que la ley disponga lo contrario</w:t>
      </w:r>
      <w:r>
        <w:rPr>
          <w:rFonts w:ascii="Verdana" w:eastAsia="Calibri" w:hAnsi="Verdana" w:cs="Arial"/>
          <w:bCs/>
          <w:lang w:val="es-ES_tradnl"/>
        </w:rPr>
        <w:t>”</w:t>
      </w:r>
      <w:r w:rsidRPr="00856F20">
        <w:rPr>
          <w:rStyle w:val="FootnoteReference"/>
          <w:rFonts w:ascii="Verdana" w:eastAsia="Calibri" w:hAnsi="Verdana" w:cs="Arial"/>
          <w:bCs/>
          <w:lang w:val="es-ES_tradnl"/>
        </w:rPr>
        <w:footnoteReference w:id="5"/>
      </w:r>
      <w:r w:rsidRPr="00856F20">
        <w:rPr>
          <w:rFonts w:ascii="Verdana" w:eastAsia="Calibri" w:hAnsi="Verdana" w:cs="Arial"/>
          <w:bCs/>
          <w:lang w:val="es-ES_tradnl"/>
        </w:rPr>
        <w:t xml:space="preserve">. Se trata, </w:t>
      </w:r>
      <w:r w:rsidRPr="00856F20">
        <w:rPr>
          <w:rFonts w:ascii="Verdana" w:eastAsia="Calibri" w:hAnsi="Verdana" w:cs="Arial"/>
          <w:bCs/>
          <w:i/>
          <w:iCs/>
          <w:lang w:val="es-ES_tradnl"/>
        </w:rPr>
        <w:t>mutatis mutandis</w:t>
      </w:r>
      <w:r w:rsidRPr="00856F20">
        <w:rPr>
          <w:rFonts w:ascii="Verdana" w:eastAsia="Calibri" w:hAnsi="Verdana" w:cs="Arial"/>
          <w:bCs/>
          <w:lang w:val="es-ES_tradnl"/>
        </w:rPr>
        <w:t>,</w:t>
      </w:r>
      <w:r w:rsidRPr="00856F20">
        <w:rPr>
          <w:rFonts w:ascii="Verdana" w:eastAsia="Calibri" w:hAnsi="Verdana" w:cs="Arial"/>
          <w:bCs/>
          <w:i/>
          <w:iCs/>
          <w:lang w:val="es-ES_tradnl"/>
        </w:rPr>
        <w:t xml:space="preserve"> </w:t>
      </w:r>
      <w:r w:rsidRPr="00856F20">
        <w:rPr>
          <w:rFonts w:ascii="Verdana" w:eastAsia="Calibri" w:hAnsi="Verdana" w:cs="Arial"/>
          <w:bCs/>
          <w:lang w:val="es-ES_tradnl"/>
        </w:rPr>
        <w:t>del ejercicio de una función consultiva, cuyos efectos, por ende, serán los mismos: no vinculantes ni de obligatorio cumplimiento. En relación con el tema, la Sala de Consulta y Servicio Civil del Consejo de Estado, se pronunció en los siguientes términos:</w:t>
      </w:r>
    </w:p>
    <w:p w14:paraId="140027F4" w14:textId="77777777" w:rsidR="0092434F" w:rsidRPr="00856F20" w:rsidRDefault="0092434F" w:rsidP="0092434F">
      <w:pPr>
        <w:tabs>
          <w:tab w:val="left" w:pos="426"/>
        </w:tabs>
        <w:spacing w:after="0" w:line="276" w:lineRule="auto"/>
        <w:jc w:val="both"/>
        <w:rPr>
          <w:rFonts w:ascii="Verdana" w:eastAsia="Calibri" w:hAnsi="Verdana" w:cs="Arial"/>
          <w:bCs/>
          <w:lang w:val="es-ES_tradnl"/>
        </w:rPr>
      </w:pPr>
    </w:p>
    <w:p w14:paraId="6509827C" w14:textId="77777777" w:rsidR="0092434F" w:rsidRDefault="0092434F" w:rsidP="186C6763">
      <w:pPr>
        <w:tabs>
          <w:tab w:val="left" w:pos="426"/>
        </w:tabs>
        <w:spacing w:after="0" w:line="240" w:lineRule="auto"/>
        <w:ind w:left="709" w:right="709"/>
        <w:jc w:val="both"/>
        <w:rPr>
          <w:rFonts w:ascii="Verdana" w:eastAsia="Calibri" w:hAnsi="Verdana" w:cs="Arial"/>
          <w:sz w:val="20"/>
          <w:szCs w:val="20"/>
          <w:lang w:val="es-ES"/>
        </w:rPr>
      </w:pPr>
      <w:r w:rsidRPr="005A3914">
        <w:rPr>
          <w:rFonts w:ascii="Verdana" w:eastAsia="Calibri" w:hAnsi="Verdana" w:cs="Arial"/>
          <w:sz w:val="20"/>
          <w:szCs w:val="20"/>
          <w:lang w:val="es-ES"/>
        </w:rPr>
        <w:t xml:space="preserve">“De otra parte, recuerda la Sala que la función consultiva no constituye un trámite controversial de tipo judicial; se encuentra establecida como un mecanismo constitucional dirigido a asegurar que la actuación de la Administración se adecue al ordenamiento jurídico y al interés general por el que le corresponde velar en el ejercicio de sus funciones. La defensa del ordenamiento jurídico por esta vía se realiza a través de un órgano independiente y autónomo del poder judicial, que actúa por tanto con independencia de criterios, dentro de una lógica de colaboración armónica de poderes (art.113 C.P).  </w:t>
      </w:r>
    </w:p>
    <w:p w14:paraId="3615472C" w14:textId="77777777" w:rsidR="00245AD2" w:rsidRPr="005A3914" w:rsidRDefault="00245AD2" w:rsidP="005A3914">
      <w:pPr>
        <w:tabs>
          <w:tab w:val="left" w:pos="426"/>
        </w:tabs>
        <w:spacing w:after="0" w:line="240" w:lineRule="auto"/>
        <w:ind w:left="709" w:right="709"/>
        <w:jc w:val="both"/>
        <w:rPr>
          <w:rFonts w:ascii="Verdana" w:eastAsia="Calibri" w:hAnsi="Verdana" w:cs="Arial"/>
          <w:bCs/>
          <w:sz w:val="20"/>
          <w:szCs w:val="20"/>
          <w:lang w:val="es-ES_tradnl"/>
        </w:rPr>
      </w:pPr>
    </w:p>
    <w:p w14:paraId="38DFBDA4" w14:textId="77777777" w:rsidR="0092434F" w:rsidRPr="005A3914" w:rsidRDefault="0092434F" w:rsidP="00245AD2">
      <w:pPr>
        <w:tabs>
          <w:tab w:val="left" w:pos="426"/>
        </w:tabs>
        <w:spacing w:after="0" w:line="240" w:lineRule="auto"/>
        <w:ind w:left="709" w:right="709"/>
        <w:jc w:val="both"/>
        <w:rPr>
          <w:rFonts w:ascii="Verdana" w:eastAsia="Calibri" w:hAnsi="Verdana" w:cs="Arial"/>
          <w:bCs/>
          <w:sz w:val="20"/>
          <w:szCs w:val="20"/>
          <w:lang w:val="es-ES_tradnl"/>
        </w:rPr>
      </w:pPr>
      <w:r w:rsidRPr="005A3914">
        <w:rPr>
          <w:rFonts w:ascii="Verdana" w:eastAsia="Calibri" w:hAnsi="Verdana" w:cs="Arial"/>
          <w:bCs/>
          <w:sz w:val="20"/>
          <w:szCs w:val="20"/>
          <w:lang w:val="es-ES_tradnl"/>
        </w:rPr>
        <w:t>No se trata entonces de dar la razón a una u otra posición en temas controvertibles, sino de rendir un concepto jurídico que sirva a la Administración en la búsqueda del cumplimiento de las finalidades esenciales del Estado”</w:t>
      </w:r>
      <w:r w:rsidRPr="005A3914">
        <w:rPr>
          <w:rStyle w:val="FootnoteReference"/>
          <w:rFonts w:ascii="Verdana" w:eastAsia="Calibri" w:hAnsi="Verdana" w:cs="Arial"/>
          <w:bCs/>
          <w:sz w:val="20"/>
          <w:szCs w:val="20"/>
          <w:lang w:val="es-ES_tradnl"/>
        </w:rPr>
        <w:footnoteReference w:id="6"/>
      </w:r>
      <w:r w:rsidRPr="005A3914">
        <w:rPr>
          <w:rFonts w:ascii="Verdana" w:eastAsia="Calibri" w:hAnsi="Verdana" w:cs="Arial"/>
          <w:bCs/>
          <w:sz w:val="20"/>
          <w:szCs w:val="20"/>
          <w:lang w:val="es-ES_tradnl"/>
        </w:rPr>
        <w:t>.</w:t>
      </w:r>
    </w:p>
    <w:p w14:paraId="7A7B1A4F" w14:textId="77777777" w:rsidR="0092434F" w:rsidRPr="00856F20" w:rsidRDefault="0092434F" w:rsidP="0092434F">
      <w:pPr>
        <w:tabs>
          <w:tab w:val="left" w:pos="426"/>
        </w:tabs>
        <w:spacing w:after="0" w:line="276" w:lineRule="auto"/>
        <w:jc w:val="both"/>
        <w:rPr>
          <w:rFonts w:ascii="Verdana" w:eastAsia="Calibri" w:hAnsi="Verdana" w:cs="Arial"/>
          <w:bCs/>
          <w:lang w:val="es-ES_tradnl"/>
        </w:rPr>
      </w:pPr>
    </w:p>
    <w:p w14:paraId="5FAD51D1" w14:textId="77777777" w:rsidR="0092434F" w:rsidRPr="00856F20" w:rsidRDefault="0092434F" w:rsidP="0092434F">
      <w:pPr>
        <w:tabs>
          <w:tab w:val="left" w:pos="709"/>
        </w:tabs>
        <w:spacing w:line="276" w:lineRule="auto"/>
        <w:jc w:val="both"/>
        <w:rPr>
          <w:rFonts w:ascii="Verdana" w:eastAsia="Calibri" w:hAnsi="Verdana" w:cs="Arial"/>
          <w:bCs/>
          <w:lang w:val="es-ES_tradnl"/>
        </w:rPr>
      </w:pPr>
      <w:r w:rsidRPr="00856F20">
        <w:rPr>
          <w:rFonts w:ascii="Verdana" w:eastAsia="Calibri" w:hAnsi="Verdana" w:cs="Arial"/>
          <w:bCs/>
          <w:lang w:val="es-ES_tradnl"/>
        </w:rPr>
        <w:tab/>
        <w:t xml:space="preserve">El ejercicio de la función consultiva del artículo 28 de la Ley 1437 de 2011 descarta la resolución de controversias en curso o de problemas cuyos efectos </w:t>
      </w:r>
      <w:r w:rsidRPr="00856F20">
        <w:rPr>
          <w:rFonts w:ascii="Verdana" w:eastAsia="Calibri" w:hAnsi="Verdana" w:cs="Arial"/>
          <w:bCs/>
          <w:lang w:val="es-ES_tradnl"/>
        </w:rPr>
        <w:lastRenderedPageBreak/>
        <w:t>se concreten. Lo primero, debe manejarlo la propia entidad ante la que se presenta el problema, y lo segundo el juez competente. En últimas, siempre que no exista una decisión judicial vinculante, los destinatarios de la norma serán los que interpreten el ordenamiento jurídico. Así las cosas, a título de ejemplo, si una entidad considera que un término vence en un momento específico, habida cuenta de su lectura exegética de la norma respectiva, pero otra entiende que el término vence en otro momento, amparada en una lectura teleológica del ordenamiento jurídico, serán los destinatarios de dicha norma los que decidirán cuál es la interpretación por la que optan, claro está, sin perjuicio del posterior control judicial que podrá hacerse a solicitud de alguno de los interesados. No se trata, entonces, de jerarquías interpretativas sino de opiniones diferentes. El peso de la interpretación depende de la razonabilidad de los argumentos y de la inteligibilidad de la opinión.</w:t>
      </w:r>
    </w:p>
    <w:p w14:paraId="1728A834" w14:textId="77777777" w:rsidR="0092434F" w:rsidRPr="00856F20" w:rsidRDefault="0092434F" w:rsidP="0092434F">
      <w:pPr>
        <w:tabs>
          <w:tab w:val="left" w:pos="709"/>
        </w:tabs>
        <w:spacing w:before="120" w:after="120" w:line="276" w:lineRule="auto"/>
        <w:jc w:val="both"/>
        <w:rPr>
          <w:rFonts w:ascii="Verdana" w:eastAsia="Calibri" w:hAnsi="Verdana" w:cs="Arial"/>
          <w:bCs/>
          <w:lang w:val="es-ES_tradnl"/>
        </w:rPr>
      </w:pPr>
      <w:r w:rsidRPr="00856F20">
        <w:rPr>
          <w:rFonts w:ascii="Verdana" w:eastAsia="Calibri" w:hAnsi="Verdana" w:cs="Arial"/>
          <w:bCs/>
          <w:lang w:val="es-ES_tradnl"/>
        </w:rPr>
        <w:tab/>
        <w:t>Otro asunto es que la entidad que lee la norma exegéticamente, luego de la decisión judicial, ejerza sus competencias desconociendo la interpretación del juez, como podría pasar, en el ejemplo propuesto, si la entidad rechaza por extemporáneo un recurso, omitiendo la lectura que los jueces hicieron con criterio de autoridad. Con todo, por la naturaleza de la función consultiva, es perfectamente válido que la misma entidad, a título de concepto, mantenga la opinión que no coincide con la judicial, porque la misma no es vinculante.</w:t>
      </w:r>
    </w:p>
    <w:p w14:paraId="0DC98E3D" w14:textId="77777777" w:rsidR="0092434F" w:rsidRDefault="0092434F" w:rsidP="005A3914">
      <w:pPr>
        <w:spacing w:after="120" w:line="276" w:lineRule="auto"/>
        <w:jc w:val="both"/>
        <w:rPr>
          <w:rFonts w:ascii="Verdana" w:eastAsia="Calibri" w:hAnsi="Verdana" w:cs="Arial"/>
          <w:color w:val="000000"/>
          <w:lang w:val="es-ES" w:eastAsia="es-ES"/>
        </w:rPr>
      </w:pPr>
      <w:r w:rsidRPr="00856F20">
        <w:rPr>
          <w:rFonts w:ascii="Verdana" w:eastAsia="Calibri" w:hAnsi="Verdana" w:cs="Arial"/>
          <w:bCs/>
          <w:lang w:val="es-ES_tradnl"/>
        </w:rPr>
        <w:tab/>
      </w:r>
      <w:bookmarkStart w:id="2" w:name="_Hlk42100007"/>
      <w:r w:rsidRPr="186C6763">
        <w:rPr>
          <w:rFonts w:ascii="Verdana" w:eastAsia="Calibri" w:hAnsi="Verdana" w:cs="Arial"/>
          <w:lang w:val="es-ES"/>
        </w:rPr>
        <w:t xml:space="preserve">Así las cosas, Colombia Compra Eficiente considera que no hay lugar a acceder, por ejemplo, a solicitudes de </w:t>
      </w:r>
      <w:r w:rsidRPr="186C6763">
        <w:rPr>
          <w:rFonts w:ascii="Verdana" w:eastAsia="Calibri" w:hAnsi="Verdana" w:cs="Arial"/>
          <w:i/>
          <w:iCs/>
          <w:lang w:val="es-ES"/>
        </w:rPr>
        <w:t>revocación directa</w:t>
      </w:r>
      <w:r w:rsidRPr="186C6763">
        <w:rPr>
          <w:rFonts w:ascii="Verdana" w:eastAsia="Calibri" w:hAnsi="Verdana" w:cs="Arial"/>
          <w:lang w:val="es-ES"/>
        </w:rPr>
        <w:t xml:space="preserve"> de los conceptos, pues no son actos administrativos, no tienen efectos vinculantes en relación con una situación jurídica particular y concreta, y exponen un criterio que, aunque jurídicamente fundamentado, no representan necesariamente la </w:t>
      </w:r>
      <w:r w:rsidRPr="186C6763">
        <w:rPr>
          <w:rFonts w:ascii="Verdana" w:eastAsia="Calibri" w:hAnsi="Verdana" w:cs="Arial"/>
          <w:i/>
          <w:iCs/>
          <w:lang w:val="es-ES"/>
        </w:rPr>
        <w:t>única</w:t>
      </w:r>
      <w:r w:rsidRPr="186C6763">
        <w:rPr>
          <w:rFonts w:ascii="Verdana" w:eastAsia="Calibri" w:hAnsi="Verdana" w:cs="Arial"/>
          <w:lang w:val="es-ES"/>
        </w:rPr>
        <w:t xml:space="preserve"> interpretación válida del ordenamiento jurídico.</w:t>
      </w:r>
      <w:bookmarkEnd w:id="2"/>
      <w:r w:rsidRPr="186C6763">
        <w:rPr>
          <w:rFonts w:ascii="Verdana" w:eastAsia="Calibri" w:hAnsi="Verdana" w:cs="Arial"/>
          <w:lang w:val="es-ES"/>
        </w:rPr>
        <w:t xml:space="preserve"> Lo anterior no implica que la Agencia Nacional de Contratación Pública considere inalterables sus posturas, pues, de ser necesario, podría replantear una tesis previamente expuesta, bajo estrictos estándares argumentativos, al emitir otro concepto, ya que, dada su falta de vinculatoriedad, la legitimación de sus posturas proviene de la fuerza de los argumentos. </w:t>
      </w:r>
      <w:r w:rsidRPr="186C6763">
        <w:rPr>
          <w:rFonts w:ascii="Verdana" w:eastAsia="Calibri" w:hAnsi="Verdana" w:cs="Arial"/>
          <w:color w:val="000000"/>
          <w:lang w:val="es-ES" w:eastAsia="es-ES"/>
        </w:rPr>
        <w:t xml:space="preserve"> </w:t>
      </w:r>
    </w:p>
    <w:p w14:paraId="2BC1E9FB" w14:textId="5ECAE12A" w:rsidR="001916FA" w:rsidRPr="00856F20" w:rsidRDefault="001916FA" w:rsidP="186C6763">
      <w:pPr>
        <w:spacing w:after="0" w:line="276" w:lineRule="auto"/>
        <w:jc w:val="both"/>
        <w:rPr>
          <w:rFonts w:ascii="Verdana" w:eastAsia="Calibri" w:hAnsi="Verdana" w:cs="Arial"/>
          <w:color w:val="000000"/>
          <w:lang w:val="es-ES" w:eastAsia="es-ES"/>
        </w:rPr>
      </w:pPr>
      <w:r>
        <w:rPr>
          <w:rFonts w:ascii="Verdana" w:eastAsia="Calibri" w:hAnsi="Verdana" w:cs="Arial"/>
          <w:color w:val="000000"/>
          <w:szCs w:val="24"/>
          <w:lang w:val="es-ES_tradnl" w:eastAsia="es-ES_tradnl"/>
        </w:rPr>
        <w:tab/>
      </w:r>
      <w:r w:rsidR="007755F2" w:rsidRPr="186C6763">
        <w:rPr>
          <w:rFonts w:ascii="Verdana" w:eastAsia="Calibri" w:hAnsi="Verdana" w:cs="Arial"/>
          <w:color w:val="000000" w:themeColor="text1"/>
          <w:lang w:val="es-ES" w:eastAsia="es-ES"/>
        </w:rPr>
        <w:t xml:space="preserve">Precisamente, atendiendo al objeto de su consulta, a continuación se estudiara la procedencia o no de </w:t>
      </w:r>
      <w:r w:rsidR="006319F7" w:rsidRPr="186C6763">
        <w:rPr>
          <w:rFonts w:ascii="Verdana" w:eastAsia="Calibri" w:hAnsi="Verdana" w:cs="Arial"/>
          <w:color w:val="000000" w:themeColor="text1"/>
          <w:lang w:val="es-ES" w:eastAsia="es-ES"/>
        </w:rPr>
        <w:t>modificar la postura hermenéutica de esta Agencia frente a la</w:t>
      </w:r>
      <w:r w:rsidR="00BF0FBB" w:rsidRPr="186C6763">
        <w:rPr>
          <w:rFonts w:ascii="Verdana" w:eastAsia="Calibri" w:hAnsi="Verdana" w:cs="Arial"/>
          <w:color w:val="000000" w:themeColor="text1"/>
          <w:lang w:val="es-ES" w:eastAsia="es-ES"/>
        </w:rPr>
        <w:t xml:space="preserve">s modalidades de selección que proceden para la contratación de servicios de vigilancia. </w:t>
      </w:r>
      <w:r w:rsidR="007755F2" w:rsidRPr="186C6763">
        <w:rPr>
          <w:rFonts w:ascii="Verdana" w:eastAsia="Calibri" w:hAnsi="Verdana" w:cs="Arial"/>
          <w:color w:val="000000" w:themeColor="text1"/>
          <w:lang w:val="es-ES" w:eastAsia="es-ES"/>
        </w:rPr>
        <w:t xml:space="preserve"> </w:t>
      </w:r>
    </w:p>
    <w:p w14:paraId="0862683F" w14:textId="77777777" w:rsidR="0092434F" w:rsidRDefault="0092434F" w:rsidP="0092434F">
      <w:pPr>
        <w:spacing w:after="0" w:line="276" w:lineRule="auto"/>
        <w:jc w:val="both"/>
        <w:rPr>
          <w:rFonts w:ascii="Verdana" w:eastAsia="Calibri" w:hAnsi="Verdana" w:cs="Arial"/>
          <w:color w:val="000000"/>
          <w:szCs w:val="24"/>
          <w:lang w:val="es-ES_tradnl" w:eastAsia="es-ES_tradnl"/>
        </w:rPr>
      </w:pPr>
    </w:p>
    <w:p w14:paraId="4245E133" w14:textId="77777777" w:rsidR="0092434F" w:rsidRPr="00B46EAD" w:rsidRDefault="0092434F" w:rsidP="0092434F">
      <w:pPr>
        <w:spacing w:after="120" w:line="276" w:lineRule="auto"/>
        <w:jc w:val="both"/>
        <w:rPr>
          <w:rFonts w:ascii="Verdana" w:eastAsia="Calibri" w:hAnsi="Verdana" w:cs="Arial"/>
          <w:color w:val="000000"/>
          <w:szCs w:val="24"/>
          <w:lang w:val="es-ES_tradnl" w:eastAsia="es-ES_tradnl"/>
        </w:rPr>
      </w:pPr>
      <w:r>
        <w:rPr>
          <w:rFonts w:ascii="Verdana" w:eastAsia="Calibri" w:hAnsi="Verdana" w:cs="Arial"/>
          <w:color w:val="000000"/>
          <w:szCs w:val="24"/>
          <w:lang w:val="es-ES_tradnl" w:eastAsia="es-ES_tradnl"/>
        </w:rPr>
        <w:lastRenderedPageBreak/>
        <w:t xml:space="preserve">ii. </w:t>
      </w:r>
      <w:r w:rsidRPr="0086479C">
        <w:rPr>
          <w:rFonts w:ascii="Verdana" w:eastAsia="Calibri" w:hAnsi="Verdana" w:cs="Arial"/>
          <w:color w:val="000000"/>
          <w:szCs w:val="24"/>
          <w:lang w:val="es-ES_tradnl" w:eastAsia="es-ES_tradnl"/>
        </w:rPr>
        <w:t>P</w:t>
      </w:r>
      <w:r w:rsidRPr="0086479C">
        <w:rPr>
          <w:rFonts w:ascii="Verdana" w:hAnsi="Verdana" w:cs="Arial"/>
          <w:lang w:val="es-ES"/>
        </w:rPr>
        <w:t xml:space="preserve">ara las entidades sometidas al Estatuto General de Contratación de la Administración Pública, los procesos de selección se rigen por </w:t>
      </w:r>
      <w:r w:rsidRPr="0086479C">
        <w:rPr>
          <w:rFonts w:ascii="Verdana" w:hAnsi="Verdana" w:cs="Arial"/>
          <w:bCs/>
          <w:lang w:val="es-ES_tradnl"/>
        </w:rPr>
        <w:t>el artículo 2 de la Ley 1150 de 2007</w:t>
      </w:r>
      <w:r w:rsidRPr="0086479C">
        <w:rPr>
          <w:rFonts w:ascii="Verdana" w:hAnsi="Verdana" w:cs="Arial"/>
          <w:lang w:val="es-ES"/>
        </w:rPr>
        <w:t xml:space="preserve">. El </w:t>
      </w:r>
      <w:r w:rsidRPr="0086479C">
        <w:rPr>
          <w:rFonts w:ascii="Verdana" w:eastAsia="Calibri" w:hAnsi="Verdana" w:cs="Arial"/>
          <w:bCs/>
          <w:lang w:val="es-MX" w:eastAsia="es-ES_tradnl"/>
        </w:rPr>
        <w:t>numeral uno, inciso primero, de la norma citada</w:t>
      </w:r>
      <w:r w:rsidRPr="0086479C">
        <w:rPr>
          <w:rFonts w:ascii="Verdana" w:hAnsi="Verdana" w:cs="Arial"/>
          <w:bCs/>
          <w:lang w:val="es-ES_tradnl"/>
        </w:rPr>
        <w:t xml:space="preserve"> </w:t>
      </w:r>
      <w:r w:rsidRPr="0086479C">
        <w:rPr>
          <w:rFonts w:ascii="Verdana" w:eastAsia="Calibri" w:hAnsi="Verdana" w:cs="Arial"/>
          <w:bCs/>
          <w:lang w:val="es-MX" w:eastAsia="es-ES_tradnl"/>
        </w:rPr>
        <w:t xml:space="preserve">dispone que “La escogencia del contratista se efectuará por </w:t>
      </w:r>
      <w:r w:rsidRPr="0086479C">
        <w:rPr>
          <w:rFonts w:ascii="Verdana" w:eastAsia="Calibri" w:hAnsi="Verdana" w:cs="Arial"/>
          <w:bCs/>
          <w:i/>
          <w:iCs/>
          <w:lang w:val="es-MX" w:eastAsia="es-ES_tradnl"/>
        </w:rPr>
        <w:t>regla general</w:t>
      </w:r>
      <w:r w:rsidRPr="0086479C">
        <w:rPr>
          <w:rFonts w:ascii="Verdana" w:eastAsia="Calibri" w:hAnsi="Verdana" w:cs="Arial"/>
          <w:bCs/>
          <w:lang w:val="es-MX" w:eastAsia="es-ES_tradnl"/>
        </w:rPr>
        <w:t xml:space="preserve"> a través de licitación pública, con las </w:t>
      </w:r>
      <w:r w:rsidRPr="0086479C">
        <w:rPr>
          <w:rFonts w:ascii="Verdana" w:eastAsia="Calibri" w:hAnsi="Verdana" w:cs="Arial"/>
          <w:bCs/>
          <w:i/>
          <w:iCs/>
          <w:lang w:val="es-MX" w:eastAsia="es-ES_tradnl"/>
        </w:rPr>
        <w:t>excepciones</w:t>
      </w:r>
      <w:r w:rsidRPr="0086479C">
        <w:rPr>
          <w:rFonts w:ascii="Verdana" w:eastAsia="Calibri" w:hAnsi="Verdana" w:cs="Arial"/>
          <w:bCs/>
          <w:lang w:val="es-MX" w:eastAsia="es-ES_tradnl"/>
        </w:rPr>
        <w:t xml:space="preserve"> que se señalan en los numerales 2, 3 y 4 del presente artículo”, norma que sustituye el derogado numeral 1 del artículo 24 de la Ley 80 de 1993 sobre el principio de transparencia</w:t>
      </w:r>
      <w:r w:rsidRPr="0086479C">
        <w:rPr>
          <w:rStyle w:val="FootnoteReference"/>
          <w:rFonts w:ascii="Verdana" w:eastAsia="Calibri" w:hAnsi="Verdana" w:cs="Arial"/>
          <w:bCs/>
          <w:lang w:val="es-MX" w:eastAsia="es-ES_tradnl"/>
        </w:rPr>
        <w:footnoteReference w:id="7"/>
      </w:r>
      <w:r w:rsidRPr="0086479C">
        <w:rPr>
          <w:rFonts w:ascii="Verdana" w:eastAsia="Calibri" w:hAnsi="Verdana" w:cs="Arial"/>
          <w:bCs/>
          <w:lang w:val="es-MX" w:eastAsia="es-ES_tradnl"/>
        </w:rPr>
        <w:t xml:space="preserve">. </w:t>
      </w:r>
    </w:p>
    <w:p w14:paraId="0DDD30BB" w14:textId="77777777" w:rsidR="0092434F" w:rsidRPr="00185EE9" w:rsidRDefault="0092434F" w:rsidP="0092434F">
      <w:pPr>
        <w:spacing w:after="120" w:line="276" w:lineRule="auto"/>
        <w:ind w:firstLine="708"/>
        <w:jc w:val="both"/>
        <w:rPr>
          <w:rFonts w:ascii="Verdana" w:eastAsia="Calibri" w:hAnsi="Verdana" w:cs="Arial"/>
          <w:bCs/>
          <w:lang w:val="es-MX" w:eastAsia="es-ES_tradnl"/>
        </w:rPr>
      </w:pPr>
      <w:r w:rsidRPr="00185EE9">
        <w:rPr>
          <w:rFonts w:ascii="Verdana" w:eastAsia="Calibri" w:hAnsi="Verdana" w:cs="Arial"/>
          <w:bCs/>
          <w:lang w:val="es-MX" w:eastAsia="es-ES_tradnl"/>
        </w:rPr>
        <w:t>Salvo norma especial que ordene la celebración del negocio jurídico por otra modalidad de selección, debe aplicarse la regla general de licitación pública</w:t>
      </w:r>
      <w:r w:rsidRPr="00185EE9">
        <w:rPr>
          <w:rStyle w:val="FootnoteReference"/>
          <w:rFonts w:ascii="Verdana" w:eastAsia="Calibri" w:hAnsi="Verdana" w:cs="Arial"/>
          <w:bCs/>
          <w:lang w:val="es-MX" w:eastAsia="es-ES_tradnl"/>
        </w:rPr>
        <w:footnoteReference w:id="8"/>
      </w:r>
      <w:r w:rsidRPr="00185EE9">
        <w:rPr>
          <w:rFonts w:ascii="Verdana" w:eastAsia="Calibri" w:hAnsi="Verdana" w:cs="Arial"/>
          <w:bCs/>
          <w:lang w:val="es-MX" w:eastAsia="es-ES_tradnl"/>
        </w:rPr>
        <w:t>. Por ello, dependiendo del objeto o el valor de presupuesto oficial, es posible la aplicación de otros procedimientos contractuales. Estos pueden ser con pluralidad de oferentes –v. gr. la selección abreviada de menor cuantía o la mínima cuantía– o sin concurrencia de proponentes –por ejemplo, la contratación directa–.</w:t>
      </w:r>
    </w:p>
    <w:p w14:paraId="79A3292E" w14:textId="77777777" w:rsidR="0092434F" w:rsidRPr="00185EE9" w:rsidRDefault="0092434F" w:rsidP="0092434F">
      <w:pPr>
        <w:spacing w:after="120" w:line="276" w:lineRule="auto"/>
        <w:ind w:firstLine="708"/>
        <w:jc w:val="both"/>
        <w:rPr>
          <w:rFonts w:ascii="Verdana" w:eastAsia="Calibri" w:hAnsi="Verdana" w:cs="Arial"/>
        </w:rPr>
      </w:pPr>
      <w:r w:rsidRPr="00185EE9">
        <w:rPr>
          <w:rFonts w:ascii="Verdana" w:eastAsia="Calibri" w:hAnsi="Verdana" w:cs="Arial"/>
          <w:bCs/>
          <w:lang w:val="es-MX" w:eastAsia="es-ES_tradnl"/>
        </w:rPr>
        <w:t xml:space="preserve">Respecto a la selección abreviada, </w:t>
      </w:r>
      <w:r w:rsidRPr="00185EE9">
        <w:rPr>
          <w:rFonts w:ascii="Verdana" w:eastAsia="Calibri" w:hAnsi="Verdana" w:cs="Arial"/>
        </w:rPr>
        <w:t xml:space="preserve">el numeral 2 del artículo 2 de la Ley 1150 de 2007 dispone que “[…] corresponde a la modalidad de selección objetiva prevista para aquellos casos en que por las características del objeto a contratar, las circunstancias de la contratación o la cuantía o destinación del bien, obra o </w:t>
      </w:r>
      <w:r w:rsidRPr="00185EE9">
        <w:rPr>
          <w:rFonts w:ascii="Verdana" w:eastAsia="Calibri" w:hAnsi="Verdana" w:cs="Arial"/>
        </w:rPr>
        <w:lastRenderedPageBreak/>
        <w:t>servicio puedan adelantarse procesos simplificados para garantizar la eficiencia de la gestión contractual”, regulando cada una de las causales</w:t>
      </w:r>
      <w:r w:rsidRPr="00185EE9">
        <w:rPr>
          <w:rStyle w:val="FootnoteReference"/>
          <w:rFonts w:ascii="Verdana" w:eastAsia="Calibri" w:hAnsi="Verdana" w:cs="Arial"/>
        </w:rPr>
        <w:footnoteReference w:id="9"/>
      </w:r>
      <w:r w:rsidRPr="00185EE9">
        <w:rPr>
          <w:rFonts w:ascii="Verdana" w:eastAsia="Calibri" w:hAnsi="Verdana" w:cs="Arial"/>
        </w:rPr>
        <w:t xml:space="preserve">. </w:t>
      </w:r>
    </w:p>
    <w:p w14:paraId="036FD335" w14:textId="77777777" w:rsidR="0092434F" w:rsidRPr="00185EE9" w:rsidRDefault="0092434F" w:rsidP="0092434F">
      <w:pPr>
        <w:spacing w:after="0" w:line="276" w:lineRule="auto"/>
        <w:ind w:firstLine="708"/>
        <w:jc w:val="both"/>
        <w:rPr>
          <w:rFonts w:ascii="Verdana" w:eastAsia="Calibri" w:hAnsi="Verdana" w:cs="Arial"/>
        </w:rPr>
      </w:pPr>
      <w:r w:rsidRPr="00185EE9">
        <w:rPr>
          <w:rFonts w:ascii="Verdana" w:eastAsia="Calibri" w:hAnsi="Verdana" w:cs="Arial"/>
        </w:rPr>
        <w:t>Se trata de un procedimiento que, conforme a la reglamentación que expida el Gobierno Nacional, agiliza la contratación estatal en los eventos en que no se justifica adelantar una licitación pública, pero tampoco limitar la participación de los proponentes como en la contratación directa, de forma tal que es un mecanismo de selección objetiva que asegura una mayor concurrencia de participantes sin sacrificar los principios de eficacia y eficiencia en el proceso de selección. En la exposición de motivos se explica lo siguiente:</w:t>
      </w:r>
    </w:p>
    <w:p w14:paraId="740657B7" w14:textId="77777777" w:rsidR="0092434F" w:rsidRPr="00185EE9" w:rsidRDefault="0092434F" w:rsidP="0092434F">
      <w:pPr>
        <w:spacing w:after="0" w:line="276" w:lineRule="auto"/>
        <w:jc w:val="both"/>
        <w:rPr>
          <w:rFonts w:ascii="Verdana" w:eastAsia="Calibri" w:hAnsi="Verdana" w:cs="Arial"/>
        </w:rPr>
      </w:pPr>
    </w:p>
    <w:p w14:paraId="326001EA" w14:textId="77777777" w:rsidR="0092434F" w:rsidRPr="005A3914" w:rsidRDefault="0092434F" w:rsidP="005A3914">
      <w:pPr>
        <w:spacing w:after="0" w:line="240" w:lineRule="auto"/>
        <w:ind w:left="709" w:right="709"/>
        <w:jc w:val="both"/>
        <w:rPr>
          <w:rFonts w:ascii="Verdana" w:eastAsia="Calibri" w:hAnsi="Verdana" w:cs="Arial"/>
          <w:sz w:val="20"/>
          <w:szCs w:val="20"/>
        </w:rPr>
      </w:pPr>
      <w:r w:rsidRPr="005A3914">
        <w:rPr>
          <w:rFonts w:ascii="Verdana" w:eastAsia="Calibri" w:hAnsi="Verdana" w:cs="Arial"/>
          <w:sz w:val="20"/>
          <w:szCs w:val="20"/>
        </w:rPr>
        <w:lastRenderedPageBreak/>
        <w:t>“– Si bien la Licitación Pública sigue siendo la regla general, la misma pasa a reservarse para los procesos en los que la complejidad del objeto a contratar amerita la larga y cuidadosa ponderación de factores técnicos y económicos de las propuestas […].</w:t>
      </w:r>
    </w:p>
    <w:p w14:paraId="28364035" w14:textId="77777777" w:rsidR="0092434F" w:rsidRPr="005A3914" w:rsidRDefault="0092434F" w:rsidP="00806B0E">
      <w:pPr>
        <w:spacing w:after="0" w:line="240" w:lineRule="auto"/>
        <w:ind w:left="709" w:right="709"/>
        <w:jc w:val="both"/>
        <w:rPr>
          <w:rFonts w:ascii="Verdana" w:eastAsia="Calibri" w:hAnsi="Verdana" w:cs="Arial"/>
          <w:sz w:val="20"/>
          <w:szCs w:val="20"/>
        </w:rPr>
      </w:pPr>
      <w:r w:rsidRPr="005A3914">
        <w:rPr>
          <w:rFonts w:ascii="Verdana" w:eastAsia="Calibri" w:hAnsi="Verdana" w:cs="Arial"/>
          <w:sz w:val="20"/>
          <w:szCs w:val="20"/>
        </w:rPr>
        <w:t>– Se crea la llamada ‘selección abreviada’, para permitir la existencia de procedimientos de selección que, basados estrictamente en los principios cardinales de la contratación pública, permitan de manera ágil la adopción de decisiones de selección […]”</w:t>
      </w:r>
      <w:r w:rsidRPr="005A3914">
        <w:rPr>
          <w:rStyle w:val="FootnoteReference"/>
          <w:rFonts w:ascii="Verdana" w:eastAsia="Calibri" w:hAnsi="Verdana" w:cs="Arial"/>
          <w:sz w:val="20"/>
          <w:szCs w:val="20"/>
        </w:rPr>
        <w:footnoteReference w:id="10"/>
      </w:r>
      <w:r w:rsidRPr="005A3914">
        <w:rPr>
          <w:rFonts w:ascii="Verdana" w:eastAsia="Calibri" w:hAnsi="Verdana" w:cs="Arial"/>
          <w:sz w:val="20"/>
          <w:szCs w:val="20"/>
        </w:rPr>
        <w:t>.</w:t>
      </w:r>
    </w:p>
    <w:p w14:paraId="4449EEB2" w14:textId="77777777" w:rsidR="0092434F" w:rsidRPr="00185EE9" w:rsidRDefault="0092434F" w:rsidP="0092434F">
      <w:pPr>
        <w:spacing w:after="0" w:line="276" w:lineRule="auto"/>
        <w:jc w:val="both"/>
        <w:rPr>
          <w:rFonts w:ascii="Verdana" w:eastAsia="Calibri" w:hAnsi="Verdana" w:cs="Arial"/>
        </w:rPr>
      </w:pPr>
    </w:p>
    <w:p w14:paraId="6356FA67" w14:textId="77777777" w:rsidR="0092434F" w:rsidRPr="00185EE9" w:rsidRDefault="0092434F" w:rsidP="0092434F">
      <w:pPr>
        <w:spacing w:after="120" w:line="276" w:lineRule="auto"/>
        <w:ind w:firstLine="709"/>
        <w:jc w:val="both"/>
        <w:rPr>
          <w:rFonts w:ascii="Verdana" w:eastAsia="Calibri" w:hAnsi="Verdana" w:cs="Arial"/>
        </w:rPr>
      </w:pPr>
      <w:r w:rsidRPr="00185EE9">
        <w:rPr>
          <w:rFonts w:ascii="Verdana" w:eastAsia="Calibri" w:hAnsi="Verdana" w:cs="Arial"/>
        </w:rPr>
        <w:t>La selección abreviada se caracteriza por tener etapas un poco sencillas y términos relativamente más cortos que los de la licitación pública, lo cual se justifica por las circunstancias, la naturaleza y los objetos que se contratan a través de esta modalidad, los cuales requieren de procedimientos un poco más agiles, sencillos y eficientes. Según el Consejo de Estado, el propósito del legislador es “[…] proveer de mayor agilidad y eficiencia la contratación de algunos bienes o servicios, en los que es deseable la concurrencia de oferentes, pero no en los términos y condiciones de una licitación pública, sino de manera abreviada o, en términos de la ley, simplificada”</w:t>
      </w:r>
      <w:r w:rsidRPr="00185EE9">
        <w:rPr>
          <w:rStyle w:val="FootnoteReference"/>
          <w:rFonts w:ascii="Verdana" w:eastAsia="Calibri" w:hAnsi="Verdana" w:cs="Arial"/>
        </w:rPr>
        <w:footnoteReference w:id="11"/>
      </w:r>
      <w:r w:rsidRPr="00185EE9">
        <w:rPr>
          <w:rFonts w:ascii="Verdana" w:eastAsia="Calibri" w:hAnsi="Verdana" w:cs="Arial"/>
        </w:rPr>
        <w:t xml:space="preserve">. </w:t>
      </w:r>
    </w:p>
    <w:p w14:paraId="1AD13629" w14:textId="77777777" w:rsidR="0092434F" w:rsidRPr="00185EE9" w:rsidRDefault="0092434F" w:rsidP="0092434F">
      <w:pPr>
        <w:spacing w:after="120" w:line="276" w:lineRule="auto"/>
        <w:ind w:firstLine="709"/>
        <w:jc w:val="both"/>
        <w:rPr>
          <w:rFonts w:ascii="Verdana" w:eastAsia="Calibri" w:hAnsi="Verdana" w:cs="Arial"/>
          <w:color w:val="000000"/>
          <w:szCs w:val="24"/>
          <w:lang w:val="es-ES_tradnl" w:eastAsia="es-ES_tradnl"/>
        </w:rPr>
      </w:pPr>
      <w:r w:rsidRPr="00185EE9">
        <w:rPr>
          <w:rFonts w:ascii="Verdana" w:eastAsia="Calibri" w:hAnsi="Verdana" w:cs="Arial"/>
          <w:color w:val="000000"/>
          <w:szCs w:val="24"/>
          <w:lang w:val="es-ES_tradnl" w:eastAsia="es-ES_tradnl"/>
        </w:rPr>
        <w:t xml:space="preserve">Así, el literal a) del artículo 2.2 de la Ley 1150 de 2007 regula la adquisición o suministro de bienes y servicios de características técnicas uniformes y de común utilización como causal de selección abreviada. Para entender su alcance, es necesario tener en cuenta que </w:t>
      </w:r>
      <w:r w:rsidRPr="00185EE9">
        <w:rPr>
          <w:rFonts w:ascii="Verdana" w:eastAsia="Calibri" w:hAnsi="Verdana" w:cs="Arial"/>
          <w:bCs/>
          <w:color w:val="000000" w:themeColor="text1"/>
        </w:rPr>
        <w:t xml:space="preserve">el artículo 28 del Código Civil dispone que “Las palabras de la ley se entenderán en su sentido natural y obvio, según el uso general de las mismas palabras; pero cuando el legislador las haya definido expresamente para ciertas materias, se les dará en éstas su significado legal”; igualmente, el artículo 29 </w:t>
      </w:r>
      <w:r w:rsidRPr="00185EE9">
        <w:rPr>
          <w:rFonts w:ascii="Verdana" w:eastAsia="Calibri" w:hAnsi="Verdana" w:cs="Arial"/>
          <w:bCs/>
          <w:i/>
          <w:iCs/>
          <w:color w:val="000000" w:themeColor="text1"/>
        </w:rPr>
        <w:t>ibidem</w:t>
      </w:r>
      <w:r w:rsidRPr="00185EE9">
        <w:rPr>
          <w:rFonts w:ascii="Verdana" w:eastAsia="Calibri" w:hAnsi="Verdana" w:cs="Arial"/>
          <w:bCs/>
          <w:color w:val="000000" w:themeColor="text1"/>
        </w:rPr>
        <w:t xml:space="preserve"> prescribe lo siguiente: “Las palabras técnicas de toda ciencia o arte se tomarán en el sentido que les den los que profesan la misma ciencia o arte; a menos que aparezca claramente que se han formado en sentido diverso”</w:t>
      </w:r>
      <w:r w:rsidRPr="00185EE9">
        <w:rPr>
          <w:rStyle w:val="FootnoteReference"/>
          <w:rFonts w:ascii="Verdana" w:eastAsia="Calibri" w:hAnsi="Verdana" w:cs="Arial"/>
          <w:bCs/>
          <w:color w:val="000000" w:themeColor="text1"/>
        </w:rPr>
        <w:footnoteReference w:id="12"/>
      </w:r>
      <w:r w:rsidRPr="00185EE9">
        <w:rPr>
          <w:rFonts w:ascii="Verdana" w:eastAsia="Calibri" w:hAnsi="Verdana" w:cs="Arial"/>
          <w:bCs/>
          <w:color w:val="000000" w:themeColor="text1"/>
        </w:rPr>
        <w:t xml:space="preserve">. </w:t>
      </w:r>
    </w:p>
    <w:p w14:paraId="67177638" w14:textId="77777777" w:rsidR="0092434F" w:rsidRPr="00185EE9" w:rsidRDefault="0092434F" w:rsidP="0092434F">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lastRenderedPageBreak/>
        <w:t xml:space="preserve">Por ello, según el literal a) del artículo 2, numeral 2 de la Ley 1150 de 2007, los bienes y servicios de características técnicas uniformes “[…] corresponden a aquellos que poseen las mismas especificaciones técnicas, con independencia de su diseño o de sus características descriptivas, y comparten patrones de desempeño y calidad objetivamente definidos”. Asimismo, el artículo 2.2.1.1.1.3.1 del Decreto 1082 de 2015 los define como aquellos “Bienes y servicios de común utilización con especificaciones técnicas y patrones de desempeño y calidad iguales o similares, que en consecuencia pueden ser agrupados como bienes y servicios homogéneos para su adquisición y a los que se refiere el literal (a) del numeral 2 del artículo 2 de la Ley 1150 de 2007”. De esta manera, conforme a las normas citadas en el párrafo precedente, prima la definición legal sobre el uso general o el significado técnico.  </w:t>
      </w:r>
    </w:p>
    <w:p w14:paraId="0A1F2C72" w14:textId="77777777" w:rsidR="0092434F" w:rsidRPr="00185EE9" w:rsidRDefault="0092434F" w:rsidP="0092434F">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 xml:space="preserve">Para identificar los bienes y servicios que corresponden a este tipo, se destacan dos (2) aspectos importantes: la común utilización y la homogeneidad. Para la doctrina, la </w:t>
      </w:r>
      <w:r w:rsidRPr="00185EE9">
        <w:rPr>
          <w:rFonts w:ascii="Verdana" w:eastAsia="Calibri" w:hAnsi="Verdana" w:cs="Arial"/>
          <w:bCs/>
          <w:i/>
          <w:iCs/>
          <w:color w:val="000000" w:themeColor="text1"/>
        </w:rPr>
        <w:t>común utilización</w:t>
      </w:r>
      <w:r w:rsidRPr="00185EE9">
        <w:rPr>
          <w:rFonts w:ascii="Verdana" w:eastAsia="Calibri" w:hAnsi="Verdana" w:cs="Arial"/>
          <w:bCs/>
          <w:color w:val="000000" w:themeColor="text1"/>
        </w:rPr>
        <w:t xml:space="preserve"> “[…] busca que los bienes o servicios que se compren en esta categoría sean de los que se ofrecen en un mercado con un estándar para quienes los demandan, o lo que es igual, que la oferta de los mismos en el mercado ocurriese en condiciones equivalentes para todo interesado en adquirirlos”</w:t>
      </w:r>
      <w:r w:rsidRPr="00185EE9">
        <w:rPr>
          <w:rStyle w:val="FootnoteReference"/>
          <w:rFonts w:ascii="Verdana" w:eastAsia="Calibri" w:hAnsi="Verdana" w:cs="Arial"/>
          <w:bCs/>
          <w:color w:val="000000" w:themeColor="text1"/>
        </w:rPr>
        <w:footnoteReference w:id="13"/>
      </w:r>
      <w:r w:rsidRPr="00185EE9">
        <w:rPr>
          <w:rFonts w:ascii="Verdana" w:eastAsia="Calibri" w:hAnsi="Verdana" w:cs="Arial"/>
          <w:bCs/>
          <w:color w:val="000000" w:themeColor="text1"/>
        </w:rPr>
        <w:t xml:space="preserve">. Por su parte, la </w:t>
      </w:r>
      <w:r w:rsidRPr="00185EE9">
        <w:rPr>
          <w:rFonts w:ascii="Verdana" w:eastAsia="Calibri" w:hAnsi="Verdana" w:cs="Arial"/>
          <w:bCs/>
          <w:i/>
          <w:iCs/>
          <w:color w:val="000000" w:themeColor="text1"/>
        </w:rPr>
        <w:t>homogeneidad</w:t>
      </w:r>
      <w:r w:rsidRPr="00185EE9">
        <w:rPr>
          <w:rFonts w:ascii="Verdana" w:eastAsia="Calibri" w:hAnsi="Verdana" w:cs="Arial"/>
          <w:bCs/>
          <w:color w:val="000000" w:themeColor="text1"/>
        </w:rPr>
        <w:t xml:space="preserve"> se refiere a que “[…] sean fácilmente describibles por características mínimas comunes a los de su tipo, excluyendo elementos no esenciales, tales como los de diseño o cualquier otro que no altere la funcionalidad del bien o servicio. Ello debe ser así, en la medida en la cual se busca que la administración logre que compitan bienes o servicios de igual calidad, ofrecidos por los proponentes capaces de satisfacer el requerimiento de la entidad contratante”</w:t>
      </w:r>
      <w:r w:rsidRPr="00185EE9">
        <w:rPr>
          <w:rStyle w:val="FootnoteReference"/>
          <w:rFonts w:ascii="Verdana" w:eastAsia="Calibri" w:hAnsi="Verdana" w:cs="Arial"/>
          <w:bCs/>
          <w:color w:val="000000" w:themeColor="text1"/>
        </w:rPr>
        <w:footnoteReference w:id="14"/>
      </w:r>
      <w:r w:rsidRPr="00185EE9">
        <w:rPr>
          <w:rFonts w:ascii="Verdana" w:eastAsia="Calibri" w:hAnsi="Verdana" w:cs="Arial"/>
          <w:bCs/>
          <w:color w:val="000000" w:themeColor="text1"/>
        </w:rPr>
        <w:t>.</w:t>
      </w:r>
    </w:p>
    <w:p w14:paraId="68F8CCAE" w14:textId="77777777" w:rsidR="0092434F" w:rsidRPr="00185EE9" w:rsidRDefault="0092434F" w:rsidP="0092434F">
      <w:pPr>
        <w:spacing w:after="0" w:line="276" w:lineRule="auto"/>
        <w:ind w:firstLine="708"/>
        <w:jc w:val="both"/>
        <w:rPr>
          <w:rFonts w:ascii="Verdana" w:eastAsia="Calibri" w:hAnsi="Verdana" w:cs="Arial"/>
        </w:rPr>
      </w:pPr>
      <w:r w:rsidRPr="00185EE9">
        <w:rPr>
          <w:rFonts w:ascii="Verdana" w:eastAsia="Calibri" w:hAnsi="Verdana" w:cs="Arial"/>
          <w:bCs/>
          <w:color w:val="000000" w:themeColor="text1"/>
        </w:rPr>
        <w:t xml:space="preserve">Los elementos centrales para definir si un bien o servicio se considera de características técnicas uniformes consiste en que posea las mismas especificaciones técnicas y compartan patrones de desempeño y calidad objetivamente definidos. Por ello, es posible adquirirlos en el mercado en condiciones estandarizadas u homogéneas, con independencia de su diseño o de </w:t>
      </w:r>
      <w:r w:rsidRPr="00185EE9">
        <w:rPr>
          <w:rFonts w:ascii="Verdana" w:eastAsia="Calibri" w:hAnsi="Verdana" w:cs="Arial"/>
          <w:bCs/>
          <w:color w:val="000000" w:themeColor="text1"/>
        </w:rPr>
        <w:lastRenderedPageBreak/>
        <w:t xml:space="preserve">sus características descriptivas, pues éstas no afectan su funcionalidad. La forma cómo se adquieren en el mercado determina si un bien o servicio encaja en esta categoría, de ahí que el Decreto 1082 de 2015 disponga que “[…] pueden ser agrupados como bienes y servicios homogéneos para su adquisición […]”, dado que cuentan con especificaciones técnicas y patrones de desempeño y calidad similares. Al respecto, la exposición de motivos de la Ley 1150 de 2007 explica que: </w:t>
      </w:r>
    </w:p>
    <w:p w14:paraId="2BD1230D" w14:textId="77777777" w:rsidR="0092434F" w:rsidRPr="00185EE9" w:rsidRDefault="0092434F" w:rsidP="0092434F">
      <w:pPr>
        <w:spacing w:after="0" w:line="276" w:lineRule="auto"/>
        <w:jc w:val="both"/>
        <w:rPr>
          <w:rFonts w:ascii="Verdana" w:eastAsia="Calibri" w:hAnsi="Verdana" w:cs="Arial"/>
        </w:rPr>
      </w:pPr>
    </w:p>
    <w:p w14:paraId="113A7C86" w14:textId="77777777" w:rsidR="0092434F" w:rsidRPr="005A3914" w:rsidRDefault="0092434F" w:rsidP="0092434F">
      <w:pPr>
        <w:spacing w:after="0" w:line="240" w:lineRule="auto"/>
        <w:ind w:left="709" w:right="709"/>
        <w:jc w:val="both"/>
        <w:rPr>
          <w:rFonts w:ascii="Verdana" w:eastAsia="Calibri" w:hAnsi="Verdana" w:cs="Arial"/>
          <w:sz w:val="20"/>
          <w:szCs w:val="20"/>
        </w:rPr>
      </w:pPr>
      <w:r w:rsidRPr="005A3914">
        <w:rPr>
          <w:rFonts w:ascii="Verdana" w:eastAsia="Calibri" w:hAnsi="Verdana" w:cs="Arial"/>
          <w:sz w:val="20"/>
          <w:szCs w:val="20"/>
        </w:rPr>
        <w:t xml:space="preserve">“[…] las innovaciones del proceso de selección abreviada empiezan por una medida trascendental, para llevar a sólo horas los contratos referidos a la adquisición de bienes de ‘características técnicas uniformes y de común utilización’ que según cálculos del Departamento Nacional de Planeación, corresponden a más del 80% en número de contratos. </w:t>
      </w:r>
      <w:r w:rsidRPr="005A3914">
        <w:rPr>
          <w:rFonts w:ascii="Verdana" w:eastAsia="Calibri" w:hAnsi="Verdana" w:cs="Arial"/>
          <w:i/>
          <w:iCs/>
          <w:sz w:val="20"/>
          <w:szCs w:val="20"/>
        </w:rPr>
        <w:t>De esta forma, en la medida en la cual se trate de adquirir un objeto cuyas características técnicas puedan reducirse a unas comunes a su funcionalidad y calidad, tal proceso debe realizarse únicamente en función del precio del bien, una vez se han verificado las condiciones de capacidad de los proponentes para cumplir con el contrato (‘pasa, no pasa’)</w:t>
      </w:r>
      <w:r w:rsidRPr="005A3914">
        <w:rPr>
          <w:rFonts w:ascii="Verdana" w:eastAsia="Calibri" w:hAnsi="Verdana" w:cs="Arial"/>
          <w:sz w:val="20"/>
          <w:szCs w:val="20"/>
        </w:rPr>
        <w:t xml:space="preserve"> […]”</w:t>
      </w:r>
      <w:r w:rsidRPr="005A3914">
        <w:rPr>
          <w:rStyle w:val="FootnoteReference"/>
          <w:rFonts w:ascii="Verdana" w:eastAsia="Calibri" w:hAnsi="Verdana" w:cs="Arial"/>
          <w:sz w:val="20"/>
          <w:szCs w:val="20"/>
        </w:rPr>
        <w:footnoteReference w:id="15"/>
      </w:r>
      <w:r w:rsidRPr="005A3914">
        <w:rPr>
          <w:rFonts w:ascii="Verdana" w:eastAsia="Calibri" w:hAnsi="Verdana" w:cs="Arial"/>
          <w:sz w:val="20"/>
          <w:szCs w:val="20"/>
        </w:rPr>
        <w:t>. (Énfasis fuera de texto)</w:t>
      </w:r>
    </w:p>
    <w:p w14:paraId="0BC7C925" w14:textId="77777777" w:rsidR="0092434F" w:rsidRPr="00185EE9" w:rsidRDefault="0092434F" w:rsidP="0092434F">
      <w:pPr>
        <w:spacing w:after="0" w:line="276" w:lineRule="auto"/>
        <w:jc w:val="both"/>
        <w:rPr>
          <w:rFonts w:ascii="Verdana" w:eastAsia="Calibri" w:hAnsi="Verdana" w:cs="Arial"/>
        </w:rPr>
      </w:pPr>
    </w:p>
    <w:p w14:paraId="0A7C4738" w14:textId="77777777" w:rsidR="0092434F" w:rsidRPr="00185EE9" w:rsidRDefault="0092434F" w:rsidP="0092434F">
      <w:pPr>
        <w:spacing w:after="120" w:line="276" w:lineRule="auto"/>
        <w:ind w:firstLine="709"/>
        <w:jc w:val="both"/>
        <w:rPr>
          <w:rFonts w:ascii="Verdana" w:eastAsia="Calibri" w:hAnsi="Verdana" w:cs="Arial"/>
        </w:rPr>
      </w:pPr>
      <w:r w:rsidRPr="00185EE9">
        <w:rPr>
          <w:rFonts w:ascii="Verdana" w:eastAsia="Calibri" w:hAnsi="Verdana" w:cs="Arial"/>
        </w:rPr>
        <w:t>En este contexto, la doctrina identifica como bienes o servicios de características técnicas los insumos de oficina –bolígrafos, cartuchos de tinta, papel de impresora, tijeras, cuadernos, entre otros–, los insumos de limpieza –bolsas de basura, esponjas, limpiador de pisos, papel higiénico, toallas de papel, entre otros–, y los insumos de cocina –agua, aromáticas, azúcar, café, servilletas, entre otros–. También identifica como tales los muebles y enseres –archivos, asientos, escritorios, mesas, entre otros–, los equipos –computadores, escáneres, impresoras, proyectores, entre otros–, los combustibles –ACPM, biodiesel, gasolina, combustible diésel, entre otros–, los servicios de mantenimiento –equipos electrónicos, de comunicaciones, entre otros–, etc.</w:t>
      </w:r>
      <w:r w:rsidRPr="00185EE9">
        <w:rPr>
          <w:rStyle w:val="FootnoteReference"/>
          <w:rFonts w:ascii="Verdana" w:eastAsia="Calibri" w:hAnsi="Verdana" w:cs="Arial"/>
        </w:rPr>
        <w:footnoteReference w:id="16"/>
      </w:r>
    </w:p>
    <w:p w14:paraId="5CC4DA5A" w14:textId="77777777" w:rsidR="0092434F" w:rsidRDefault="0092434F" w:rsidP="0092434F">
      <w:pPr>
        <w:spacing w:after="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En definitiva, la nota común de este conjunto de bienes y servicios es que, con independencia de sus características descriptivas, comparten patrones de desempeño y calidad similares para la satisfacción de la necesidad a la que atienden. Igualmente, el inciso segundo del literal a) del artículo 2, numeral 2 de la Ley 1150 de 2007 dispone que “</w:t>
      </w:r>
      <w:r w:rsidRPr="00185EE9">
        <w:rPr>
          <w:rFonts w:ascii="Verdana" w:eastAsia="Calibri" w:hAnsi="Verdana" w:cs="Arial"/>
          <w:bCs/>
          <w:i/>
          <w:iCs/>
          <w:color w:val="000000" w:themeColor="text1"/>
        </w:rPr>
        <w:t>Para la adquisición de estos bienes y servicios las entidades deberán</w:t>
      </w:r>
      <w:r w:rsidRPr="00185EE9">
        <w:rPr>
          <w:rFonts w:ascii="Verdana" w:eastAsia="Calibri" w:hAnsi="Verdana" w:cs="Arial"/>
          <w:bCs/>
          <w:color w:val="000000" w:themeColor="text1"/>
        </w:rPr>
        <w:t xml:space="preserve">, siempre que el reglamento así lo señale, </w:t>
      </w:r>
      <w:r w:rsidRPr="00185EE9">
        <w:rPr>
          <w:rFonts w:ascii="Verdana" w:eastAsia="Calibri" w:hAnsi="Verdana" w:cs="Arial"/>
          <w:bCs/>
          <w:i/>
          <w:iCs/>
          <w:color w:val="000000" w:themeColor="text1"/>
        </w:rPr>
        <w:t xml:space="preserve">hacer </w:t>
      </w:r>
      <w:r w:rsidRPr="00185EE9">
        <w:rPr>
          <w:rFonts w:ascii="Verdana" w:eastAsia="Calibri" w:hAnsi="Verdana" w:cs="Arial"/>
          <w:bCs/>
          <w:i/>
          <w:iCs/>
          <w:color w:val="000000" w:themeColor="text1"/>
        </w:rPr>
        <w:lastRenderedPageBreak/>
        <w:t>uso</w:t>
      </w:r>
      <w:r w:rsidRPr="00185EE9">
        <w:rPr>
          <w:rFonts w:ascii="Verdana" w:eastAsia="Calibri" w:hAnsi="Verdana" w:cs="Arial"/>
          <w:bCs/>
          <w:color w:val="000000" w:themeColor="text1"/>
        </w:rPr>
        <w:t xml:space="preserve"> de procedimientos de subasta inversa o de instrumentos de compra por catálogo derivados de la celebración de acuerdos marco de precios o </w:t>
      </w:r>
      <w:r w:rsidRPr="00185EE9">
        <w:rPr>
          <w:rFonts w:ascii="Verdana" w:eastAsia="Calibri" w:hAnsi="Verdana" w:cs="Arial"/>
          <w:bCs/>
          <w:i/>
          <w:iCs/>
          <w:color w:val="000000" w:themeColor="text1"/>
        </w:rPr>
        <w:t>de procedimientos de adquisición en bolsas de productos</w:t>
      </w:r>
      <w:r w:rsidRPr="00185EE9">
        <w:rPr>
          <w:rFonts w:ascii="Verdana" w:eastAsia="Calibri" w:hAnsi="Verdana" w:cs="Arial"/>
          <w:bCs/>
          <w:color w:val="000000" w:themeColor="text1"/>
        </w:rPr>
        <w:t>” (Énfasis fuera de texto). Estos mecanismos se aplicarán en la forma que disponga el Decreto 1082 de 2015 para para cada uno de ellos.</w:t>
      </w:r>
    </w:p>
    <w:p w14:paraId="06F99294" w14:textId="77777777" w:rsidR="0092434F" w:rsidRPr="00185EE9" w:rsidRDefault="0092434F" w:rsidP="0092434F">
      <w:pPr>
        <w:spacing w:after="0" w:line="276" w:lineRule="auto"/>
        <w:ind w:firstLine="709"/>
        <w:jc w:val="both"/>
        <w:rPr>
          <w:rFonts w:ascii="Verdana" w:eastAsia="Calibri" w:hAnsi="Verdana" w:cs="Arial"/>
          <w:bCs/>
          <w:color w:val="000000" w:themeColor="text1"/>
        </w:rPr>
      </w:pPr>
    </w:p>
    <w:p w14:paraId="2F78F01D" w14:textId="77777777" w:rsidR="0092434F" w:rsidRPr="00185EE9" w:rsidRDefault="0092434F" w:rsidP="0092434F">
      <w:pPr>
        <w:spacing w:after="120" w:line="276" w:lineRule="auto"/>
        <w:jc w:val="both"/>
        <w:rPr>
          <w:rFonts w:ascii="Verdana" w:eastAsia="Calibri" w:hAnsi="Verdana" w:cs="Arial"/>
          <w:bCs/>
          <w:color w:val="000000" w:themeColor="text1"/>
        </w:rPr>
      </w:pPr>
      <w:r>
        <w:rPr>
          <w:rFonts w:ascii="Verdana" w:eastAsia="Calibri" w:hAnsi="Verdana" w:cs="Arial"/>
          <w:bCs/>
          <w:color w:val="000000" w:themeColor="text1"/>
        </w:rPr>
        <w:t xml:space="preserve">iii. </w:t>
      </w:r>
      <w:r w:rsidRPr="00185EE9">
        <w:rPr>
          <w:rFonts w:ascii="Verdana" w:eastAsia="Calibri" w:hAnsi="Verdana" w:cs="Arial"/>
          <w:bCs/>
          <w:color w:val="000000" w:themeColor="text1"/>
        </w:rPr>
        <w:t xml:space="preserve">Respecto a los servicios de vigilancia privada, nada se opone a que puedan considerarse como de características técnicas uniformes. Esto en la medida en que –de acuerdo con el artículo 2 del Decreto Ley 356 de 1994– corresponden a “[…] las actividades que en forma remunerada o en beneficio de una organización pública o privada, desarrollan las personas naturales o jurídicas, tendientes a prevenir o detener perturbaciones a la seguridad y tranquilidad individual en lo relacionado con la vida y los bienes propios o de terceros y la fabricación, instalación, comercialización y utilización de equipos para vigilancia y seguridad privada, blindajes y transportes con este mismo fin”. </w:t>
      </w:r>
    </w:p>
    <w:p w14:paraId="4DA052CA" w14:textId="77777777" w:rsidR="0092434F" w:rsidRPr="00185EE9" w:rsidRDefault="0092434F" w:rsidP="0092434F">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 xml:space="preserve">Su prestación se encuentra estandarizada desde el punto de vista normativo, pues los artículos 5 y 6 </w:t>
      </w:r>
      <w:r w:rsidRPr="00185EE9">
        <w:rPr>
          <w:rFonts w:ascii="Verdana" w:eastAsia="Calibri" w:hAnsi="Verdana" w:cs="Arial"/>
          <w:bCs/>
          <w:i/>
          <w:iCs/>
          <w:color w:val="000000" w:themeColor="text1"/>
        </w:rPr>
        <w:t>ibidem</w:t>
      </w:r>
      <w:r w:rsidRPr="00185EE9">
        <w:rPr>
          <w:rFonts w:ascii="Verdana" w:eastAsia="Calibri" w:hAnsi="Verdana" w:cs="Arial"/>
          <w:bCs/>
          <w:color w:val="000000" w:themeColor="text1"/>
        </w:rPr>
        <w:t xml:space="preserve"> autorizan la vigilancia fija, la vigilancia móvil, el servicio de escolta y el transporte de valores, y permite la utilización de armas de fuego, recursos humanos, animales, tecnológicos o materiales, vehículos e instalaciones físicas, y cualquier otro medio autorizado por la Superintendencia de Vigilancia y Seguridad Privada. Asimismo, el decreto ley fija condiciones para el servicio cuando las actividades se ejecutan con o sin armas, imponiéndoles tanto una serie de principios, deberes y obligaciones como de disposiciones comunes.</w:t>
      </w:r>
    </w:p>
    <w:p w14:paraId="1A94E973" w14:textId="05508131" w:rsidR="0092434F" w:rsidRPr="00185EE9" w:rsidRDefault="0092434F" w:rsidP="0092434F">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 xml:space="preserve">Estos servicios además se encuentran sujetos a las tarifas mínimas establecidas en la Circular Externa de la Superintendencia de Vigilancia y Seguridad Privada </w:t>
      </w:r>
      <w:r w:rsidRPr="00BA6BE6">
        <w:rPr>
          <w:rFonts w:ascii="Verdana" w:eastAsia="Calibri" w:hAnsi="Verdana" w:cs="Arial"/>
          <w:bCs/>
          <w:color w:val="000000" w:themeColor="text1"/>
        </w:rPr>
        <w:t>20241300000445</w:t>
      </w:r>
      <w:r w:rsidRPr="00185EE9">
        <w:rPr>
          <w:rFonts w:ascii="Verdana" w:eastAsia="Calibri" w:hAnsi="Verdana" w:cs="Arial"/>
          <w:bCs/>
          <w:color w:val="000000" w:themeColor="text1"/>
        </w:rPr>
        <w:t xml:space="preserve"> del 30 de diciembre de 202</w:t>
      </w:r>
      <w:r>
        <w:rPr>
          <w:rFonts w:ascii="Verdana" w:eastAsia="Calibri" w:hAnsi="Verdana" w:cs="Arial"/>
          <w:bCs/>
          <w:color w:val="000000" w:themeColor="text1"/>
        </w:rPr>
        <w:t>4</w:t>
      </w:r>
      <w:r w:rsidRPr="00185EE9">
        <w:rPr>
          <w:rFonts w:ascii="Verdana" w:eastAsia="Calibri" w:hAnsi="Verdana" w:cs="Arial"/>
          <w:bCs/>
          <w:color w:val="000000" w:themeColor="text1"/>
        </w:rPr>
        <w:t>. No obstante, este elemento normativo no hace parte de las definiciones del literal a) del numeral</w:t>
      </w:r>
      <w:r w:rsidR="00CE6D4A">
        <w:rPr>
          <w:rFonts w:ascii="Verdana" w:eastAsia="Calibri" w:hAnsi="Verdana" w:cs="Arial"/>
          <w:bCs/>
          <w:color w:val="000000" w:themeColor="text1"/>
        </w:rPr>
        <w:t xml:space="preserve"> </w:t>
      </w:r>
      <w:r w:rsidR="00CE6D4A" w:rsidRPr="00185EE9">
        <w:rPr>
          <w:rFonts w:ascii="Verdana" w:eastAsia="Calibri" w:hAnsi="Verdana" w:cs="Arial"/>
          <w:bCs/>
          <w:color w:val="000000" w:themeColor="text1"/>
        </w:rPr>
        <w:t>2</w:t>
      </w:r>
      <w:r w:rsidRPr="00185EE9">
        <w:rPr>
          <w:rFonts w:ascii="Verdana" w:eastAsia="Calibri" w:hAnsi="Verdana" w:cs="Arial"/>
          <w:bCs/>
          <w:color w:val="000000" w:themeColor="text1"/>
        </w:rPr>
        <w:t xml:space="preserve"> </w:t>
      </w:r>
      <w:r w:rsidR="00CE6D4A">
        <w:rPr>
          <w:rFonts w:ascii="Verdana" w:eastAsia="Calibri" w:hAnsi="Verdana" w:cs="Arial"/>
          <w:bCs/>
          <w:color w:val="000000" w:themeColor="text1"/>
        </w:rPr>
        <w:t xml:space="preserve">del </w:t>
      </w:r>
      <w:r w:rsidR="00CE6D4A" w:rsidRPr="00185EE9">
        <w:rPr>
          <w:rFonts w:ascii="Verdana" w:eastAsia="Calibri" w:hAnsi="Verdana" w:cs="Arial"/>
          <w:bCs/>
          <w:color w:val="000000" w:themeColor="text1"/>
        </w:rPr>
        <w:t>artículo 2</w:t>
      </w:r>
      <w:r w:rsidRPr="00185EE9">
        <w:rPr>
          <w:rFonts w:ascii="Verdana" w:eastAsia="Calibri" w:hAnsi="Verdana" w:cs="Arial"/>
          <w:bCs/>
          <w:color w:val="000000" w:themeColor="text1"/>
        </w:rPr>
        <w:t xml:space="preserve"> de la Ley 1150 de 2007</w:t>
      </w:r>
      <w:r w:rsidR="00BD763A">
        <w:rPr>
          <w:rFonts w:ascii="Verdana" w:eastAsia="Calibri" w:hAnsi="Verdana" w:cs="Arial"/>
          <w:bCs/>
          <w:color w:val="000000" w:themeColor="text1"/>
        </w:rPr>
        <w:t>,</w:t>
      </w:r>
      <w:r w:rsidRPr="00185EE9">
        <w:rPr>
          <w:rFonts w:ascii="Verdana" w:eastAsia="Calibri" w:hAnsi="Verdana" w:cs="Arial"/>
          <w:bCs/>
          <w:color w:val="000000" w:themeColor="text1"/>
        </w:rPr>
        <w:t xml:space="preserve"> ni del artículo 2.2.1.1.1.3.1 del Decreto 1082 de 2015. Es decir, mientras que su prestación comparta patrones de desempeño y calidad similares para la satisfacción de la necesidad a la que atienden, éstos son de características técnicas uniformes, con independencia de que el precio se encuentre o no regulado. </w:t>
      </w:r>
    </w:p>
    <w:p w14:paraId="5DCCA0FD" w14:textId="35B66EEE" w:rsidR="0092434F" w:rsidRPr="00185EE9" w:rsidRDefault="0092434F" w:rsidP="0092434F">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Sin embargo, las tarifas mínimas establecidas para este tipo de servicios representan una medida regulatoria que hace que l</w:t>
      </w:r>
      <w:r w:rsidR="0034676B">
        <w:rPr>
          <w:rFonts w:ascii="Verdana" w:eastAsia="Calibri" w:hAnsi="Verdana" w:cs="Arial"/>
          <w:bCs/>
          <w:color w:val="000000" w:themeColor="text1"/>
        </w:rPr>
        <w:t>a</w:t>
      </w:r>
      <w:r w:rsidRPr="00185EE9">
        <w:rPr>
          <w:rFonts w:ascii="Verdana" w:eastAsia="Calibri" w:hAnsi="Verdana" w:cs="Arial"/>
          <w:bCs/>
          <w:color w:val="000000" w:themeColor="text1"/>
        </w:rPr>
        <w:t xml:space="preserve">s ofertas para la prestación de este tipo de servicios tiendan al valor mínimo permitido por la regulación </w:t>
      </w:r>
      <w:r w:rsidRPr="00185EE9">
        <w:rPr>
          <w:rFonts w:ascii="Verdana" w:eastAsia="Calibri" w:hAnsi="Verdana" w:cs="Arial"/>
          <w:bCs/>
          <w:color w:val="000000" w:themeColor="text1"/>
        </w:rPr>
        <w:lastRenderedPageBreak/>
        <w:t xml:space="preserve">tarifaria, lo que dificulta que las Entidades Estatales puedan determinar la oferta más favorable con base en el menor precio, como bien podría suceder con bienes o servicios que no tienen un precio mínimo regulado, de acuerdo con lo previsto en el numeral 3 del artículo 5 de la Ley 1150 de 2007. Es por esto por lo que, la aplicación de mecanismos de subasta, catálogos derivados de acuerdos de precios y bolsa de productos, no resultan funcionales para garantizar la selección objetiva, al no permitir la aplicación de factores de evaluación distintos del precio.      </w:t>
      </w:r>
    </w:p>
    <w:p w14:paraId="0E48FD4E" w14:textId="77777777" w:rsidR="0092434F" w:rsidRDefault="0092434F" w:rsidP="0092434F">
      <w:pPr>
        <w:shd w:val="clear" w:color="auto" w:fill="FFFFFF"/>
        <w:spacing w:after="0" w:line="276" w:lineRule="auto"/>
        <w:ind w:right="51" w:firstLine="709"/>
        <w:jc w:val="both"/>
        <w:rPr>
          <w:rFonts w:ascii="Verdana" w:eastAsia="Calibri" w:hAnsi="Verdana" w:cs="Arial"/>
          <w:color w:val="000000"/>
          <w:lang w:val="es-ES_tradnl"/>
        </w:rPr>
      </w:pPr>
      <w:r w:rsidRPr="00185EE9">
        <w:rPr>
          <w:rFonts w:ascii="Verdana" w:eastAsia="Calibri" w:hAnsi="Verdana" w:cs="Arial"/>
          <w:color w:val="000000"/>
          <w:lang w:val="es-ES_tradnl"/>
        </w:rPr>
        <w:t xml:space="preserve">Sobre el particular, resulta pertinente traer a colación lo manifestado en el salvamento de voto de la sentencia de 17 de junio de 2024, expedida por la Sección Tercera del Consejo de Estado, en el marco del cual, el consejero Martín Bermúdez Muñoz, realizó las siguientes consideraciones sobre la modalidad de selección aplicable para la contratación de servicios de vigilancia y seguridad privada:  </w:t>
      </w:r>
    </w:p>
    <w:p w14:paraId="212A4253" w14:textId="77777777" w:rsidR="0092434F" w:rsidRPr="00185EE9" w:rsidRDefault="0092434F" w:rsidP="0092434F">
      <w:pPr>
        <w:shd w:val="clear" w:color="auto" w:fill="FFFFFF"/>
        <w:spacing w:after="0" w:line="276" w:lineRule="auto"/>
        <w:ind w:right="51" w:firstLine="709"/>
        <w:jc w:val="both"/>
        <w:rPr>
          <w:rFonts w:ascii="Verdana" w:eastAsia="Calibri" w:hAnsi="Verdana" w:cs="Arial"/>
          <w:color w:val="000000"/>
          <w:lang w:val="es-ES_tradnl"/>
        </w:rPr>
      </w:pPr>
      <w:r w:rsidRPr="00185EE9">
        <w:rPr>
          <w:rFonts w:ascii="Verdana" w:eastAsia="Calibri" w:hAnsi="Verdana" w:cs="Arial"/>
          <w:color w:val="000000"/>
          <w:lang w:val="es-ES_tradnl"/>
        </w:rPr>
        <w:t xml:space="preserve"> </w:t>
      </w:r>
    </w:p>
    <w:p w14:paraId="6D3F2B56" w14:textId="77777777" w:rsidR="0092434F" w:rsidRPr="00185EE9" w:rsidRDefault="0092434F" w:rsidP="0092434F">
      <w:pPr>
        <w:spacing w:after="0" w:line="240" w:lineRule="auto"/>
        <w:ind w:left="709" w:right="709"/>
        <w:jc w:val="both"/>
        <w:textAlignment w:val="baseline"/>
        <w:rPr>
          <w:rFonts w:ascii="Verdana" w:eastAsia="Arial" w:hAnsi="Verdana" w:cs="Arial"/>
          <w:sz w:val="20"/>
          <w:szCs w:val="20"/>
        </w:rPr>
      </w:pPr>
      <w:r w:rsidRPr="00185EE9">
        <w:rPr>
          <w:rFonts w:ascii="Verdana" w:eastAsia="Arial" w:hAnsi="Verdana" w:cs="Arial"/>
          <w:sz w:val="20"/>
          <w:szCs w:val="20"/>
        </w:rPr>
        <w:t>“Apartándose de la posición mayoritaria de la Sala, que estima que la consideración anterior es suficiente, el ponente consideraba importante incluir una reflexión acerca de si la subasta inversa para adjudicar un contrato de vigilancia en el que la tarifa se encuentra regulada por la ley era el método de selección apropiado y si a través del mismo podía escogerse el contratista que ofreciera el mejor servicio para la entidad, que es lo que debe perseguir cualquier proceso de selección. Adjudicar por un proceso de subasta inversa en el que resulta admisible que la puja sea de un peso ($1) a ($0.1) para celebrar un contrato en el que es evidente que este valor no tiene ningún tipo de incidencia, implica preguntarse si –en serio– este es el proceso que garantiza los propósitos de la contratación pública y evita prácticas colusorias en este tipo de contratos. El hecho de que la tarifa de un servicio esté regulada indica que la selección por subasta inversa no es apropiada porque esa regulación impide competir ofreciendo el precio más bajo; esta constatación conlleva la necesidad de estudiar oportunamente la opción de escoger un proceso de selección que permita considerar y medir objetivamente otros criterios de adjudicación en los cuales ella dependa de factores distintos que privilegien, entre otras cosas, la calidad del servicio”.</w:t>
      </w:r>
      <w:r w:rsidRPr="00185EE9">
        <w:rPr>
          <w:rStyle w:val="FootnoteReference"/>
          <w:rFonts w:ascii="Verdana" w:eastAsia="Arial" w:hAnsi="Verdana" w:cs="Arial"/>
          <w:sz w:val="20"/>
          <w:szCs w:val="20"/>
        </w:rPr>
        <w:footnoteReference w:id="17"/>
      </w:r>
      <w:r w:rsidRPr="00185EE9">
        <w:rPr>
          <w:rFonts w:ascii="Verdana" w:eastAsia="Arial" w:hAnsi="Verdana" w:cs="Arial"/>
          <w:sz w:val="20"/>
          <w:szCs w:val="20"/>
        </w:rPr>
        <w:t xml:space="preserve"> </w:t>
      </w:r>
    </w:p>
    <w:p w14:paraId="2B6E837F" w14:textId="77777777" w:rsidR="0092434F" w:rsidRPr="00185EE9" w:rsidRDefault="0092434F" w:rsidP="0092434F">
      <w:pPr>
        <w:spacing w:after="0" w:line="240" w:lineRule="auto"/>
        <w:ind w:left="709" w:right="709"/>
        <w:jc w:val="both"/>
        <w:textAlignment w:val="baseline"/>
        <w:rPr>
          <w:rFonts w:ascii="Verdana" w:eastAsia="Arial" w:hAnsi="Verdana" w:cs="Arial"/>
          <w:sz w:val="20"/>
          <w:szCs w:val="20"/>
        </w:rPr>
      </w:pPr>
    </w:p>
    <w:p w14:paraId="49B75F5A" w14:textId="77777777" w:rsidR="0092434F" w:rsidRPr="00185EE9" w:rsidRDefault="0092434F" w:rsidP="0092434F">
      <w:pPr>
        <w:shd w:val="clear" w:color="auto" w:fill="FFFFFF" w:themeFill="background1"/>
        <w:spacing w:after="120" w:line="276" w:lineRule="auto"/>
        <w:ind w:right="51" w:firstLine="709"/>
        <w:jc w:val="both"/>
        <w:rPr>
          <w:rFonts w:ascii="Verdana" w:eastAsia="Calibri" w:hAnsi="Verdana" w:cs="Arial"/>
          <w:color w:val="000000" w:themeColor="text1"/>
          <w:lang w:val="es-ES"/>
        </w:rPr>
      </w:pPr>
      <w:r w:rsidRPr="00185EE9">
        <w:rPr>
          <w:rFonts w:ascii="Verdana" w:eastAsia="Calibri" w:hAnsi="Verdana" w:cs="Arial"/>
          <w:color w:val="000000" w:themeColor="text1"/>
          <w:lang w:val="es-ES"/>
        </w:rPr>
        <w:t>Las consideraciones transcritas de este salvamento de voto, si bien no constituyen un criterio jurisprudencial unificado de la Sección Tercera del Consejo de Estado que tengan un efecto directo procesos de contratación en específico, s</w:t>
      </w:r>
      <w:r>
        <w:rPr>
          <w:rFonts w:ascii="Verdana" w:eastAsia="Calibri" w:hAnsi="Verdana" w:cs="Arial"/>
          <w:color w:val="000000" w:themeColor="text1"/>
          <w:lang w:val="es-ES"/>
        </w:rPr>
        <w:t>í</w:t>
      </w:r>
      <w:r w:rsidRPr="00185EE9">
        <w:rPr>
          <w:rFonts w:ascii="Verdana" w:eastAsia="Calibri" w:hAnsi="Verdana" w:cs="Arial"/>
          <w:color w:val="000000" w:themeColor="text1"/>
          <w:lang w:val="es-ES"/>
        </w:rPr>
        <w:t xml:space="preserve"> llaman la atención sobre la necesidad de que la selección objetiva </w:t>
      </w:r>
      <w:r w:rsidRPr="00185EE9">
        <w:rPr>
          <w:rFonts w:ascii="Verdana" w:eastAsia="Calibri" w:hAnsi="Verdana" w:cs="Arial"/>
          <w:color w:val="000000" w:themeColor="text1"/>
          <w:lang w:val="es-ES"/>
        </w:rPr>
        <w:lastRenderedPageBreak/>
        <w:t xml:space="preserve">de contratistas para la prestación de servicios de vigilancia y seguridad privada se haga a través de procedimiento que permitan comparar las ofertas a partir de factores distintos del precio. </w:t>
      </w:r>
    </w:p>
    <w:p w14:paraId="1AD1CCB9" w14:textId="77777777" w:rsidR="0092434F" w:rsidRPr="00185EE9" w:rsidRDefault="0092434F" w:rsidP="0092434F">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En atención a lo anterior, esta Subdirección estima que, la modalidad de selección más adecuada para la contratación de servicios de vigilancia y seguridad privada es la licitación pública, no s</w:t>
      </w:r>
      <w:r>
        <w:rPr>
          <w:rFonts w:ascii="Verdana" w:eastAsia="Calibri" w:hAnsi="Verdana" w:cs="Arial"/>
          <w:bCs/>
          <w:color w:val="000000" w:themeColor="text1"/>
        </w:rPr>
        <w:t>ó</w:t>
      </w:r>
      <w:r w:rsidRPr="00185EE9">
        <w:rPr>
          <w:rFonts w:ascii="Verdana" w:eastAsia="Calibri" w:hAnsi="Verdana" w:cs="Arial"/>
          <w:bCs/>
          <w:color w:val="000000" w:themeColor="text1"/>
        </w:rPr>
        <w:t>lo porque de acuerdo con el artículo 2, numeral 1 de la Ley 1150 de 2007 es la regla general para objetos no sujetos a alguna modalidad en específico, sino también por ser el procedimiento donde se cuentan con más elementos para garantizar la selección objetiva a partir de factores distintos del precio. De acuerdo con lo establecido en el numeral 2 del artículo 5 de la Ley 1150 de 2007, reglamentado en el artículo 2.2.1.1.2.2.2 del Decreto 1082 de 2015, en est</w:t>
      </w:r>
      <w:r>
        <w:rPr>
          <w:rFonts w:ascii="Verdana" w:eastAsia="Calibri" w:hAnsi="Verdana" w:cs="Arial"/>
          <w:bCs/>
          <w:color w:val="000000" w:themeColor="text1"/>
        </w:rPr>
        <w:t>a</w:t>
      </w:r>
      <w:r w:rsidRPr="00185EE9">
        <w:rPr>
          <w:rFonts w:ascii="Verdana" w:eastAsia="Calibri" w:hAnsi="Verdana" w:cs="Arial"/>
          <w:bCs/>
          <w:color w:val="000000" w:themeColor="text1"/>
        </w:rPr>
        <w:t xml:space="preserve"> modalidad de selección la oferta más favorable es que represente la mejor relación calidad-precio, la cual se debe determinar ponderando el valor de la oferta económica con factores de calidad, criterios sociales y ambientales, sin perjuicio de la aplicación de puntajes adicionales dispuestos por la normativa de contratación pública –</w:t>
      </w:r>
      <w:r w:rsidRPr="00185EE9">
        <w:rPr>
          <w:rFonts w:ascii="Verdana" w:eastAsia="Calibri" w:hAnsi="Verdana" w:cs="Arial"/>
          <w:bCs/>
          <w:i/>
          <w:iCs/>
          <w:color w:val="000000" w:themeColor="text1"/>
        </w:rPr>
        <w:t>v.g.</w:t>
      </w:r>
      <w:r w:rsidRPr="00185EE9">
        <w:rPr>
          <w:rFonts w:ascii="Verdana" w:eastAsia="Calibri" w:hAnsi="Verdana" w:cs="Arial"/>
          <w:bCs/>
          <w:color w:val="000000" w:themeColor="text1"/>
        </w:rPr>
        <w:t xml:space="preserve"> Ley 816 de 2003, Ley 1920 de 2018, Ley 2069 de 2020, etc.–. </w:t>
      </w:r>
    </w:p>
    <w:p w14:paraId="7DA7A48D" w14:textId="77777777" w:rsidR="0092434F" w:rsidRPr="00185EE9" w:rsidRDefault="0092434F" w:rsidP="0092434F">
      <w:pPr>
        <w:spacing w:after="120" w:line="276" w:lineRule="auto"/>
        <w:ind w:firstLine="709"/>
        <w:jc w:val="both"/>
        <w:rPr>
          <w:rFonts w:ascii="Verdana" w:eastAsia="Calibri" w:hAnsi="Verdana" w:cs="Arial"/>
          <w:color w:val="000000"/>
          <w:lang w:val="es-ES_tradnl"/>
        </w:rPr>
      </w:pPr>
      <w:r w:rsidRPr="00185EE9">
        <w:rPr>
          <w:rFonts w:ascii="Verdana" w:eastAsia="Calibri" w:hAnsi="Verdana" w:cs="Arial"/>
          <w:bCs/>
          <w:color w:val="000000" w:themeColor="text1"/>
        </w:rPr>
        <w:t>Esto además resulta coherente con lo dispuesto en el</w:t>
      </w:r>
      <w:r w:rsidRPr="00185EE9">
        <w:rPr>
          <w:rFonts w:ascii="Verdana" w:eastAsia="Calibri" w:hAnsi="Verdana" w:cs="Arial"/>
          <w:color w:val="000000"/>
          <w:lang w:val="es-ES_tradnl"/>
        </w:rPr>
        <w:t xml:space="preserve"> artículo 6 de la Ley 1920 de 2018, que </w:t>
      </w:r>
      <w:r w:rsidRPr="00185EE9">
        <w:rPr>
          <w:rFonts w:ascii="Verdana" w:eastAsia="Calibri" w:hAnsi="Verdana" w:cs="Arial"/>
          <w:bCs/>
          <w:color w:val="000000"/>
          <w:lang w:val="es-ES_tradnl"/>
        </w:rPr>
        <w:t xml:space="preserve">se refiere de manera expresa a la licitación pública como una modalidad de selección aplicable para contratar los servicios </w:t>
      </w:r>
      <w:r w:rsidRPr="00185EE9">
        <w:rPr>
          <w:rFonts w:ascii="Verdana" w:eastAsia="Calibri" w:hAnsi="Verdana" w:cs="Arial"/>
          <w:bCs/>
          <w:color w:val="000000" w:themeColor="text1"/>
        </w:rPr>
        <w:t>de vigilancia y seguridad privada. E</w:t>
      </w:r>
      <w:r w:rsidRPr="00185EE9">
        <w:rPr>
          <w:rFonts w:ascii="Verdana" w:eastAsia="Calibri" w:hAnsi="Verdana" w:cs="Arial"/>
          <w:color w:val="000000"/>
          <w:lang w:val="es-ES_tradnl"/>
        </w:rPr>
        <w:t>l inciso primero del artículo 6 dispone que “El Gobierno nacional […] expedirá en un término no mayor a 6 meses un decreto reglamentario que establezca una puntuación adicional en los procesos de licitación pública, concurso de méritos y contratación directa para las empresas de vigilancia y seguridad privada y/o las cooperativas especializadas de vigilancia y de seguridad privada que en personal operativo tengan a mujeres, a personas con discapacidad y/o personas mayores de 45 años, contratadas con todas las exigencias y garantías legalmente establecidas”.</w:t>
      </w:r>
    </w:p>
    <w:p w14:paraId="2360C324" w14:textId="77777777" w:rsidR="0092434F" w:rsidRPr="00185EE9" w:rsidRDefault="0092434F" w:rsidP="0092434F">
      <w:pPr>
        <w:tabs>
          <w:tab w:val="left" w:pos="426"/>
        </w:tabs>
        <w:spacing w:after="120" w:line="276" w:lineRule="auto"/>
        <w:jc w:val="both"/>
        <w:rPr>
          <w:rFonts w:ascii="Verdana" w:eastAsia="Calibri" w:hAnsi="Verdana" w:cs="Arial"/>
          <w:color w:val="000000"/>
          <w:lang w:val="es-ES"/>
        </w:rPr>
      </w:pPr>
      <w:r w:rsidRPr="00185EE9">
        <w:rPr>
          <w:rFonts w:ascii="Verdana" w:eastAsia="Calibri" w:hAnsi="Verdana" w:cs="Arial"/>
          <w:color w:val="000000"/>
          <w:sz w:val="21"/>
          <w:szCs w:val="21"/>
          <w:lang w:val="es-ES_tradnl"/>
        </w:rPr>
        <w:tab/>
      </w:r>
      <w:r w:rsidRPr="00185EE9">
        <w:rPr>
          <w:rFonts w:ascii="Verdana" w:eastAsia="Calibri" w:hAnsi="Verdana" w:cs="Arial"/>
          <w:color w:val="000000"/>
          <w:sz w:val="21"/>
          <w:szCs w:val="21"/>
          <w:lang w:val="es-ES_tradnl"/>
        </w:rPr>
        <w:tab/>
      </w:r>
      <w:r w:rsidRPr="00185EE9">
        <w:rPr>
          <w:rFonts w:ascii="Verdana" w:eastAsia="Calibri" w:hAnsi="Verdana" w:cs="Arial"/>
          <w:color w:val="000000"/>
          <w:lang w:val="es-ES_tradnl"/>
        </w:rPr>
        <w:t xml:space="preserve">Este incentivo </w:t>
      </w:r>
      <w:r w:rsidRPr="00185EE9">
        <w:rPr>
          <w:rFonts w:ascii="Verdana" w:eastAsia="Calibri" w:hAnsi="Verdana" w:cs="Arial"/>
          <w:bCs/>
          <w:color w:val="000000"/>
          <w:lang w:val="es-ES_tradnl"/>
        </w:rPr>
        <w:t xml:space="preserve">impulsa la vinculación laboral de este tipo de población circunscrito a mujeres, personas con discapacidad y personas mayores de 45 años, mediante la creación de un puntaje adicional en los procesos contractuales para la adquisición del servicio de vigilancia y seguridad privada de los proveedores del mercado. En este sentido, la </w:t>
      </w:r>
      <w:r w:rsidRPr="00185EE9">
        <w:rPr>
          <w:rFonts w:ascii="Verdana" w:eastAsia="Calibri" w:hAnsi="Verdana" w:cs="Arial"/>
          <w:color w:val="000000"/>
          <w:lang w:val="es-ES"/>
        </w:rPr>
        <w:t xml:space="preserve">contratación pública puede utilizarse como un mecanismo para promover condiciones de trabajo equitativas, el desarrollo económico, oportunidades económicas para los sectores de la </w:t>
      </w:r>
      <w:r w:rsidRPr="00185EE9">
        <w:rPr>
          <w:rFonts w:ascii="Verdana" w:eastAsia="Calibri" w:hAnsi="Verdana" w:cs="Arial"/>
          <w:color w:val="000000"/>
          <w:lang w:val="es-ES"/>
        </w:rPr>
        <w:lastRenderedPageBreak/>
        <w:t>población o las regiones más vulnerables dentro del territorio nacional, y para promover la adquisición de acuerdo con criterios de sostenibilidad ambiental</w:t>
      </w:r>
      <w:r w:rsidRPr="00185EE9">
        <w:rPr>
          <w:rFonts w:ascii="Verdana" w:eastAsia="Calibri" w:hAnsi="Verdana" w:cs="Arial"/>
          <w:color w:val="000000"/>
          <w:vertAlign w:val="superscript"/>
          <w:lang w:val="es-ES"/>
        </w:rPr>
        <w:footnoteReference w:id="18"/>
      </w:r>
      <w:r w:rsidRPr="00185EE9">
        <w:rPr>
          <w:rFonts w:ascii="Verdana" w:eastAsia="Calibri" w:hAnsi="Verdana" w:cs="Arial"/>
          <w:color w:val="000000"/>
          <w:lang w:val="es-ES"/>
        </w:rPr>
        <w:t>.</w:t>
      </w:r>
    </w:p>
    <w:p w14:paraId="522AF09A" w14:textId="77777777" w:rsidR="0092434F" w:rsidRPr="00185EE9" w:rsidRDefault="0092434F" w:rsidP="0092434F">
      <w:pPr>
        <w:tabs>
          <w:tab w:val="left" w:pos="426"/>
        </w:tabs>
        <w:spacing w:after="120" w:line="276" w:lineRule="auto"/>
        <w:jc w:val="both"/>
        <w:rPr>
          <w:rFonts w:ascii="Verdana" w:eastAsia="Calibri" w:hAnsi="Verdana" w:cs="Arial"/>
          <w:color w:val="000000"/>
          <w:lang w:val="es-ES"/>
        </w:rPr>
      </w:pPr>
      <w:r w:rsidRPr="00185EE9">
        <w:rPr>
          <w:rFonts w:ascii="Verdana" w:eastAsia="Calibri" w:hAnsi="Verdana" w:cs="Arial"/>
          <w:bCs/>
          <w:color w:val="000000"/>
          <w:lang w:val="es-ES_tradnl"/>
        </w:rPr>
        <w:tab/>
      </w:r>
      <w:r w:rsidRPr="00185EE9">
        <w:rPr>
          <w:rFonts w:ascii="Verdana" w:eastAsia="Calibri" w:hAnsi="Verdana" w:cs="Arial"/>
          <w:bCs/>
          <w:color w:val="000000"/>
          <w:lang w:val="es-ES_tradnl"/>
        </w:rPr>
        <w:tab/>
        <w:t>Con la expedición del Decreto 1279 de 2021 se adicionaron los artículos 2.2.1.2.4.2.10, 2.2.1.2.4.2.11, 2.2.1.2.4.2.12 y 2.2.1.2.4.2.13 a la Subsección 2 de la Sección 4 del Capítulo 2 del Título 1 de la Parte 2 del Libro 2 del Decreto 1082 de 2015, Único Reglamentario del Sector Administrativo de Planeación Nacional. Aunque el decreto fue suspendido provisionalmente mediante el Auto del 27 de septiembre de 2023 por la Subsección C de la Sección Tercera del Consejo de Estado, posibilitaba que las entidades estatales sometidas al Estatuto General de Contratación de la Administración Pública establecieran puntajes adicionales en los procesos de licitación pública que se iniciaran para la contratación de los servicios que prestan las empresas y cooperativas de vigilancia y seguridad privada, cuando éstos proveedores acreditaran que dentro de su personal operativo contaban con mujeres, personas con discapacidad y personas mayores de 45 años vinculadas con todas las garantías que establece la ley.</w:t>
      </w:r>
    </w:p>
    <w:p w14:paraId="545D2A72" w14:textId="77777777" w:rsidR="0092434F" w:rsidRPr="00185EE9" w:rsidRDefault="0092434F" w:rsidP="0092434F">
      <w:pPr>
        <w:shd w:val="clear" w:color="auto" w:fill="FFFFFF" w:themeFill="background1"/>
        <w:spacing w:after="120" w:line="276" w:lineRule="auto"/>
        <w:ind w:right="51" w:firstLine="709"/>
        <w:jc w:val="both"/>
        <w:rPr>
          <w:rFonts w:ascii="Verdana" w:eastAsia="Calibri" w:hAnsi="Verdana" w:cs="Arial"/>
          <w:color w:val="000000"/>
          <w:lang w:val="es-ES"/>
        </w:rPr>
      </w:pPr>
      <w:r w:rsidRPr="2832C13D">
        <w:rPr>
          <w:rFonts w:ascii="Verdana" w:eastAsia="Calibri" w:hAnsi="Verdana" w:cs="Arial"/>
          <w:color w:val="000000"/>
          <w:lang w:val="es-ES"/>
        </w:rPr>
        <w:t>Pese a que el artículo 6 de la Ley 1920 de 2018 también se refiere a la regulación de un puntaje adicional en los procesos de concurso de méritos y contratación directa, es necesario tener en cuenta que –de acuerdo con la memoria justificativa del decreto reglamentario– este se limita a la licitación pública. Lo anterior en la medida que, por un lado, los servicios de vigilancia no hacen parte del objeto de los contratos de consultoría y, por tanto, no se contratan a través del concurso de méritos y que, por otro, en la contratación directa no existe ponderación ni comparación entre diferentes propuestas, ya que es un proceso con un único oferente, pero no significa que se garantice un estudio del sector o del mercado</w:t>
      </w:r>
      <w:r w:rsidRPr="2832C13D">
        <w:rPr>
          <w:rFonts w:ascii="Verdana" w:eastAsia="Calibri" w:hAnsi="Verdana" w:cs="Arial"/>
          <w:color w:val="000000"/>
          <w:vertAlign w:val="superscript"/>
          <w:lang w:val="es-ES"/>
        </w:rPr>
        <w:footnoteReference w:id="19"/>
      </w:r>
      <w:r w:rsidRPr="2832C13D">
        <w:rPr>
          <w:rFonts w:ascii="Verdana" w:eastAsia="Calibri" w:hAnsi="Verdana" w:cs="Arial"/>
          <w:color w:val="000000"/>
          <w:lang w:val="es-ES"/>
        </w:rPr>
        <w:t xml:space="preserve">.  </w:t>
      </w:r>
    </w:p>
    <w:p w14:paraId="153243D7" w14:textId="77777777" w:rsidR="0092434F" w:rsidRPr="00185EE9" w:rsidRDefault="0092434F" w:rsidP="0092434F">
      <w:pPr>
        <w:shd w:val="clear" w:color="auto" w:fill="FFFFFF"/>
        <w:spacing w:after="120" w:line="276" w:lineRule="auto"/>
        <w:ind w:right="51" w:firstLine="709"/>
        <w:jc w:val="both"/>
        <w:rPr>
          <w:rFonts w:ascii="Verdana" w:eastAsia="Calibri" w:hAnsi="Verdana" w:cs="Arial"/>
          <w:color w:val="000000"/>
          <w:lang w:val="es-ES_tradnl"/>
        </w:rPr>
      </w:pPr>
      <w:r w:rsidRPr="00185EE9">
        <w:rPr>
          <w:rFonts w:ascii="Verdana" w:eastAsia="Calibri" w:hAnsi="Verdana" w:cs="Arial"/>
          <w:color w:val="000000"/>
          <w:lang w:val="es-ES_tradnl"/>
        </w:rPr>
        <w:t xml:space="preserve">Aunque el </w:t>
      </w:r>
      <w:r w:rsidRPr="00185EE9">
        <w:rPr>
          <w:rFonts w:ascii="Verdana" w:eastAsia="Calibri" w:hAnsi="Verdana" w:cs="Arial"/>
          <w:bCs/>
          <w:color w:val="000000"/>
          <w:lang w:val="es-ES_tradnl"/>
        </w:rPr>
        <w:t>Decreto 1279 de 2021 es actualmente inaplicable en virtud de la medida cautelar, de</w:t>
      </w:r>
      <w:r w:rsidRPr="00185EE9">
        <w:rPr>
          <w:rFonts w:ascii="Verdana" w:eastAsia="Calibri" w:hAnsi="Verdana" w:cs="Arial"/>
          <w:color w:val="000000"/>
          <w:lang w:val="es-ES_tradnl"/>
        </w:rPr>
        <w:t>l artículo 6 de la Ley 1920 de 2018</w:t>
      </w:r>
      <w:r w:rsidRPr="00185EE9">
        <w:rPr>
          <w:rFonts w:ascii="Verdana" w:eastAsia="Calibri" w:hAnsi="Verdana" w:cs="Arial"/>
          <w:bCs/>
          <w:color w:val="000000"/>
          <w:lang w:val="es-ES_tradnl"/>
        </w:rPr>
        <w:t xml:space="preserve"> se infiere que la licitación pública –al igual que la causal de selección abreviada del literal a) del artículo 2.2 de la Ley 1150 de 2007– también es un proceso de selección adecuado para contratar los servicios </w:t>
      </w:r>
      <w:r w:rsidRPr="00185EE9">
        <w:rPr>
          <w:rFonts w:ascii="Verdana" w:eastAsia="Calibri" w:hAnsi="Verdana" w:cs="Arial"/>
          <w:bCs/>
          <w:color w:val="000000" w:themeColor="text1"/>
        </w:rPr>
        <w:t xml:space="preserve">servicios de vigilancia privada. En este caso, los puntajes previstos en los artículos 2.2.1.2.4.2.10, 2.2.1.2.4.2.11, </w:t>
      </w:r>
      <w:r w:rsidRPr="00185EE9">
        <w:rPr>
          <w:rFonts w:ascii="Verdana" w:eastAsia="Calibri" w:hAnsi="Verdana" w:cs="Arial"/>
          <w:bCs/>
          <w:color w:val="000000" w:themeColor="text1"/>
        </w:rPr>
        <w:lastRenderedPageBreak/>
        <w:t>2.2.1.2.4.2.12 y 2.2.1.2.4.2.13 del Decreto 1082 de 2015, eventualmente, regirán nuevamente cuando el Consejo de Estado levante la suspensión provisional.</w:t>
      </w:r>
      <w:r w:rsidRPr="00185EE9">
        <w:rPr>
          <w:rFonts w:ascii="Verdana" w:eastAsia="Calibri" w:hAnsi="Verdana" w:cs="Arial"/>
          <w:bCs/>
          <w:color w:val="000000"/>
          <w:lang w:val="es-ES_tradnl"/>
        </w:rPr>
        <w:t xml:space="preserve"> </w:t>
      </w:r>
      <w:r w:rsidRPr="00185EE9">
        <w:rPr>
          <w:rFonts w:ascii="Verdana" w:eastAsia="Calibri" w:hAnsi="Verdana" w:cs="Arial"/>
          <w:color w:val="000000"/>
          <w:lang w:val="es-ES_tradnl"/>
        </w:rPr>
        <w:t xml:space="preserve"> </w:t>
      </w:r>
    </w:p>
    <w:p w14:paraId="44613C36" w14:textId="77777777" w:rsidR="0092434F" w:rsidRDefault="0092434F" w:rsidP="0092434F">
      <w:pPr>
        <w:spacing w:after="120" w:line="276" w:lineRule="auto"/>
        <w:ind w:firstLine="709"/>
        <w:jc w:val="both"/>
        <w:rPr>
          <w:rFonts w:ascii="Verdana" w:eastAsia="Calibri" w:hAnsi="Verdana" w:cs="Arial"/>
          <w:bCs/>
          <w:color w:val="000000" w:themeColor="text1"/>
        </w:rPr>
      </w:pPr>
      <w:r w:rsidRPr="00185EE9">
        <w:rPr>
          <w:rFonts w:ascii="Verdana" w:eastAsia="Calibri" w:hAnsi="Verdana" w:cs="Arial"/>
          <w:bCs/>
          <w:color w:val="000000" w:themeColor="text1"/>
        </w:rPr>
        <w:t>Lo anterior sin perjuicio de la aplicación de la modalidad de selección abreviada de menor cuantía cuando se requiera contratar servicios vigilancia y seguridad privada por valores que se ubiquen dentro de la menor cuantía de la respectiva Entidad Estatal, de acuerdo con los rangos establecidos en el literal b) del numeral 2 del artículo 2 de la Ley 1150 de 2007. En esta modalidad, al igual que en la licitación, la oferta más favorable se determina de acuerdo con lo establecido en el numeral 2 del artículo 5 de la Ley 1150 de 2007, esto es, en atención a la mejor relación calidad-precio.</w:t>
      </w:r>
    </w:p>
    <w:p w14:paraId="614FCACB" w14:textId="77777777" w:rsidR="0092434F" w:rsidRDefault="0092434F" w:rsidP="0092434F">
      <w:pPr>
        <w:spacing w:after="0" w:line="276" w:lineRule="auto"/>
        <w:ind w:firstLine="709"/>
        <w:jc w:val="both"/>
        <w:rPr>
          <w:rFonts w:ascii="Verdana" w:eastAsia="Calibri" w:hAnsi="Verdana" w:cs="Arial"/>
          <w:bCs/>
          <w:color w:val="000000" w:themeColor="text1"/>
        </w:rPr>
      </w:pPr>
      <w:r>
        <w:rPr>
          <w:rFonts w:ascii="Verdana" w:eastAsia="Calibri" w:hAnsi="Verdana" w:cs="Arial"/>
          <w:bCs/>
          <w:color w:val="000000" w:themeColor="text1"/>
        </w:rPr>
        <w:t xml:space="preserve">Aunque </w:t>
      </w:r>
      <w:r>
        <w:rPr>
          <w:rFonts w:ascii="Verdana" w:eastAsia="Century Gothic" w:hAnsi="Verdana" w:cs="Century Gothic"/>
        </w:rPr>
        <w:t xml:space="preserve">el numeral 2 del artículo </w:t>
      </w:r>
      <w:r w:rsidRPr="00B828F6">
        <w:rPr>
          <w:rFonts w:ascii="Verdana" w:eastAsia="Century Gothic" w:hAnsi="Verdana" w:cs="Century Gothic"/>
        </w:rPr>
        <w:t>2.2.1.2.1.2.1</w:t>
      </w:r>
      <w:r>
        <w:rPr>
          <w:rFonts w:ascii="Verdana" w:eastAsia="Century Gothic" w:hAnsi="Verdana" w:cs="Century Gothic"/>
        </w:rPr>
        <w:t xml:space="preserve"> del Decreto 1082 de 2015 dispone que los pliegos de condiciones </w:t>
      </w:r>
      <w:r w:rsidRPr="008E3F3E">
        <w:rPr>
          <w:rFonts w:ascii="Verdana" w:eastAsia="Century Gothic" w:hAnsi="Verdana" w:cs="Century Gothic"/>
        </w:rPr>
        <w:t>para contratar bienes y servicios de características técnicas uniformes, la entidad estatal debe indicar</w:t>
      </w:r>
      <w:r>
        <w:rPr>
          <w:rFonts w:ascii="Verdana" w:eastAsia="Century Gothic" w:hAnsi="Verdana" w:cs="Century Gothic"/>
        </w:rPr>
        <w:t xml:space="preserve"> “</w:t>
      </w:r>
      <w:r w:rsidRPr="008E3F3E">
        <w:rPr>
          <w:rFonts w:ascii="Verdana" w:eastAsia="Century Gothic" w:hAnsi="Verdana" w:cs="Century Gothic"/>
        </w:rPr>
        <w:t>Si el precio del bien o servicio es regulado, la variable sobre la cual se hace la evaluación de las ofertas</w:t>
      </w:r>
      <w:r>
        <w:rPr>
          <w:rFonts w:ascii="Verdana" w:eastAsia="Century Gothic" w:hAnsi="Verdana" w:cs="Century Gothic"/>
        </w:rPr>
        <w:t>”, el contenido de esta norma no cambia la conclusión del párrafo precedente</w:t>
      </w:r>
      <w:r w:rsidRPr="008E3F3E">
        <w:rPr>
          <w:rFonts w:ascii="Verdana" w:eastAsia="Century Gothic" w:hAnsi="Verdana" w:cs="Century Gothic"/>
        </w:rPr>
        <w:t>.</w:t>
      </w:r>
      <w:r>
        <w:rPr>
          <w:rFonts w:ascii="Verdana" w:eastAsia="Century Gothic" w:hAnsi="Verdana" w:cs="Century Gothic"/>
        </w:rPr>
        <w:t xml:space="preserve"> Para estos efectos, no puede perderse de vista que –conforme al artículo 5.3 de la Ley 1150 de 2007– “[…] </w:t>
      </w:r>
      <w:r w:rsidRPr="00120EB3">
        <w:rPr>
          <w:rFonts w:ascii="Verdana" w:eastAsia="Century Gothic" w:hAnsi="Verdana" w:cs="Century Gothic"/>
        </w:rPr>
        <w:t>en los pliegos de condiciones para las contrataciones cuyo objeto sea la adquisición o suministro de bienes y servicios de características técnicas uniformes y común utilización, las entidades estatales incluirán como único factor de evaluación el menor precio ofrecido</w:t>
      </w:r>
      <w:r>
        <w:rPr>
          <w:rFonts w:ascii="Verdana" w:eastAsia="Century Gothic" w:hAnsi="Verdana" w:cs="Century Gothic"/>
        </w:rPr>
        <w:t>”; razón por la cual, no hay lugar a la ponderación de elementos adicionales en la subasta inversa, los acuerdos marco de precios o las bolsas de productos. Como en la licitación pública o en la selección abreviada de menor cuantía los demás elementos diferentes al precio son ponderables, la Agencia reitera la tesis del Concepto C-231 del 1˚ de abril de 2025.</w:t>
      </w:r>
    </w:p>
    <w:p w14:paraId="4D23AC28" w14:textId="77777777" w:rsidR="0092434F" w:rsidRDefault="0092434F" w:rsidP="0092434F">
      <w:pPr>
        <w:spacing w:after="0" w:line="276" w:lineRule="auto"/>
        <w:jc w:val="both"/>
        <w:rPr>
          <w:rFonts w:ascii="Verdana" w:eastAsia="Calibri" w:hAnsi="Verdana" w:cs="Arial"/>
          <w:bCs/>
          <w:color w:val="000000" w:themeColor="text1"/>
        </w:rPr>
      </w:pPr>
    </w:p>
    <w:p w14:paraId="6C904F46" w14:textId="77777777" w:rsidR="0092434F" w:rsidRDefault="0092434F" w:rsidP="0092434F">
      <w:pPr>
        <w:spacing w:after="120" w:line="276" w:lineRule="auto"/>
        <w:jc w:val="both"/>
        <w:rPr>
          <w:rFonts w:ascii="Verdana" w:eastAsia="Calibri" w:hAnsi="Verdana" w:cs="Arial"/>
          <w:bCs/>
          <w:color w:val="000000" w:themeColor="text1"/>
        </w:rPr>
      </w:pPr>
      <w:r>
        <w:rPr>
          <w:rFonts w:ascii="Verdana" w:eastAsia="Calibri" w:hAnsi="Verdana" w:cs="Arial"/>
          <w:bCs/>
          <w:color w:val="000000" w:themeColor="text1"/>
        </w:rPr>
        <w:t xml:space="preserve">iv. </w:t>
      </w:r>
      <w:r w:rsidRPr="00E853DE">
        <w:rPr>
          <w:rFonts w:ascii="Verdana" w:eastAsia="Calibri" w:hAnsi="Verdana" w:cs="Arial"/>
          <w:bCs/>
          <w:color w:val="000000" w:themeColor="text1"/>
        </w:rPr>
        <w:t xml:space="preserve">Al margen de la explicación precedente debe advertirse que el análisis requerido para resolver problemas específicos en torno a la gestión contractual de las entidades públicas debe ser realizado por quienes tengan interés en ello, de acuerdo con lo explicado la aclaración preliminar del presente oficio. De esta manera, las afirmaciones aquí realizadas no pueden ser interpretadas como juicios de valor sobre circunstancias concretas relacionadas con los hechos que motivan la consulta. Por lo anterior, previo concepto de sus asesores, la solución de situaciones particulares corresponde a los interesados adoptar la decisión </w:t>
      </w:r>
      <w:r w:rsidRPr="00E853DE">
        <w:rPr>
          <w:rFonts w:ascii="Verdana" w:eastAsia="Calibri" w:hAnsi="Verdana" w:cs="Arial"/>
          <w:bCs/>
          <w:color w:val="000000" w:themeColor="text1"/>
        </w:rPr>
        <w:lastRenderedPageBreak/>
        <w:t>correspondiente y, en caso de conflicto, a las autoridades judiciales, fiscales y disciplinarias.</w:t>
      </w:r>
    </w:p>
    <w:p w14:paraId="773E1AFA" w14:textId="77777777" w:rsidR="0092434F" w:rsidRPr="00185EE9" w:rsidRDefault="0092434F" w:rsidP="0092434F">
      <w:pPr>
        <w:spacing w:after="0" w:line="276" w:lineRule="auto"/>
        <w:ind w:firstLine="708"/>
        <w:jc w:val="both"/>
        <w:rPr>
          <w:rFonts w:ascii="Verdana" w:eastAsia="Calibri" w:hAnsi="Verdana" w:cs="Arial"/>
          <w:bCs/>
          <w:color w:val="000000" w:themeColor="text1"/>
        </w:rPr>
      </w:pPr>
      <w:r w:rsidRPr="00E853DE">
        <w:rPr>
          <w:rFonts w:ascii="Verdana" w:eastAsia="Calibri" w:hAnsi="Verdana" w:cs="Arial"/>
          <w:bCs/>
          <w:color w:val="000000" w:themeColor="text1"/>
        </w:rPr>
        <w:t>Dentro de este marco, la entidad contratante definirá en cada caso concreto lo relacionado con el tema objeto de consulta. Al tratarse de un análisis que debe realizarse en el procedimiento contractual específico, la Agencia no puede definir un criterio universal y absoluto por vía consultiva, sino que brinda elementos de carácter general para que los partícipes del sistema de compras y contratación pública adopten la decisión que corresponda, lo cual es acorde con el principio de juridicidad. Así, cada entidad definirá la forma de adelantar su gestión contractual, sin que sea atribución de Colombia Compra Eficiente validar sus actuaciones.</w:t>
      </w:r>
      <w:r w:rsidRPr="00185EE9">
        <w:rPr>
          <w:rFonts w:ascii="Verdana" w:eastAsia="Calibri" w:hAnsi="Verdana" w:cs="Arial"/>
          <w:bCs/>
          <w:color w:val="000000" w:themeColor="text1"/>
        </w:rPr>
        <w:t xml:space="preserve"> </w:t>
      </w:r>
    </w:p>
    <w:p w14:paraId="249DCDE7" w14:textId="77777777" w:rsidR="0092434F" w:rsidRPr="00724A38" w:rsidRDefault="0092434F" w:rsidP="00724A38">
      <w:pPr>
        <w:tabs>
          <w:tab w:val="left" w:pos="709"/>
        </w:tabs>
        <w:spacing w:after="0" w:line="276" w:lineRule="auto"/>
        <w:jc w:val="both"/>
        <w:rPr>
          <w:rFonts w:ascii="Verdana" w:eastAsia="Calibri" w:hAnsi="Verdana" w:cs="Arial"/>
          <w:color w:val="000000" w:themeColor="text1"/>
        </w:rPr>
      </w:pPr>
    </w:p>
    <w:p w14:paraId="54F0CBBE" w14:textId="77777777" w:rsidR="0092434F" w:rsidRPr="00724A38" w:rsidRDefault="0092434F" w:rsidP="00724A38">
      <w:pPr>
        <w:pStyle w:val="ListParagraph"/>
        <w:numPr>
          <w:ilvl w:val="0"/>
          <w:numId w:val="16"/>
        </w:numPr>
        <w:tabs>
          <w:tab w:val="left" w:pos="142"/>
          <w:tab w:val="left" w:pos="284"/>
        </w:tabs>
        <w:spacing w:after="0" w:line="276" w:lineRule="auto"/>
        <w:ind w:left="0" w:firstLine="0"/>
        <w:contextualSpacing w:val="0"/>
        <w:jc w:val="both"/>
        <w:rPr>
          <w:rFonts w:ascii="Verdana" w:eastAsia="Century Gothic" w:hAnsi="Verdana" w:cs="Century Gothic"/>
          <w:b/>
          <w:bCs/>
        </w:rPr>
      </w:pPr>
      <w:r w:rsidRPr="00724A38">
        <w:rPr>
          <w:rFonts w:ascii="Verdana" w:eastAsia="Century Gothic" w:hAnsi="Verdana" w:cs="Century Gothic"/>
          <w:b/>
          <w:bCs/>
        </w:rPr>
        <w:t>Referencias normativas:</w:t>
      </w:r>
    </w:p>
    <w:p w14:paraId="34C51409" w14:textId="77777777" w:rsidR="0092434F" w:rsidRPr="00724A38" w:rsidRDefault="0092434F" w:rsidP="00724A38">
      <w:pPr>
        <w:widowControl w:val="0"/>
        <w:autoSpaceDE w:val="0"/>
        <w:autoSpaceDN w:val="0"/>
        <w:spacing w:after="0" w:line="276" w:lineRule="auto"/>
        <w:jc w:val="both"/>
        <w:rPr>
          <w:rFonts w:ascii="Verdana" w:hAnsi="Verdana" w:cs="Arial"/>
        </w:rPr>
      </w:pPr>
    </w:p>
    <w:tbl>
      <w:tblPr>
        <w:tblStyle w:val="TableGrid"/>
        <w:tblW w:w="864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647"/>
      </w:tblGrid>
      <w:tr w:rsidR="0092434F" w:rsidRPr="00724A38" w14:paraId="46C01B4F" w14:textId="77777777" w:rsidTr="00441EAC">
        <w:trPr>
          <w:trHeight w:val="870"/>
          <w:jc w:val="center"/>
        </w:trPr>
        <w:tc>
          <w:tcPr>
            <w:tcW w:w="8647" w:type="dxa"/>
          </w:tcPr>
          <w:p w14:paraId="079E7936" w14:textId="77777777" w:rsidR="0092434F" w:rsidRPr="00724A38" w:rsidRDefault="0092434F" w:rsidP="00724A38">
            <w:pPr>
              <w:pStyle w:val="ListParagraph"/>
              <w:widowControl w:val="0"/>
              <w:numPr>
                <w:ilvl w:val="0"/>
                <w:numId w:val="17"/>
              </w:numPr>
              <w:autoSpaceDE w:val="0"/>
              <w:autoSpaceDN w:val="0"/>
              <w:spacing w:after="120" w:line="276" w:lineRule="auto"/>
              <w:ind w:left="714" w:hanging="357"/>
              <w:contextualSpacing w:val="0"/>
              <w:jc w:val="both"/>
              <w:rPr>
                <w:rFonts w:ascii="Verdana" w:hAnsi="Verdana" w:cs="Arial"/>
              </w:rPr>
            </w:pPr>
            <w:r w:rsidRPr="00724A38">
              <w:rPr>
                <w:rFonts w:ascii="Verdana" w:hAnsi="Verdana" w:cs="Arial"/>
              </w:rPr>
              <w:t>Decreto Ley 354 de 1994, artículos 2, 5 y 6.</w:t>
            </w:r>
          </w:p>
          <w:p w14:paraId="659CBB38" w14:textId="77777777" w:rsidR="0092434F" w:rsidRPr="00724A38" w:rsidRDefault="0092434F" w:rsidP="00724A38">
            <w:pPr>
              <w:pStyle w:val="ListParagraph"/>
              <w:widowControl w:val="0"/>
              <w:numPr>
                <w:ilvl w:val="0"/>
                <w:numId w:val="17"/>
              </w:numPr>
              <w:autoSpaceDE w:val="0"/>
              <w:autoSpaceDN w:val="0"/>
              <w:spacing w:after="120" w:line="276" w:lineRule="auto"/>
              <w:ind w:left="714" w:hanging="357"/>
              <w:contextualSpacing w:val="0"/>
              <w:jc w:val="both"/>
              <w:rPr>
                <w:rFonts w:ascii="Verdana" w:hAnsi="Verdana" w:cs="Arial"/>
              </w:rPr>
            </w:pPr>
            <w:r w:rsidRPr="00724A38">
              <w:rPr>
                <w:rFonts w:ascii="Verdana" w:hAnsi="Verdana" w:cs="Arial"/>
              </w:rPr>
              <w:t xml:space="preserve">Ley 1150 de 2007, artículos 2 y 5. </w:t>
            </w:r>
          </w:p>
          <w:p w14:paraId="48C752CC" w14:textId="77777777" w:rsidR="0092434F" w:rsidRPr="00724A38" w:rsidRDefault="0092434F" w:rsidP="00724A38">
            <w:pPr>
              <w:pStyle w:val="ListParagraph"/>
              <w:widowControl w:val="0"/>
              <w:numPr>
                <w:ilvl w:val="0"/>
                <w:numId w:val="17"/>
              </w:numPr>
              <w:autoSpaceDE w:val="0"/>
              <w:autoSpaceDN w:val="0"/>
              <w:spacing w:after="120" w:line="276" w:lineRule="auto"/>
              <w:ind w:left="714" w:hanging="357"/>
              <w:contextualSpacing w:val="0"/>
              <w:jc w:val="both"/>
              <w:rPr>
                <w:rFonts w:ascii="Verdana" w:hAnsi="Verdana" w:cs="Arial"/>
              </w:rPr>
            </w:pPr>
            <w:r w:rsidRPr="00724A38">
              <w:rPr>
                <w:rFonts w:ascii="Verdana" w:hAnsi="Verdana" w:cs="Arial"/>
              </w:rPr>
              <w:t>Ley 1920 de 2018, artículo 6.</w:t>
            </w:r>
          </w:p>
          <w:p w14:paraId="21C034D4" w14:textId="77777777" w:rsidR="0092434F" w:rsidRPr="00724A38" w:rsidRDefault="0092434F" w:rsidP="00724A38">
            <w:pPr>
              <w:pStyle w:val="ListParagraph"/>
              <w:widowControl w:val="0"/>
              <w:numPr>
                <w:ilvl w:val="0"/>
                <w:numId w:val="17"/>
              </w:numPr>
              <w:autoSpaceDE w:val="0"/>
              <w:autoSpaceDN w:val="0"/>
              <w:spacing w:after="120" w:line="276" w:lineRule="auto"/>
              <w:ind w:left="714" w:hanging="357"/>
              <w:contextualSpacing w:val="0"/>
              <w:jc w:val="both"/>
              <w:rPr>
                <w:rFonts w:ascii="Verdana" w:hAnsi="Verdana" w:cs="Arial"/>
              </w:rPr>
            </w:pPr>
            <w:r w:rsidRPr="00724A38">
              <w:rPr>
                <w:rFonts w:ascii="Verdana" w:hAnsi="Verdana" w:cs="Arial"/>
              </w:rPr>
              <w:t xml:space="preserve">Decreto 1082 de 2015, artículos 2.2.2.1.1.1.3.1, </w:t>
            </w:r>
            <w:r w:rsidRPr="00724A38">
              <w:rPr>
                <w:rFonts w:ascii="Verdana" w:eastAsia="Calibri" w:hAnsi="Verdana" w:cs="Arial"/>
                <w:bCs/>
                <w:color w:val="000000" w:themeColor="text1"/>
              </w:rPr>
              <w:t>2.2.1.1.2.2.2</w:t>
            </w:r>
            <w:r w:rsidRPr="00724A38">
              <w:rPr>
                <w:rFonts w:ascii="Verdana" w:hAnsi="Verdana" w:cs="Arial"/>
              </w:rPr>
              <w:t xml:space="preserve"> </w:t>
            </w:r>
            <w:r w:rsidRPr="00724A38">
              <w:rPr>
                <w:rFonts w:ascii="Verdana" w:eastAsia="Calibri" w:hAnsi="Verdana" w:cs="Arial"/>
                <w:bCs/>
                <w:color w:val="000000" w:themeColor="text1"/>
              </w:rPr>
              <w:t>2.2.1.2.4.2.10, 2.2.1.2.4.2.11, 2.2.1.2.4.2.12 y 2.2.1.2.4.2.13.</w:t>
            </w:r>
          </w:p>
          <w:p w14:paraId="65B75EE3" w14:textId="77777777" w:rsidR="0092434F" w:rsidRPr="00724A38" w:rsidRDefault="0092434F" w:rsidP="00724A38">
            <w:pPr>
              <w:pStyle w:val="ListParagraph"/>
              <w:widowControl w:val="0"/>
              <w:numPr>
                <w:ilvl w:val="0"/>
                <w:numId w:val="17"/>
              </w:numPr>
              <w:autoSpaceDE w:val="0"/>
              <w:autoSpaceDN w:val="0"/>
              <w:spacing w:line="276" w:lineRule="auto"/>
              <w:ind w:left="714" w:hanging="357"/>
              <w:contextualSpacing w:val="0"/>
              <w:jc w:val="both"/>
              <w:rPr>
                <w:rFonts w:ascii="Verdana" w:hAnsi="Verdana" w:cs="Arial"/>
                <w:color w:val="000000" w:themeColor="text1"/>
                <w:lang w:val="es-ES_tradnl"/>
              </w:rPr>
            </w:pPr>
            <w:r w:rsidRPr="00724A38">
              <w:rPr>
                <w:rFonts w:ascii="Verdana" w:hAnsi="Verdana" w:cs="Arial"/>
              </w:rPr>
              <w:t>Código Civil, artículos 28 y 29.</w:t>
            </w:r>
          </w:p>
        </w:tc>
      </w:tr>
    </w:tbl>
    <w:p w14:paraId="52E46E4E" w14:textId="77777777" w:rsidR="0092434F" w:rsidRPr="00724A38" w:rsidRDefault="0092434F" w:rsidP="00724A38">
      <w:pPr>
        <w:widowControl w:val="0"/>
        <w:autoSpaceDE w:val="0"/>
        <w:autoSpaceDN w:val="0"/>
        <w:spacing w:after="0" w:line="276" w:lineRule="auto"/>
        <w:jc w:val="both"/>
        <w:rPr>
          <w:rFonts w:ascii="Verdana" w:hAnsi="Verdana" w:cs="Arial"/>
        </w:rPr>
      </w:pPr>
    </w:p>
    <w:p w14:paraId="2068808D" w14:textId="77777777" w:rsidR="0092434F" w:rsidRPr="00724A38" w:rsidRDefault="0092434F" w:rsidP="00724A38">
      <w:pPr>
        <w:pStyle w:val="ListParagraph"/>
        <w:numPr>
          <w:ilvl w:val="0"/>
          <w:numId w:val="16"/>
        </w:numPr>
        <w:tabs>
          <w:tab w:val="left" w:pos="142"/>
          <w:tab w:val="left" w:pos="284"/>
        </w:tabs>
        <w:spacing w:after="0" w:line="276" w:lineRule="auto"/>
        <w:ind w:left="0" w:firstLine="0"/>
        <w:contextualSpacing w:val="0"/>
        <w:jc w:val="both"/>
        <w:rPr>
          <w:rFonts w:ascii="Verdana" w:eastAsia="Century Gothic" w:hAnsi="Verdana" w:cs="Century Gothic"/>
          <w:b/>
          <w:bCs/>
        </w:rPr>
      </w:pPr>
      <w:r w:rsidRPr="00724A38">
        <w:rPr>
          <w:rFonts w:ascii="Verdana" w:eastAsia="Century Gothic" w:hAnsi="Verdana" w:cs="Century Gothic"/>
          <w:b/>
          <w:bCs/>
        </w:rPr>
        <w:t>Doctrina de la Agencia Nacional de Contratación Pública:</w:t>
      </w:r>
    </w:p>
    <w:p w14:paraId="64186F5F" w14:textId="77777777" w:rsidR="0092434F" w:rsidRPr="00724A38" w:rsidRDefault="0092434F" w:rsidP="00724A38">
      <w:pPr>
        <w:widowControl w:val="0"/>
        <w:autoSpaceDE w:val="0"/>
        <w:autoSpaceDN w:val="0"/>
        <w:spacing w:after="0" w:line="276" w:lineRule="auto"/>
        <w:jc w:val="both"/>
        <w:rPr>
          <w:rFonts w:ascii="Verdana" w:hAnsi="Verdana" w:cs="Arial"/>
        </w:rPr>
      </w:pPr>
    </w:p>
    <w:p w14:paraId="18757AA9" w14:textId="77777777" w:rsidR="0092434F" w:rsidRPr="00724A38" w:rsidRDefault="0092434F" w:rsidP="00724A38">
      <w:pPr>
        <w:widowControl w:val="0"/>
        <w:autoSpaceDE w:val="0"/>
        <w:autoSpaceDN w:val="0"/>
        <w:spacing w:after="0" w:line="276" w:lineRule="auto"/>
        <w:jc w:val="both"/>
        <w:rPr>
          <w:rStyle w:val="normaltextrun"/>
          <w:rFonts w:ascii="Verdana" w:hAnsi="Verdana" w:cs="Arial"/>
          <w:shd w:val="clear" w:color="auto" w:fill="FFFFFF"/>
        </w:rPr>
      </w:pPr>
      <w:r w:rsidRPr="00724A38">
        <w:rPr>
          <w:rFonts w:ascii="Verdana" w:hAnsi="Verdana" w:cs="Arial"/>
          <w:shd w:val="clear" w:color="auto" w:fill="FFFFFF"/>
        </w:rPr>
        <w:t>Esta Subdirección se ha pronunciado sobre la definición de los bienes y servicios de características técnicas uniformes en los Conceptos C-678 del 24 de noviembre de 2020, C-024 del 24 de febrero de 2021, C-123 del 5 de abril de 2021, C-565 del 12 de septiembre de 2022, C-669 del 18 de octubre de 2022, C-850 del 16 de diciembre de 2022, C-905 del 28 de diciembre de 2022, C-456 del 27 de octubre de 2023, C-597 del 8 de noviembre de 2024, C-749 del 12 de noviembre de 2024 y C-787 del 19 de noviembre de 2024</w:t>
      </w:r>
      <w:r w:rsidRPr="00724A38">
        <w:rPr>
          <w:rFonts w:ascii="Verdana" w:hAnsi="Verdana"/>
        </w:rPr>
        <w:t>.</w:t>
      </w:r>
      <w:r w:rsidRPr="00724A38">
        <w:rPr>
          <w:rFonts w:ascii="Verdana" w:hAnsi="Verdana" w:cs="Arial"/>
          <w:shd w:val="clear" w:color="auto" w:fill="FFFFFF"/>
        </w:rPr>
        <w:t xml:space="preserve"> Estos y otros </w:t>
      </w:r>
      <w:r w:rsidRPr="00724A38">
        <w:rPr>
          <w:rStyle w:val="normaltextrun"/>
          <w:rFonts w:ascii="Verdana" w:hAnsi="Verdana" w:cs="Arial"/>
          <w:shd w:val="clear" w:color="auto" w:fill="FFFFFF"/>
        </w:rPr>
        <w:t xml:space="preserve">se encuentran disponibles para consulta en el Sistema de relatoría de la Agencia, al cual puede accederse a través del siguiente enlace: </w:t>
      </w:r>
      <w:hyperlink r:id="rId11" w:history="1">
        <w:r w:rsidRPr="00724A38">
          <w:rPr>
            <w:rStyle w:val="Hyperlink"/>
            <w:rFonts w:ascii="Verdana" w:hAnsi="Verdana" w:cs="Arial"/>
            <w:shd w:val="clear" w:color="auto" w:fill="FFFFFF"/>
          </w:rPr>
          <w:t>https://relatoria.colombiacompra.gov.co/busqueda/conceptos</w:t>
        </w:r>
      </w:hyperlink>
      <w:r w:rsidRPr="00724A38">
        <w:rPr>
          <w:rStyle w:val="normaltextrun"/>
          <w:rFonts w:ascii="Verdana" w:hAnsi="Verdana" w:cs="Arial"/>
          <w:shd w:val="clear" w:color="auto" w:fill="FFFFFF"/>
        </w:rPr>
        <w:t xml:space="preserve">. </w:t>
      </w:r>
      <w:r w:rsidRPr="00724A38">
        <w:rPr>
          <w:rStyle w:val="normaltextrun"/>
          <w:rFonts w:ascii="Verdana" w:hAnsi="Verdana" w:cs="Arial"/>
          <w:color w:val="FF0000"/>
          <w:shd w:val="clear" w:color="auto" w:fill="FFFFFF"/>
          <w:lang w:val="es-ES"/>
        </w:rPr>
        <w:t xml:space="preserve"> </w:t>
      </w:r>
    </w:p>
    <w:p w14:paraId="6DEF757E" w14:textId="77777777" w:rsidR="0092434F" w:rsidRPr="00724A38" w:rsidRDefault="0092434F" w:rsidP="00724A38">
      <w:pPr>
        <w:widowControl w:val="0"/>
        <w:autoSpaceDE w:val="0"/>
        <w:autoSpaceDN w:val="0"/>
        <w:spacing w:after="0" w:line="276" w:lineRule="auto"/>
        <w:jc w:val="both"/>
        <w:rPr>
          <w:rFonts w:ascii="Verdana" w:hAnsi="Verdana" w:cs="Arial"/>
          <w:color w:val="000000" w:themeColor="text1"/>
          <w:shd w:val="clear" w:color="auto" w:fill="FFFFFF"/>
        </w:rPr>
      </w:pPr>
    </w:p>
    <w:p w14:paraId="167B4349" w14:textId="77777777" w:rsidR="0092434F" w:rsidRPr="00724A38" w:rsidRDefault="0092434F" w:rsidP="00724A38">
      <w:pPr>
        <w:shd w:val="clear" w:color="auto" w:fill="FFFFFF"/>
        <w:spacing w:after="0" w:line="276" w:lineRule="auto"/>
        <w:jc w:val="both"/>
        <w:rPr>
          <w:rFonts w:ascii="Verdana" w:hAnsi="Verdana"/>
          <w:color w:val="467886"/>
          <w:u w:val="single"/>
        </w:rPr>
      </w:pPr>
      <w:r w:rsidRPr="00724A38">
        <w:rPr>
          <w:rFonts w:ascii="Verdana" w:hAnsi="Verdana"/>
          <w:color w:val="000000"/>
        </w:rPr>
        <w:lastRenderedPageBreak/>
        <w:t>Te informamos que ya se encuentra disponible la </w:t>
      </w:r>
      <w:r w:rsidRPr="00724A38">
        <w:rPr>
          <w:rFonts w:ascii="Verdana" w:hAnsi="Verdana"/>
          <w:b/>
          <w:bCs/>
          <w:color w:val="000000"/>
        </w:rPr>
        <w:t>Guía de lineamientos de transparencia y selección objetiva para el departamento de La Guajira – Objetivo sexto constitucional de la Sentencia T-302 del 2017. </w:t>
      </w:r>
      <w:r w:rsidRPr="00724A38">
        <w:rPr>
          <w:rFonts w:ascii="Verdana" w:hAnsi="Verdana"/>
          <w:color w:val="000000"/>
        </w:rPr>
        <w:t>Esta Guía se expedide en el marco del cumplimiento de la orden proferida por la Honorable Corte Constitucional en la Sentencia T-302 del 2017. Con su implementación se busca contribuir a la superación del Estado de Cosas Inconstitucional declarado por la situación de vulneración masiva y recurrente de los derechos fundamentales de los niños y de las niñas del Pueblo Wayúu. Puede consultar la guía en el siguiente enlace: </w:t>
      </w:r>
      <w:hyperlink r:id="rId12" w:tgtFrame="_blank" w:tooltip="Dirección URL original: https://www.colombiacompra.gov.co/wp-content/uploads/2025/05/GUIA-DE-LINEAMIENTOS-DE-TRANSPARENCIA-Y-SELECCION-OBJETIVA-1.0.pdf. Haga clic o pulse si confía en este vínculo." w:history="1">
        <w:r w:rsidRPr="00724A38">
          <w:rPr>
            <w:rStyle w:val="Hyperlink"/>
            <w:rFonts w:ascii="Verdana" w:hAnsi="Verdana"/>
          </w:rPr>
          <w:t>Guía de lineamientos de transparencia y selección objetiva para el departamento de La Guajira – Objetivo sexto constitucional de la Sentencia T-302 del 2017</w:t>
        </w:r>
      </w:hyperlink>
      <w:r w:rsidRPr="00724A38">
        <w:rPr>
          <w:rFonts w:ascii="Verdana" w:hAnsi="Verdana"/>
          <w:color w:val="000000"/>
          <w:u w:val="single"/>
        </w:rPr>
        <w:t>.</w:t>
      </w:r>
    </w:p>
    <w:p w14:paraId="11D0F933" w14:textId="77777777" w:rsidR="0092434F" w:rsidRPr="00724A38" w:rsidRDefault="0092434F" w:rsidP="00724A38">
      <w:pPr>
        <w:widowControl w:val="0"/>
        <w:autoSpaceDE w:val="0"/>
        <w:autoSpaceDN w:val="0"/>
        <w:spacing w:after="0" w:line="276" w:lineRule="auto"/>
        <w:jc w:val="both"/>
        <w:rPr>
          <w:rFonts w:ascii="Verdana" w:hAnsi="Verdana" w:cs="Arial"/>
          <w:color w:val="FF0000"/>
          <w:shd w:val="clear" w:color="auto" w:fill="FFFFFF"/>
          <w:lang w:val="es-ES_tradnl"/>
        </w:rPr>
      </w:pPr>
      <w:r w:rsidRPr="00724A38">
        <w:rPr>
          <w:rFonts w:ascii="Verdana" w:hAnsi="Verdana" w:cs="Arial"/>
          <w:color w:val="000000" w:themeColor="text1"/>
          <w:shd w:val="clear" w:color="auto" w:fill="FFFFFF"/>
          <w:lang w:val="es-ES_tradnl"/>
        </w:rPr>
        <w:t xml:space="preserve"> </w:t>
      </w:r>
      <w:r w:rsidRPr="00724A38">
        <w:rPr>
          <w:rStyle w:val="normaltextrun"/>
          <w:rFonts w:ascii="Verdana" w:hAnsi="Verdana" w:cs="Arial"/>
          <w:color w:val="FF0000"/>
          <w:shd w:val="clear" w:color="auto" w:fill="FFFFFF"/>
          <w:lang w:val="es-ES_tradnl"/>
        </w:rPr>
        <w:t xml:space="preserve">        </w:t>
      </w:r>
    </w:p>
    <w:p w14:paraId="18F4DD6A" w14:textId="77777777" w:rsidR="0092434F" w:rsidRPr="00724A38" w:rsidRDefault="0092434F" w:rsidP="00724A38">
      <w:pPr>
        <w:widowControl w:val="0"/>
        <w:autoSpaceDE w:val="0"/>
        <w:autoSpaceDN w:val="0"/>
        <w:spacing w:after="0" w:line="276" w:lineRule="auto"/>
        <w:jc w:val="both"/>
        <w:rPr>
          <w:rFonts w:ascii="Verdana" w:hAnsi="Verdana" w:cs="Arial"/>
          <w:lang w:val="es-ES_tradnl"/>
        </w:rPr>
      </w:pPr>
      <w:r w:rsidRPr="00724A38">
        <w:rPr>
          <w:rFonts w:ascii="Verdana" w:hAnsi="Verdana" w:cs="Arial"/>
        </w:rPr>
        <w:t xml:space="preserve">Este concepto tiene el alcance previsto en el artículo 28 del Código de Procedimiento Administrativo y de lo Contencioso Administrativo </w:t>
      </w:r>
      <w:r w:rsidRPr="00724A38">
        <w:rPr>
          <w:rFonts w:ascii="Verdana" w:hAnsi="Verdana" w:cs="Arial"/>
          <w:lang w:val="es-ES_tradnl"/>
        </w:rPr>
        <w:t>y las expresiones aquí utilizadas con mayúscula inicial deben ser entendidas con el significado que les otorga el artículo 2.2.1.1.1.3.1. del Decreto 1082 de 2015.</w:t>
      </w:r>
    </w:p>
    <w:p w14:paraId="04DEF4B7" w14:textId="77777777" w:rsidR="0092434F" w:rsidRPr="00724A38" w:rsidRDefault="0092434F" w:rsidP="00724A38">
      <w:pPr>
        <w:widowControl w:val="0"/>
        <w:autoSpaceDE w:val="0"/>
        <w:autoSpaceDN w:val="0"/>
        <w:spacing w:after="0" w:line="276" w:lineRule="auto"/>
        <w:jc w:val="both"/>
        <w:rPr>
          <w:rFonts w:ascii="Verdana" w:hAnsi="Verdana" w:cs="Arial"/>
        </w:rPr>
      </w:pPr>
    </w:p>
    <w:p w14:paraId="785ED5B6" w14:textId="77777777" w:rsidR="0092434F" w:rsidRPr="00724A38" w:rsidRDefault="0092434F" w:rsidP="005A3914">
      <w:pPr>
        <w:spacing w:after="0" w:line="276" w:lineRule="auto"/>
        <w:rPr>
          <w:rFonts w:ascii="Verdana" w:hAnsi="Verdana" w:cs="Arial"/>
          <w:lang w:eastAsia="es-CO"/>
        </w:rPr>
      </w:pPr>
      <w:r w:rsidRPr="00724A38">
        <w:rPr>
          <w:rFonts w:ascii="Verdana" w:eastAsia="Times New Roman" w:hAnsi="Verdana" w:cs="Arial"/>
          <w:lang w:eastAsia="es-CO"/>
        </w:rPr>
        <w:t>Atentamente,</w:t>
      </w:r>
      <w:r w:rsidRPr="00724A38">
        <w:rPr>
          <w:rFonts w:ascii="Verdana" w:hAnsi="Verdana" w:cs="Arial"/>
          <w:lang w:eastAsia="es-CO"/>
        </w:rPr>
        <w:t xml:space="preserve"> </w:t>
      </w:r>
    </w:p>
    <w:p w14:paraId="6939A106" w14:textId="47AB49E3" w:rsidR="0092434F" w:rsidRPr="00593A5F" w:rsidRDefault="000E32CE" w:rsidP="0092434F">
      <w:pPr>
        <w:spacing w:line="276" w:lineRule="auto"/>
        <w:jc w:val="center"/>
        <w:rPr>
          <w:rFonts w:ascii="Verdana" w:hAnsi="Verdana" w:cs="Arial"/>
          <w:color w:val="000000"/>
          <w:lang w:val="es-ES_tradnl" w:eastAsia="es-CO"/>
        </w:rPr>
      </w:pPr>
      <w:r>
        <w:rPr>
          <w:noProof/>
        </w:rPr>
        <w:drawing>
          <wp:inline distT="0" distB="0" distL="0" distR="0" wp14:anchorId="113E6C39" wp14:editId="22CA899F">
            <wp:extent cx="3771900" cy="1400175"/>
            <wp:effectExtent l="0" t="0" r="0" b="0"/>
            <wp:docPr id="178027729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77293" name="Imagen 1" descr="Texto&#10;&#10;Descripción generada automáticamente"/>
                    <pic:cNvPicPr>
                      <a:picLocks noChangeAspect="1"/>
                    </pic:cNvPicPr>
                  </pic:nvPicPr>
                  <pic:blipFill>
                    <a:blip r:embed="rId13"/>
                    <a:stretch>
                      <a:fillRect/>
                    </a:stretch>
                  </pic:blipFill>
                  <pic:spPr>
                    <a:xfrm>
                      <a:off x="0" y="0"/>
                      <a:ext cx="3771900" cy="1400175"/>
                    </a:xfrm>
                    <a:prstGeom prst="rect">
                      <a:avLst/>
                    </a:prstGeom>
                  </pic:spPr>
                </pic:pic>
              </a:graphicData>
            </a:graphic>
          </wp:inline>
        </w:drawing>
      </w: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5628"/>
      </w:tblGrid>
      <w:tr w:rsidR="0092434F" w:rsidRPr="00593A5F" w14:paraId="547D8BD9" w14:textId="77777777" w:rsidTr="6E76510E">
        <w:trPr>
          <w:trHeight w:val="315"/>
        </w:trPr>
        <w:tc>
          <w:tcPr>
            <w:tcW w:w="893" w:type="dxa"/>
            <w:vAlign w:val="center"/>
            <w:hideMark/>
          </w:tcPr>
          <w:p w14:paraId="62E35166" w14:textId="77777777" w:rsidR="0092434F" w:rsidRPr="003751C7" w:rsidRDefault="0092434F" w:rsidP="00441EAC">
            <w:pPr>
              <w:contextualSpacing/>
              <w:rPr>
                <w:rFonts w:ascii="Verdana" w:hAnsi="Verdana" w:cs="Arial"/>
                <w:sz w:val="16"/>
                <w:szCs w:val="16"/>
                <w:lang w:val="es-ES" w:eastAsia="es-ES"/>
              </w:rPr>
            </w:pPr>
            <w:r w:rsidRPr="003751C7">
              <w:rPr>
                <w:rFonts w:ascii="Verdana" w:hAnsi="Verdana" w:cs="Arial"/>
                <w:sz w:val="16"/>
                <w:szCs w:val="16"/>
                <w:lang w:val="es-ES" w:eastAsia="es-ES"/>
              </w:rPr>
              <w:t>Elaboró:</w:t>
            </w:r>
          </w:p>
        </w:tc>
        <w:tc>
          <w:tcPr>
            <w:tcW w:w="5628" w:type="dxa"/>
            <w:tcBorders>
              <w:top w:val="nil"/>
              <w:left w:val="nil"/>
              <w:bottom w:val="dotted" w:sz="4" w:space="0" w:color="7F7F7F" w:themeColor="text1" w:themeTint="80"/>
              <w:right w:val="nil"/>
            </w:tcBorders>
            <w:vAlign w:val="center"/>
            <w:hideMark/>
          </w:tcPr>
          <w:p w14:paraId="45B69750" w14:textId="77777777" w:rsidR="0092434F" w:rsidRPr="00254A7A" w:rsidRDefault="0092434F" w:rsidP="00441EAC">
            <w:pPr>
              <w:contextualSpacing/>
              <w:rPr>
                <w:rStyle w:val="normaltextrun"/>
                <w:rFonts w:ascii="Verdana" w:hAnsi="Verdana"/>
                <w:sz w:val="16"/>
                <w:szCs w:val="16"/>
              </w:rPr>
            </w:pPr>
            <w:r w:rsidRPr="00254A7A">
              <w:rPr>
                <w:rStyle w:val="normaltextrun"/>
                <w:rFonts w:ascii="Verdana" w:hAnsi="Verdana"/>
                <w:sz w:val="16"/>
                <w:szCs w:val="16"/>
              </w:rPr>
              <w:t>Juan David Montoya Penagos</w:t>
            </w:r>
          </w:p>
          <w:p w14:paraId="08D7A910" w14:textId="77777777" w:rsidR="0092434F" w:rsidRPr="00254A7A" w:rsidRDefault="0092434F" w:rsidP="00441EAC">
            <w:pPr>
              <w:contextualSpacing/>
              <w:rPr>
                <w:rFonts w:ascii="Verdana" w:eastAsia="Arial" w:hAnsi="Verdana" w:cs="Arial"/>
                <w:sz w:val="16"/>
                <w:szCs w:val="16"/>
              </w:rPr>
            </w:pPr>
            <w:r w:rsidRPr="00254A7A">
              <w:rPr>
                <w:rStyle w:val="normaltextrun"/>
                <w:rFonts w:ascii="Verdana" w:hAnsi="Verdana"/>
                <w:sz w:val="16"/>
                <w:szCs w:val="16"/>
              </w:rPr>
              <w:t>Contratista de la Subdirección de Gestión Contractual</w:t>
            </w:r>
          </w:p>
        </w:tc>
      </w:tr>
      <w:tr w:rsidR="0092434F" w:rsidRPr="00593A5F" w14:paraId="269074FA" w14:textId="77777777" w:rsidTr="6E76510E">
        <w:trPr>
          <w:trHeight w:val="330"/>
        </w:trPr>
        <w:tc>
          <w:tcPr>
            <w:tcW w:w="893" w:type="dxa"/>
            <w:vAlign w:val="center"/>
            <w:hideMark/>
          </w:tcPr>
          <w:p w14:paraId="6F6AF725" w14:textId="77777777" w:rsidR="0092434F" w:rsidRPr="003751C7" w:rsidRDefault="0092434F" w:rsidP="00441EAC">
            <w:pPr>
              <w:contextualSpacing/>
              <w:rPr>
                <w:rFonts w:ascii="Verdana" w:hAnsi="Verdana" w:cs="Arial"/>
                <w:sz w:val="16"/>
                <w:szCs w:val="16"/>
                <w:lang w:val="es-ES" w:eastAsia="es-ES"/>
              </w:rPr>
            </w:pPr>
            <w:r w:rsidRPr="003751C7">
              <w:rPr>
                <w:rFonts w:ascii="Verdana" w:hAnsi="Verdana" w:cs="Arial"/>
                <w:sz w:val="16"/>
                <w:szCs w:val="16"/>
                <w:lang w:val="es-ES" w:eastAsia="es-ES"/>
              </w:rPr>
              <w:t>Revisó:</w:t>
            </w:r>
          </w:p>
        </w:tc>
        <w:tc>
          <w:tcPr>
            <w:tcW w:w="5628" w:type="dxa"/>
            <w:tcBorders>
              <w:top w:val="dotted" w:sz="4" w:space="0" w:color="7F7F7F" w:themeColor="text1" w:themeTint="80"/>
              <w:left w:val="nil"/>
              <w:bottom w:val="dotted" w:sz="4" w:space="0" w:color="7F7F7F" w:themeColor="text1" w:themeTint="80"/>
              <w:right w:val="nil"/>
            </w:tcBorders>
            <w:vAlign w:val="center"/>
            <w:hideMark/>
          </w:tcPr>
          <w:p w14:paraId="7598352F" w14:textId="77777777" w:rsidR="0092434F" w:rsidRPr="004A73EC" w:rsidRDefault="0092434F" w:rsidP="00441EAC">
            <w:pPr>
              <w:pStyle w:val="paragraph"/>
              <w:spacing w:after="0"/>
              <w:contextualSpacing/>
              <w:textAlignment w:val="baseline"/>
              <w:rPr>
                <w:rStyle w:val="normaltextrun"/>
                <w:rFonts w:ascii="Verdana" w:hAnsi="Verdana" w:cs="Arial"/>
                <w:sz w:val="16"/>
                <w:szCs w:val="16"/>
                <w:lang w:val="es-ES_tradnl"/>
              </w:rPr>
            </w:pPr>
            <w:r>
              <w:rPr>
                <w:rStyle w:val="normaltextrun"/>
                <w:rFonts w:ascii="Verdana" w:hAnsi="Verdana" w:cs="Arial"/>
                <w:sz w:val="16"/>
                <w:szCs w:val="16"/>
                <w:lang w:val="es-ES_tradnl"/>
              </w:rPr>
              <w:t>Diana Lucia Saavedra Castañeda</w:t>
            </w:r>
          </w:p>
          <w:p w14:paraId="6B3D37BE" w14:textId="77777777" w:rsidR="0092434F" w:rsidRPr="00254A7A" w:rsidRDefault="0092434F" w:rsidP="00441EAC">
            <w:pPr>
              <w:pStyle w:val="paragraph"/>
              <w:spacing w:before="0" w:beforeAutospacing="0" w:after="0" w:afterAutospacing="0"/>
              <w:contextualSpacing/>
              <w:textAlignment w:val="baseline"/>
              <w:rPr>
                <w:rFonts w:ascii="Verdana" w:hAnsi="Verdana" w:cs="Segoe UI"/>
                <w:sz w:val="16"/>
                <w:szCs w:val="16"/>
              </w:rPr>
            </w:pPr>
            <w:r w:rsidRPr="002306E5">
              <w:rPr>
                <w:rStyle w:val="normaltextrun"/>
                <w:rFonts w:ascii="Verdana" w:hAnsi="Verdana" w:cs="Arial"/>
                <w:sz w:val="16"/>
                <w:szCs w:val="16"/>
                <w:lang w:val="es-ES_tradnl"/>
              </w:rPr>
              <w:t>Contratista de la Subdirección de Gestión Contractual</w:t>
            </w:r>
          </w:p>
        </w:tc>
      </w:tr>
      <w:tr w:rsidR="0092434F" w:rsidRPr="00593A5F" w14:paraId="14DB4205" w14:textId="77777777" w:rsidTr="6E76510E">
        <w:trPr>
          <w:trHeight w:val="300"/>
        </w:trPr>
        <w:tc>
          <w:tcPr>
            <w:tcW w:w="893" w:type="dxa"/>
            <w:vAlign w:val="center"/>
          </w:tcPr>
          <w:p w14:paraId="0EE46587" w14:textId="77777777" w:rsidR="0092434F" w:rsidRPr="003751C7" w:rsidRDefault="0092434F" w:rsidP="00441EAC">
            <w:pPr>
              <w:contextualSpacing/>
              <w:rPr>
                <w:rFonts w:ascii="Verdana" w:hAnsi="Verdana" w:cs="Arial"/>
                <w:sz w:val="16"/>
                <w:szCs w:val="16"/>
                <w:lang w:val="es-ES" w:eastAsia="es-ES"/>
              </w:rPr>
            </w:pPr>
            <w:r w:rsidRPr="003751C7">
              <w:rPr>
                <w:rFonts w:ascii="Verdana" w:hAnsi="Verdana" w:cs="Arial"/>
                <w:sz w:val="16"/>
                <w:szCs w:val="16"/>
                <w:lang w:val="es-ES" w:eastAsia="es-ES"/>
              </w:rPr>
              <w:t>Aprobó:</w:t>
            </w:r>
          </w:p>
        </w:tc>
        <w:tc>
          <w:tcPr>
            <w:tcW w:w="5628" w:type="dxa"/>
            <w:tcBorders>
              <w:top w:val="dotted" w:sz="4" w:space="0" w:color="7F7F7F" w:themeColor="text1" w:themeTint="80"/>
              <w:left w:val="nil"/>
              <w:bottom w:val="dotted" w:sz="4" w:space="0" w:color="7F7F7F" w:themeColor="text1" w:themeTint="80"/>
              <w:right w:val="nil"/>
            </w:tcBorders>
            <w:vAlign w:val="center"/>
          </w:tcPr>
          <w:p w14:paraId="6B17A330" w14:textId="77777777" w:rsidR="0092434F" w:rsidRPr="00731523" w:rsidRDefault="0092434F" w:rsidP="6E76510E">
            <w:pPr>
              <w:contextualSpacing/>
              <w:rPr>
                <w:rFonts w:ascii="Verdana" w:eastAsia="Calibri" w:hAnsi="Verdana" w:cs="Arial"/>
                <w:sz w:val="16"/>
                <w:szCs w:val="16"/>
                <w:lang w:val="es-ES" w:eastAsia="es-ES"/>
              </w:rPr>
            </w:pPr>
            <w:r w:rsidRPr="6E76510E">
              <w:rPr>
                <w:rFonts w:ascii="Verdana" w:eastAsia="Calibri" w:hAnsi="Verdana" w:cs="Arial"/>
                <w:sz w:val="16"/>
                <w:szCs w:val="16"/>
                <w:lang w:val="es-ES" w:eastAsia="es-ES"/>
              </w:rPr>
              <w:t>Carolina Quintero Gacharná</w:t>
            </w:r>
          </w:p>
          <w:p w14:paraId="04DC5CA8" w14:textId="77777777" w:rsidR="0092434F" w:rsidRPr="003751C7" w:rsidRDefault="0092434F" w:rsidP="00441EAC">
            <w:pPr>
              <w:contextualSpacing/>
              <w:rPr>
                <w:rFonts w:ascii="Verdana" w:eastAsia="Calibri" w:hAnsi="Verdana" w:cs="Arial"/>
                <w:sz w:val="16"/>
                <w:szCs w:val="16"/>
                <w:lang w:val="pt-BR" w:eastAsia="es-ES"/>
              </w:rPr>
            </w:pPr>
            <w:r w:rsidRPr="00731523">
              <w:rPr>
                <w:rFonts w:ascii="Verdana" w:eastAsia="Calibri" w:hAnsi="Verdana" w:cs="Arial"/>
                <w:sz w:val="16"/>
                <w:szCs w:val="16"/>
                <w:lang w:val="es-ES_tradnl" w:eastAsia="es-ES"/>
              </w:rPr>
              <w:t>Subdirectora de Gestión Contractual ANCP – CCE</w:t>
            </w:r>
          </w:p>
        </w:tc>
      </w:tr>
    </w:tbl>
    <w:p w14:paraId="3A807B01" w14:textId="77777777" w:rsidR="0092434F" w:rsidRPr="00543BFE" w:rsidRDefault="0092434F" w:rsidP="0092434F"/>
    <w:p w14:paraId="3900974D" w14:textId="77777777" w:rsidR="003D5B0D" w:rsidRPr="008676DE" w:rsidRDefault="003D5B0D" w:rsidP="008676DE"/>
    <w:sectPr w:rsidR="003D5B0D" w:rsidRPr="008676DE" w:rsidSect="007C0C0F">
      <w:headerReference w:type="even" r:id="rId14"/>
      <w:headerReference w:type="default" r:id="rId15"/>
      <w:footerReference w:type="even" r:id="rId16"/>
      <w:footerReference w:type="default" r:id="rId17"/>
      <w:headerReference w:type="first" r:id="rId18"/>
      <w:footerReference w:type="first" r:id="rId1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F7E5" w14:textId="77777777" w:rsidR="00A60AF4" w:rsidRDefault="00A60AF4" w:rsidP="004A1847">
      <w:pPr>
        <w:spacing w:after="0" w:line="240" w:lineRule="auto"/>
      </w:pPr>
      <w:r>
        <w:separator/>
      </w:r>
    </w:p>
  </w:endnote>
  <w:endnote w:type="continuationSeparator" w:id="0">
    <w:p w14:paraId="161AC547" w14:textId="77777777" w:rsidR="00A60AF4" w:rsidRDefault="00A60AF4" w:rsidP="004A1847">
      <w:pPr>
        <w:spacing w:after="0" w:line="240" w:lineRule="auto"/>
      </w:pPr>
      <w:r>
        <w:continuationSeparator/>
      </w:r>
    </w:p>
  </w:endnote>
  <w:endnote w:type="continuationNotice" w:id="1">
    <w:p w14:paraId="03812A47" w14:textId="77777777" w:rsidR="00A60AF4" w:rsidRDefault="00A60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Geomanis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manist Bold">
    <w:altName w:val="Calibri"/>
    <w:panose1 w:val="00000000000000000000"/>
    <w:charset w:val="00"/>
    <w:family w:val="modern"/>
    <w:notTrueType/>
    <w:pitch w:val="variable"/>
    <w:sig w:usb0="A000002F" w:usb1="1000004A" w:usb2="00000000" w:usb3="00000000" w:csb0="00000193" w:csb1="00000000"/>
  </w:font>
  <w:font w:name="Geo">
    <w:altName w:val="Calibri"/>
    <w:charset w:val="00"/>
    <w:family w:val="auto"/>
    <w:pitch w:val="variable"/>
    <w:sig w:usb0="8000002F" w:usb1="40000048"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FBD2" w14:textId="77777777" w:rsidR="00EB11E7" w:rsidRDefault="00EB1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1A32" w14:textId="6CE791A4" w:rsidR="004A1847" w:rsidRDefault="004A1847">
    <w:pPr>
      <w:pStyle w:val="Footer"/>
    </w:pPr>
  </w:p>
  <w:p w14:paraId="594D6D9F" w14:textId="77777777" w:rsidR="00D520D8" w:rsidRPr="00174B77" w:rsidRDefault="00D520D8" w:rsidP="00D520D8">
    <w:pPr>
      <w:pBdr>
        <w:top w:val="single" w:sz="4" w:space="1" w:color="auto"/>
      </w:pBdr>
      <w:spacing w:after="0"/>
      <w:rPr>
        <w:rFonts w:ascii="Verdana" w:hAnsi="Verdana"/>
        <w:b/>
        <w:bCs/>
        <w:sz w:val="20"/>
        <w:szCs w:val="20"/>
      </w:rPr>
    </w:pPr>
    <w:r>
      <w:rPr>
        <w:rFonts w:ascii="Verdana" w:hAnsi="Verdana"/>
        <w:b/>
        <w:bCs/>
        <w:sz w:val="20"/>
        <w:szCs w:val="20"/>
      </w:rPr>
      <w:t>A</w:t>
    </w:r>
    <w:r w:rsidRPr="008E4D59">
      <w:rPr>
        <w:rFonts w:ascii="Verdana" w:hAnsi="Verdana"/>
        <w:b/>
        <w:bCs/>
        <w:sz w:val="20"/>
        <w:szCs w:val="20"/>
      </w:rPr>
      <w:t>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eastAsiaTheme="majorEastAsia" w:hAnsi="Verdana" w:cstheme="majorBidi"/>
        <w:b/>
        <w:bCs/>
        <w:sz w:val="16"/>
        <w:szCs w:val="16"/>
        <w:lang w:val="es-ES"/>
      </w:rPr>
      <w:t xml:space="preserve">pág. </w:t>
    </w:r>
    <w:r w:rsidRPr="002E1330">
      <w:rPr>
        <w:rFonts w:ascii="Verdana" w:eastAsiaTheme="minorEastAsia" w:hAnsi="Verdana"/>
        <w:b/>
        <w:bCs/>
        <w:sz w:val="16"/>
        <w:szCs w:val="16"/>
      </w:rPr>
      <w:fldChar w:fldCharType="begin"/>
    </w:r>
    <w:r w:rsidRPr="002E1330">
      <w:rPr>
        <w:rFonts w:ascii="Verdana" w:hAnsi="Verdana"/>
        <w:b/>
        <w:bCs/>
        <w:sz w:val="16"/>
        <w:szCs w:val="16"/>
      </w:rPr>
      <w:instrText>PAGE    \* MERGEFORMAT</w:instrText>
    </w:r>
    <w:r w:rsidRPr="002E1330">
      <w:rPr>
        <w:rFonts w:ascii="Verdana" w:eastAsiaTheme="minorEastAsia" w:hAnsi="Verdana"/>
        <w:b/>
        <w:bCs/>
        <w:sz w:val="16"/>
        <w:szCs w:val="16"/>
      </w:rPr>
      <w:fldChar w:fldCharType="separate"/>
    </w:r>
    <w:r>
      <w:rPr>
        <w:rFonts w:ascii="Verdana" w:eastAsiaTheme="minorEastAsia" w:hAnsi="Verdana"/>
        <w:b/>
        <w:bCs/>
        <w:sz w:val="16"/>
        <w:szCs w:val="16"/>
      </w:rPr>
      <w:t>1</w:t>
    </w:r>
    <w:r w:rsidRPr="002E1330">
      <w:rPr>
        <w:rFonts w:ascii="Verdana" w:eastAsiaTheme="majorEastAsia" w:hAnsi="Verdan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sidRPr="008E4D59">
      <w:rPr>
        <w:rFonts w:ascii="Verdana" w:hAnsi="Verdana"/>
        <w:b/>
        <w:bCs/>
        <w:sz w:val="20"/>
        <w:szCs w:val="20"/>
        <w:lang w:val="es-ES"/>
      </w:rPr>
      <w:t xml:space="preserve"> </w:t>
    </w:r>
    <w:r>
      <w:rPr>
        <w:rFonts w:ascii="Verdana" w:hAnsi="Verdana"/>
        <w:b/>
        <w:bCs/>
        <w:sz w:val="20"/>
        <w:szCs w:val="20"/>
      </w:rPr>
      <w:t xml:space="preserve">                                                  </w:t>
    </w:r>
  </w:p>
  <w:p w14:paraId="0A735DD5" w14:textId="77777777" w:rsidR="00D520D8" w:rsidRDefault="00D520D8" w:rsidP="00D520D8">
    <w:pPr>
      <w:spacing w:after="0"/>
      <w:jc w:val="both"/>
      <w:rPr>
        <w:rFonts w:ascii="Verdana" w:hAnsi="Verdana"/>
        <w:sz w:val="18"/>
        <w:szCs w:val="18"/>
      </w:rPr>
    </w:pPr>
    <w:r w:rsidRPr="00E41027">
      <w:rPr>
        <w:rFonts w:ascii="Verdana" w:hAnsi="Verdana"/>
        <w:sz w:val="18"/>
        <w:szCs w:val="18"/>
      </w:rPr>
      <w:t>Dirección: Carrera 7 # 26 – 20 - Bogotá, Colombia</w:t>
    </w:r>
  </w:p>
  <w:p w14:paraId="06E36B88" w14:textId="77777777" w:rsidR="00D520D8" w:rsidRPr="00E41027" w:rsidRDefault="00D520D8" w:rsidP="00D520D8">
    <w:pPr>
      <w:spacing w:after="0"/>
      <w:jc w:val="both"/>
      <w:rPr>
        <w:rFonts w:ascii="Verdana" w:hAnsi="Verdana"/>
        <w:sz w:val="18"/>
        <w:szCs w:val="18"/>
      </w:rPr>
    </w:pPr>
    <w:r w:rsidRPr="00E41027">
      <w:rPr>
        <w:rFonts w:ascii="Verdana" w:hAnsi="Verdana"/>
        <w:sz w:val="18"/>
        <w:szCs w:val="18"/>
      </w:rPr>
      <w:t>Mesa de servicio: (+57) 601 7456788</w:t>
    </w:r>
  </w:p>
  <w:p w14:paraId="744661F5" w14:textId="593AA28F" w:rsidR="006219F8" w:rsidRDefault="00D520D8" w:rsidP="0025796E">
    <w:pPr>
      <w:pBdr>
        <w:top w:val="nil"/>
        <w:left w:val="nil"/>
        <w:bottom w:val="nil"/>
        <w:right w:val="nil"/>
        <w:between w:val="nil"/>
      </w:pBdr>
      <w:tabs>
        <w:tab w:val="center" w:pos="4419"/>
        <w:tab w:val="right" w:pos="8838"/>
        <w:tab w:val="center" w:pos="5400"/>
      </w:tabs>
      <w:spacing w:after="0"/>
    </w:pPr>
    <w:r w:rsidRPr="00E41027">
      <w:rPr>
        <w:rFonts w:ascii="Verdana" w:hAnsi="Verdana"/>
        <w:sz w:val="18"/>
        <w:szCs w:val="18"/>
      </w:rPr>
      <w:t>Atención al ciudadano:</w:t>
    </w:r>
    <w:r>
      <w:rPr>
        <w:rFonts w:ascii="Verdana" w:hAnsi="Verdana"/>
        <w:sz w:val="18"/>
        <w:szCs w:val="18"/>
      </w:rPr>
      <w:t xml:space="preserve"> </w:t>
    </w:r>
    <w:r w:rsidRPr="00E41027">
      <w:rPr>
        <w:rFonts w:ascii="Verdana" w:hAnsi="Verdana"/>
        <w:sz w:val="18"/>
        <w:szCs w:val="18"/>
      </w:rPr>
      <w:t>(+57) 601 7956600</w:t>
    </w:r>
    <w:r>
      <w:rPr>
        <w:rFonts w:ascii="Verdana" w:hAnsi="Verdana"/>
        <w:sz w:val="18"/>
        <w:szCs w:val="18"/>
      </w:rPr>
      <w:t xml:space="preserve">          </w:t>
    </w:r>
    <w:r w:rsidR="00FA47C0" w:rsidRPr="004A305D">
      <w:rPr>
        <w:rFonts w:ascii="Century Gothic" w:eastAsia="Geo" w:hAnsi="Century Gothic" w:cs="Geo"/>
        <w:b/>
        <w:color w:val="000000"/>
        <w:sz w:val="16"/>
        <w:szCs w:val="16"/>
        <w:lang w:eastAsia="es-CO"/>
      </w:rPr>
      <w:t xml:space="preserve">Código: </w:t>
    </w:r>
    <w:r w:rsidR="00FA47C0" w:rsidRPr="004A305D">
      <w:rPr>
        <w:rFonts w:ascii="Century Gothic" w:eastAsia="Geo" w:hAnsi="Century Gothic" w:cs="Geo"/>
        <w:bCs/>
        <w:color w:val="000000"/>
        <w:sz w:val="16"/>
        <w:szCs w:val="16"/>
        <w:lang w:eastAsia="es-CO"/>
      </w:rPr>
      <w:t>CCE-</w:t>
    </w:r>
    <w:r w:rsidR="00FA47C0">
      <w:rPr>
        <w:rFonts w:ascii="Century Gothic" w:eastAsia="Geo" w:hAnsi="Century Gothic" w:cs="Geo"/>
        <w:bCs/>
        <w:color w:val="000000"/>
        <w:sz w:val="16"/>
        <w:szCs w:val="16"/>
        <w:lang w:eastAsia="es-CO"/>
      </w:rPr>
      <w:t>REC</w:t>
    </w:r>
    <w:r w:rsidR="00FA47C0" w:rsidRPr="004A305D">
      <w:rPr>
        <w:rFonts w:ascii="Century Gothic" w:eastAsia="Geo" w:hAnsi="Century Gothic" w:cs="Geo"/>
        <w:bCs/>
        <w:color w:val="000000"/>
        <w:sz w:val="16"/>
        <w:szCs w:val="16"/>
        <w:lang w:eastAsia="es-CO"/>
      </w:rPr>
      <w:t>-FM-</w:t>
    </w:r>
    <w:r w:rsidR="00FA47C0">
      <w:rPr>
        <w:rFonts w:ascii="Century Gothic" w:eastAsia="Geo" w:hAnsi="Century Gothic" w:cs="Geo"/>
        <w:bCs/>
        <w:color w:val="000000"/>
        <w:sz w:val="16"/>
        <w:szCs w:val="16"/>
        <w:lang w:eastAsia="es-CO"/>
      </w:rPr>
      <w:t>17</w:t>
    </w:r>
    <w:r w:rsidR="0025796E">
      <w:rPr>
        <w:rFonts w:ascii="Century Gothic" w:eastAsia="Geo" w:hAnsi="Century Gothic" w:cs="Geo"/>
        <w:bCs/>
        <w:color w:val="000000"/>
        <w:sz w:val="16"/>
        <w:szCs w:val="16"/>
        <w:lang w:eastAsia="es-CO"/>
      </w:rPr>
      <w:t xml:space="preserve"> </w:t>
    </w:r>
    <w:r w:rsidR="00FA47C0" w:rsidRPr="004A305D">
      <w:rPr>
        <w:rFonts w:ascii="Century Gothic" w:eastAsia="Geo" w:hAnsi="Century Gothic" w:cs="Geo"/>
        <w:b/>
        <w:color w:val="000000"/>
        <w:sz w:val="16"/>
        <w:szCs w:val="16"/>
        <w:lang w:eastAsia="es-CO"/>
      </w:rPr>
      <w:t>Versión</w:t>
    </w:r>
    <w:r w:rsidR="00FA47C0" w:rsidRPr="004A305D">
      <w:rPr>
        <w:rFonts w:ascii="Century Gothic" w:eastAsia="Arial Nova" w:hAnsi="Century Gothic" w:cs="Arial Nova"/>
        <w:b/>
        <w:color w:val="000000"/>
        <w:sz w:val="16"/>
        <w:szCs w:val="16"/>
        <w:lang w:eastAsia="es-CO"/>
      </w:rPr>
      <w:t xml:space="preserve">: </w:t>
    </w:r>
    <w:r w:rsidR="00FA47C0" w:rsidRPr="004A305D">
      <w:rPr>
        <w:rFonts w:ascii="Century Gothic" w:eastAsia="Geo" w:hAnsi="Century Gothic" w:cs="Geo"/>
        <w:sz w:val="16"/>
        <w:szCs w:val="16"/>
        <w:lang w:eastAsia="es-CO"/>
      </w:rPr>
      <w:t>0</w:t>
    </w:r>
    <w:r w:rsidR="00FA47C0">
      <w:rPr>
        <w:rFonts w:ascii="Century Gothic" w:eastAsia="Geo" w:hAnsi="Century Gothic" w:cs="Geo"/>
        <w:sz w:val="16"/>
        <w:szCs w:val="16"/>
        <w:lang w:eastAsia="es-CO"/>
      </w:rPr>
      <w:t>2</w:t>
    </w:r>
    <w:r w:rsidR="00FA47C0" w:rsidRPr="004A305D">
      <w:rPr>
        <w:rFonts w:ascii="Century Gothic" w:eastAsia="Geo" w:hAnsi="Century Gothic" w:cs="Geo"/>
        <w:sz w:val="16"/>
        <w:szCs w:val="16"/>
        <w:lang w:eastAsia="es-CO"/>
      </w:rPr>
      <w:t xml:space="preserve"> </w:t>
    </w:r>
    <w:r w:rsidR="0025796E">
      <w:rPr>
        <w:rFonts w:ascii="Century Gothic" w:eastAsia="Geo" w:hAnsi="Century Gothic" w:cs="Geo"/>
        <w:sz w:val="16"/>
        <w:szCs w:val="16"/>
        <w:lang w:eastAsia="es-CO"/>
      </w:rPr>
      <w:t>Fecha: 31-08-2023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8BB" w14:textId="77777777" w:rsidR="00EB11E7" w:rsidRDefault="00EB1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123F" w14:textId="77777777" w:rsidR="00A60AF4" w:rsidRDefault="00A60AF4" w:rsidP="004A1847">
      <w:pPr>
        <w:spacing w:after="0" w:line="240" w:lineRule="auto"/>
      </w:pPr>
      <w:r>
        <w:separator/>
      </w:r>
    </w:p>
  </w:footnote>
  <w:footnote w:type="continuationSeparator" w:id="0">
    <w:p w14:paraId="2AE45D3F" w14:textId="77777777" w:rsidR="00A60AF4" w:rsidRDefault="00A60AF4" w:rsidP="004A1847">
      <w:pPr>
        <w:spacing w:after="0" w:line="240" w:lineRule="auto"/>
      </w:pPr>
      <w:r>
        <w:continuationSeparator/>
      </w:r>
    </w:p>
  </w:footnote>
  <w:footnote w:type="continuationNotice" w:id="1">
    <w:p w14:paraId="67313AE6" w14:textId="77777777" w:rsidR="00A60AF4" w:rsidRDefault="00A60AF4">
      <w:pPr>
        <w:spacing w:after="0" w:line="240" w:lineRule="auto"/>
      </w:pPr>
    </w:p>
  </w:footnote>
  <w:footnote w:id="2">
    <w:p w14:paraId="44704B2C" w14:textId="77777777" w:rsidR="0092434F" w:rsidRPr="00856F20" w:rsidRDefault="0092434F" w:rsidP="0092434F">
      <w:pPr>
        <w:pStyle w:val="FootnoteText"/>
        <w:ind w:firstLine="709"/>
        <w:jc w:val="both"/>
        <w:rPr>
          <w:rFonts w:ascii="Verdana" w:hAnsi="Verdana" w:cs="Arial"/>
          <w:sz w:val="16"/>
          <w:szCs w:val="16"/>
        </w:rPr>
      </w:pPr>
      <w:r w:rsidRPr="00856F20">
        <w:rPr>
          <w:rStyle w:val="FootnoteReference"/>
          <w:rFonts w:ascii="Verdana" w:hAnsi="Verdana" w:cs="Arial"/>
          <w:sz w:val="16"/>
          <w:szCs w:val="16"/>
        </w:rPr>
        <w:footnoteRef/>
      </w:r>
      <w:r w:rsidRPr="00856F20">
        <w:rPr>
          <w:rFonts w:ascii="Verdana" w:hAnsi="Verdana" w:cs="Arial"/>
          <w:sz w:val="16"/>
          <w:szCs w:val="16"/>
        </w:rPr>
        <w:t xml:space="preserve"> Procuraduría General de la Nación. Concepto del 15 de octubre de 2014. Procuraduría Delegada para Asuntos Disciplinarios. Radicado PAD C-114-2014.</w:t>
      </w:r>
    </w:p>
  </w:footnote>
  <w:footnote w:id="3">
    <w:p w14:paraId="2300AA88" w14:textId="77777777" w:rsidR="0092434F" w:rsidRPr="00856F20" w:rsidRDefault="0092434F" w:rsidP="0092434F">
      <w:pPr>
        <w:pStyle w:val="FootnoteText"/>
        <w:ind w:firstLine="708"/>
        <w:rPr>
          <w:rFonts w:ascii="Verdana" w:hAnsi="Verdana" w:cs="Arial"/>
          <w:sz w:val="16"/>
          <w:szCs w:val="16"/>
        </w:rPr>
      </w:pPr>
      <w:r w:rsidRPr="00856F20">
        <w:rPr>
          <w:rStyle w:val="FootnoteReference"/>
          <w:rFonts w:ascii="Verdana" w:hAnsi="Verdana" w:cs="Arial"/>
          <w:sz w:val="16"/>
          <w:szCs w:val="16"/>
        </w:rPr>
        <w:footnoteRef/>
      </w:r>
      <w:r w:rsidRPr="00856F20">
        <w:rPr>
          <w:rFonts w:ascii="Verdana" w:hAnsi="Verdana" w:cs="Arial"/>
          <w:sz w:val="16"/>
          <w:szCs w:val="16"/>
        </w:rPr>
        <w:t xml:space="preserve"> Contraloría General de la República. Oficina Jurídica. Concepto 80112-OJ-008 2017.</w:t>
      </w:r>
    </w:p>
  </w:footnote>
  <w:footnote w:id="4">
    <w:p w14:paraId="6B9AEB2F"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cs="Arial"/>
          <w:sz w:val="16"/>
          <w:szCs w:val="16"/>
        </w:rPr>
        <w:footnoteRef/>
      </w:r>
      <w:r w:rsidRPr="00856F20">
        <w:rPr>
          <w:rFonts w:ascii="Verdana" w:hAnsi="Verdana" w:cs="Arial"/>
          <w:sz w:val="16"/>
          <w:szCs w:val="16"/>
        </w:rPr>
        <w:t xml:space="preserve"> ARBOLEDA PERDONO, Enrique José. Comentarios al Nuevo Código de Procedimiento Administrativo y de lo Contencioso Administrativo (2ª ed.). Editorial Legis. Bogotá. 2012. p. 59.</w:t>
      </w:r>
    </w:p>
  </w:footnote>
  <w:footnote w:id="5">
    <w:p w14:paraId="313D6ABA" w14:textId="77777777" w:rsidR="0092434F" w:rsidRPr="00856F20" w:rsidRDefault="0092434F" w:rsidP="0092434F">
      <w:pPr>
        <w:pStyle w:val="FootnoteText"/>
        <w:ind w:firstLine="709"/>
        <w:jc w:val="both"/>
        <w:rPr>
          <w:rFonts w:ascii="Verdana" w:hAnsi="Verdana" w:cs="Arial"/>
          <w:sz w:val="16"/>
          <w:szCs w:val="16"/>
        </w:rPr>
      </w:pPr>
      <w:r w:rsidRPr="00856F20">
        <w:rPr>
          <w:rStyle w:val="FootnoteReference"/>
          <w:rFonts w:ascii="Verdana" w:hAnsi="Verdana" w:cs="Arial"/>
          <w:sz w:val="16"/>
          <w:szCs w:val="16"/>
        </w:rPr>
        <w:footnoteRef/>
      </w:r>
      <w:r w:rsidRPr="00856F20">
        <w:rPr>
          <w:rFonts w:ascii="Verdana" w:hAnsi="Verdana" w:cs="Arial"/>
          <w:sz w:val="16"/>
          <w:szCs w:val="16"/>
        </w:rPr>
        <w:t xml:space="preserve"> Cfr. HERNÁNDEZ BECERRA, Augusto. Función Consultiva y Consejo de Estado en Colombia. Ponencia presentada en las III Jornadas Internacionales de la Función Consultiva, organizadas por el Instituto de Investigaciones Jurídicas y el programa de Postgrado en Derecho de la Universidad Nacional Autónoma de México – UNAM. México. 2012. Pág. 9. Texto disponible para ser consultado en el siguiente hipervínculo: </w:t>
      </w:r>
      <w:hyperlink r:id="rId1" w:history="1">
        <w:r w:rsidRPr="00856F20">
          <w:rPr>
            <w:rStyle w:val="Hyperlink"/>
            <w:rFonts w:ascii="Verdana" w:hAnsi="Verdana" w:cs="Arial"/>
            <w:sz w:val="16"/>
            <w:szCs w:val="16"/>
          </w:rPr>
          <w:t>https://issuu.com/estudiolegalhernandez/docs/ahb._funci__n_consultiva_y_consejo_</w:t>
        </w:r>
      </w:hyperlink>
      <w:r w:rsidRPr="00856F20">
        <w:rPr>
          <w:rFonts w:ascii="Verdana" w:hAnsi="Verdana" w:cs="Arial"/>
          <w:sz w:val="16"/>
          <w:szCs w:val="16"/>
        </w:rPr>
        <w:t>.</w:t>
      </w:r>
    </w:p>
  </w:footnote>
  <w:footnote w:id="6">
    <w:p w14:paraId="1C3436C4"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cs="Arial"/>
          <w:sz w:val="16"/>
          <w:szCs w:val="16"/>
        </w:rPr>
        <w:footnoteRef/>
      </w:r>
      <w:r w:rsidRPr="00856F20">
        <w:rPr>
          <w:rFonts w:ascii="Verdana" w:hAnsi="Verdana" w:cs="Arial"/>
          <w:sz w:val="16"/>
          <w:szCs w:val="16"/>
        </w:rPr>
        <w:t xml:space="preserve"> Consejo de Estado. Sala de Consulta y Servicio Civil. Concepto del 5 de octubre de 2009. Expediente 11001-03-06-000-2009-00049-00(1966). C.P. William Zambrano Cetina.</w:t>
      </w:r>
    </w:p>
  </w:footnote>
  <w:footnote w:id="7">
    <w:p w14:paraId="1A25C4D6"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cs="Arial"/>
          <w:sz w:val="16"/>
          <w:szCs w:val="16"/>
        </w:rPr>
        <w:footnoteRef/>
      </w:r>
      <w:r w:rsidRPr="00856F20">
        <w:rPr>
          <w:rFonts w:ascii="Verdana" w:hAnsi="Verdana" w:cs="Arial"/>
          <w:sz w:val="16"/>
          <w:szCs w:val="16"/>
        </w:rPr>
        <w:t xml:space="preserve"> El inciso primero de norma disponía que, conforme al principio de transparencia, “</w:t>
      </w:r>
      <w:r w:rsidRPr="00856F20">
        <w:rPr>
          <w:rFonts w:ascii="Verdana" w:hAnsi="Verdana" w:cs="Arial"/>
          <w:i/>
          <w:iCs/>
          <w:sz w:val="16"/>
          <w:szCs w:val="16"/>
        </w:rPr>
        <w:t>La escogencia del contratista se efectuará siempre a través de licitación o concurso públicos</w:t>
      </w:r>
      <w:r w:rsidRPr="00856F20">
        <w:rPr>
          <w:rFonts w:ascii="Verdana" w:hAnsi="Verdana" w:cs="Arial"/>
          <w:sz w:val="16"/>
          <w:szCs w:val="16"/>
        </w:rPr>
        <w:t>, salvo en los siguientes casos en los que se podrá contratar directamente” (Énfasis fuera de texto). La expresión en cursiva fue declarada exequible por la Corte Constitucional mediante la Sentencia C-400 de 1999, con ponencia del Magistrado Vladimiro Naranjo Mesa, y derogado integralmente por el artículo 32 de la Ley 1150 de 2007.</w:t>
      </w:r>
    </w:p>
  </w:footnote>
  <w:footnote w:id="8">
    <w:p w14:paraId="35FD1218"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cs="Arial"/>
          <w:sz w:val="16"/>
          <w:szCs w:val="16"/>
        </w:rPr>
        <w:footnoteRef/>
      </w:r>
      <w:r w:rsidRPr="00856F20">
        <w:rPr>
          <w:rFonts w:ascii="Verdana" w:hAnsi="Verdana" w:cs="Arial"/>
          <w:sz w:val="16"/>
          <w:szCs w:val="16"/>
        </w:rPr>
        <w:t xml:space="preserve"> Sobre la articulación de los diferentes procesos de selección previstos en el artículo 2 de la Ley 1150 de 2007, DÁVILA VINUEZA considera lo siguiente: “En las leyes 80 de 1993 y 1150 de 2007 los demás procedimientos de selección distintos a la licitación pública se convierten en procedimientos excepcionales y procedentes únicamente en los casos taxativamente contemplados en la ley. Pero la excepción no es respecto de los principios de transparencia, economía y responsabilidad y del deber de selección objetiva como parece lo han entendido algunas entidades estales. Estos principios que […] desarrollan los rectores de la función pública de orden constitucional y legal (art. 209 C.N., y art. 3° CPACA) son aplicables con todo rigor a los procedimientos de excepción. Siendo ello así, la excepción de que se habla es respecto del proceso licitatorio regulado en el artículo 30 de la Ley 80 de 1993 con las variantes introducidas por el artículo 2°, numeral 1, de la ley 1150 de 2007, en concordancia con el artículo 2.2.1.2.1.1.1 del Decreto 1082 de 2015 (</w:t>
      </w:r>
      <w:r w:rsidRPr="00856F20">
        <w:rPr>
          <w:rFonts w:ascii="Verdana" w:hAnsi="Verdana" w:cs="Arial"/>
          <w:i/>
          <w:iCs/>
          <w:sz w:val="16"/>
          <w:szCs w:val="16"/>
        </w:rPr>
        <w:t>Presentación de la oferta de manera dinámica</w:t>
      </w:r>
      <w:r w:rsidRPr="00856F20">
        <w:rPr>
          <w:rFonts w:ascii="Verdana" w:hAnsi="Verdana" w:cs="Arial"/>
          <w:sz w:val="16"/>
          <w:szCs w:val="16"/>
        </w:rPr>
        <w:t xml:space="preserve">). Es decir, que ante la ausencia de una causal concreta para un determinado evento específico, la selección debe asumir la que el ordenamiento jurídico regula como licitación pública. Por eso es que, además, las causas excepcionales de selección son de interpretación restrictiva y no admiten analogía ni la interpretación extensiva. Genera nulidad absoluta del contrato, por abuso o desviación de poder, y nulidad del acto administrativo de selección cualquier artilugio que implique socavar la principal manifestación del principio de transparencia, cual es la selección por vía de licitación”. (DÁVILA VINUEZA, Luis Guillermo. Régimen jurídico de la contratación estatal. Tercera Edición. Bogotá: Legis, 2016. p. 463).      </w:t>
      </w:r>
    </w:p>
  </w:footnote>
  <w:footnote w:id="9">
    <w:p w14:paraId="48AC0014"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sz w:val="16"/>
          <w:szCs w:val="16"/>
        </w:rPr>
        <w:footnoteRef/>
      </w:r>
      <w:r w:rsidRPr="00856F20">
        <w:rPr>
          <w:rFonts w:ascii="Verdana" w:hAnsi="Verdana"/>
          <w:sz w:val="16"/>
          <w:szCs w:val="16"/>
        </w:rPr>
        <w:t xml:space="preserve"> </w:t>
      </w:r>
      <w:r w:rsidRPr="00856F20">
        <w:rPr>
          <w:rFonts w:ascii="Verdana" w:hAnsi="Verdana" w:cs="Arial"/>
          <w:sz w:val="16"/>
          <w:szCs w:val="16"/>
        </w:rPr>
        <w:t xml:space="preserve">El numeral 2 del artículo 2 de la Ley 1150 de 2007 prescribe: </w:t>
      </w:r>
      <w:r w:rsidRPr="00856F20">
        <w:rPr>
          <w:rFonts w:ascii="Verdana" w:hAnsi="Verdana"/>
          <w:sz w:val="16"/>
          <w:szCs w:val="16"/>
        </w:rPr>
        <w:t xml:space="preserve">“[…] </w:t>
      </w:r>
      <w:r w:rsidRPr="00856F20">
        <w:rPr>
          <w:rFonts w:ascii="Verdana" w:hAnsi="Verdana" w:cs="Arial"/>
          <w:sz w:val="16"/>
          <w:szCs w:val="16"/>
        </w:rPr>
        <w:t>Serán causales de selección abreviada las siguientes:</w:t>
      </w:r>
    </w:p>
    <w:p w14:paraId="098BE58C"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56F1DD03"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 xml:space="preserve">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 </w:t>
      </w:r>
    </w:p>
    <w:p w14:paraId="17B89BED"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b) La contratación de menor cuantía. Se entenderá por menor cuantía los valores que a continuación se relacionan, determinados en función de los presupuestos anuales de las entidades públicas expresados en salarios mínimos legales mensuales.</w:t>
      </w:r>
    </w:p>
    <w:p w14:paraId="204292CA"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w:t>
      </w:r>
    </w:p>
    <w:p w14:paraId="350611FF"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c) Sin perjuicio de lo dispuesto en la Ley 100 de 1993 y en la Ley 1122 de 2007, la celebración de contratos para la prestación de servicios de salud. El reglamento interno correspondiente fijará las garantías a cargo de los contratistas. Los pagos correspondientes se podrán hacer mediante encargos fiduciarios;</w:t>
      </w:r>
    </w:p>
    <w:p w14:paraId="44ED2978"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d) La contratación cuyo proceso de licitación pública haya sido declarado desierto; en cuyo caso la entidad deberá iniciar la selección abreviada dentro de los cuatro meses siguientes a la declaración de desierta del proceso inicial;</w:t>
      </w:r>
    </w:p>
    <w:p w14:paraId="595CC585"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e) La enajenación de bienes del Estado, con excepción de aquellos a que se refiere la Ley 226 de 1995.</w:t>
      </w:r>
    </w:p>
    <w:p w14:paraId="571272DB"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 xml:space="preserve">[…]; </w:t>
      </w:r>
    </w:p>
    <w:p w14:paraId="79CD18D7"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 xml:space="preserve">f) Productos de origen o destinación agropecuarios que se ofrezcan en las bolsas de productos legalmente constituidas; </w:t>
      </w:r>
    </w:p>
    <w:p w14:paraId="4C3EF5C7"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 xml:space="preserve">g) Los actos y contratos que tengan por objeto directo las actividades comerciales e industriales propias de las Empresas Industriales y Comerciales Estatales y de las Sociedades de Economía Mixta, con excepción de los contratos que a título enunciativo identifica el artículo 32 de la Ley 80 de 1993; </w:t>
      </w:r>
    </w:p>
    <w:p w14:paraId="2667AEEF"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h) Los contratos de las entidades, a cuyo cargo se encuentre la ejecución de los programas de protección de personas amenazadas, programas de desmovilización y reincorporación a la vida civil de personas y grupos al margen de la ley, incluida la atención de los respectivos grupos familiares, programas de atención a población desplazada por la violencia, programas de protección de derechos humanos de grupos de personas habitantes de la calle, niños y niñas o jóvenes involucrados en grupos juveniles que hayan incurrido en conductas contra el patrimonio económico y sostengan enfrentamientos violentos de diferente tipo, y población en alto grado de vulnerabilidad con reconocido estado de exclusión que requieran capacitación, resocialización y preparación para el trabajo, incluidos los contratos fiduciarios que demanden;</w:t>
      </w:r>
    </w:p>
    <w:p w14:paraId="72AEBFEB"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i) La contratación de bienes y servicios que se requieran para la defensa y seguridad nacional.</w:t>
      </w:r>
    </w:p>
    <w:p w14:paraId="350583F2" w14:textId="77777777" w:rsidR="0092434F" w:rsidRPr="00856F20" w:rsidRDefault="0092434F" w:rsidP="0092434F">
      <w:pPr>
        <w:pStyle w:val="FootnoteText"/>
        <w:ind w:firstLine="708"/>
        <w:jc w:val="both"/>
        <w:rPr>
          <w:rFonts w:ascii="Verdana" w:hAnsi="Verdana" w:cs="Arial"/>
          <w:sz w:val="16"/>
          <w:szCs w:val="16"/>
        </w:rPr>
      </w:pPr>
      <w:r w:rsidRPr="00856F20">
        <w:rPr>
          <w:rFonts w:ascii="Verdana" w:hAnsi="Verdana" w:cs="Arial"/>
          <w:sz w:val="16"/>
          <w:szCs w:val="16"/>
        </w:rPr>
        <w:t>j) Los bienes y servicios no uniformes de común utilización por parte de las entidades públicas, para lo cual la Agencia Nacional de Contratación Pública - Colombia Compra Eficiente - podrá celebrar acuerdos marco de precios y demás instrumentos de agregación de demanda. Estos acuerdos marco de precios también serán de obligatorio uso de las entidades del Estado a las que se refiere el parágrafo 5 del artículo 2 de la presente ley, modificado por el artículo 41 de la Ley 1955 de 2019”.</w:t>
      </w:r>
    </w:p>
  </w:footnote>
  <w:footnote w:id="10">
    <w:p w14:paraId="2FA3B235"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sz w:val="16"/>
          <w:szCs w:val="16"/>
        </w:rPr>
        <w:footnoteRef/>
      </w:r>
      <w:r w:rsidRPr="00856F20">
        <w:rPr>
          <w:rFonts w:ascii="Verdana" w:hAnsi="Verdana"/>
          <w:sz w:val="16"/>
          <w:szCs w:val="16"/>
        </w:rPr>
        <w:t xml:space="preserve"> </w:t>
      </w:r>
      <w:r w:rsidRPr="00856F20">
        <w:rPr>
          <w:rFonts w:ascii="Verdana" w:hAnsi="Verdana" w:cs="Arial"/>
          <w:sz w:val="16"/>
          <w:szCs w:val="16"/>
        </w:rPr>
        <w:t xml:space="preserve">CONGRESO DE LA REPÚBLICA. Exposición de motivos de la Ley 1150 de 2007. Gaceta del Congreso No. 458 del 1º de agosto de 2005. p. 8. </w:t>
      </w:r>
    </w:p>
  </w:footnote>
  <w:footnote w:id="11">
    <w:p w14:paraId="35F8662F"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sz w:val="16"/>
          <w:szCs w:val="16"/>
        </w:rPr>
        <w:footnoteRef/>
      </w:r>
      <w:r w:rsidRPr="00856F20">
        <w:rPr>
          <w:rFonts w:ascii="Verdana" w:hAnsi="Verdana"/>
          <w:sz w:val="16"/>
          <w:szCs w:val="16"/>
        </w:rPr>
        <w:t xml:space="preserve"> </w:t>
      </w:r>
      <w:r w:rsidRPr="00856F20">
        <w:rPr>
          <w:rFonts w:ascii="Verdana" w:hAnsi="Verdana" w:cs="Arial"/>
          <w:sz w:val="16"/>
          <w:szCs w:val="16"/>
        </w:rPr>
        <w:t xml:space="preserve">CONSEJO DE ESTADO. Sección Tercera. Subsección A. Sentencia del 23 de julio de 2015. Exp. 36.805. C. P. Hernán Andrade Rincón. </w:t>
      </w:r>
    </w:p>
  </w:footnote>
  <w:footnote w:id="12">
    <w:p w14:paraId="1574E521" w14:textId="77777777" w:rsidR="0092434F" w:rsidRPr="00856F20" w:rsidRDefault="0092434F" w:rsidP="0092434F">
      <w:pPr>
        <w:pStyle w:val="FootnoteText"/>
        <w:ind w:firstLine="708"/>
        <w:jc w:val="both"/>
        <w:rPr>
          <w:rFonts w:ascii="Verdana" w:hAnsi="Verdana"/>
          <w:sz w:val="16"/>
          <w:szCs w:val="16"/>
          <w:lang w:val="es-CO"/>
        </w:rPr>
      </w:pPr>
      <w:r w:rsidRPr="00856F20">
        <w:rPr>
          <w:rStyle w:val="FootnoteReference"/>
          <w:rFonts w:ascii="Verdana" w:hAnsi="Verdana"/>
          <w:sz w:val="16"/>
          <w:szCs w:val="16"/>
        </w:rPr>
        <w:footnoteRef/>
      </w:r>
      <w:r w:rsidRPr="00856F20">
        <w:rPr>
          <w:rFonts w:ascii="Verdana" w:hAnsi="Verdana"/>
          <w:sz w:val="16"/>
          <w:szCs w:val="16"/>
        </w:rPr>
        <w:t xml:space="preserve"> Sobre el alcance de las normas equivalentes en el Código Civil chileno, CLARO SOLAR explica lo siguiente: “Las palabras de que el legislador se sirve pueden tener dos significaciones: el sentido vulgar y el sentido técnico. Según el artículo 20, ‘</w:t>
      </w:r>
      <w:r w:rsidRPr="00856F20">
        <w:rPr>
          <w:rFonts w:ascii="Verdana" w:hAnsi="Verdana"/>
          <w:i/>
          <w:iCs/>
          <w:sz w:val="16"/>
          <w:szCs w:val="16"/>
        </w:rPr>
        <w:t>las palabras de la ley se entenderán en su sentido natural y obvio, según el uso general de las mismas palabras</w:t>
      </w:r>
      <w:r w:rsidRPr="00856F20">
        <w:rPr>
          <w:rFonts w:ascii="Verdana" w:hAnsi="Verdana"/>
          <w:sz w:val="16"/>
          <w:szCs w:val="16"/>
        </w:rPr>
        <w:t>’, es decir, el uso de la gente educada. El Diccionario de la Lengua publicado por la Real Academia Española goza a este respecto de gran autoridad. ‘</w:t>
      </w:r>
      <w:r w:rsidRPr="00856F20">
        <w:rPr>
          <w:rFonts w:ascii="Verdana" w:hAnsi="Verdana"/>
          <w:i/>
          <w:iCs/>
          <w:sz w:val="16"/>
          <w:szCs w:val="16"/>
        </w:rPr>
        <w:t>Pero cuando el legislador</w:t>
      </w:r>
      <w:r w:rsidRPr="00856F20">
        <w:rPr>
          <w:rFonts w:ascii="Verdana" w:hAnsi="Verdana"/>
          <w:sz w:val="16"/>
          <w:szCs w:val="16"/>
        </w:rPr>
        <w:t xml:space="preserve">, agrega el artículo 20, </w:t>
      </w:r>
      <w:r w:rsidRPr="00856F20">
        <w:rPr>
          <w:rFonts w:ascii="Verdana" w:hAnsi="Verdana"/>
          <w:i/>
          <w:iCs/>
          <w:sz w:val="16"/>
          <w:szCs w:val="16"/>
        </w:rPr>
        <w:t>las haya definido expresamente para ciertas materias se les dará en éstas su significado legal</w:t>
      </w:r>
      <w:r w:rsidRPr="00856F20">
        <w:rPr>
          <w:rFonts w:ascii="Verdana" w:hAnsi="Verdana"/>
          <w:sz w:val="16"/>
          <w:szCs w:val="16"/>
        </w:rPr>
        <w:t>’. Por la inversa, según el artículo 21, ‘las palabras técnicas de toda ciencia o arte se tomarán en el sentido que les den los que profesan la misma ciencia o arte; a menos que aparezca claramente que se han tomado en sentido diverso’. Es de suponer que el legislador conozca bastante el idioma en que legisla y sea suficientemente instruido en la ciencia o arte para dar a las palabras de la lengua y a las palabras especiales de la ciencia o arte a que se refiere, el significado que les es propio; en el caso contrario, es necesario que ello aparezca de manifiesto y con toda claridad” (CLARO SOLAR, Luis. Explicaciones de derecho civil chileno y comparado. Volumen I. Tomo I. Santiago: Editorial Jurídica de Chile, 2013. p. 117. Énfasis dentro del texto).</w:t>
      </w:r>
    </w:p>
  </w:footnote>
  <w:footnote w:id="13">
    <w:p w14:paraId="4086E47A" w14:textId="77777777" w:rsidR="0092434F" w:rsidRPr="00856F20" w:rsidRDefault="0092434F" w:rsidP="0092434F">
      <w:pPr>
        <w:pStyle w:val="FootnoteText"/>
        <w:ind w:firstLine="708"/>
        <w:jc w:val="both"/>
        <w:rPr>
          <w:rFonts w:ascii="Verdana" w:hAnsi="Verdana"/>
          <w:sz w:val="16"/>
          <w:szCs w:val="16"/>
        </w:rPr>
      </w:pPr>
      <w:r w:rsidRPr="00856F20">
        <w:rPr>
          <w:rStyle w:val="FootnoteReference"/>
          <w:rFonts w:ascii="Verdana" w:hAnsi="Verdana"/>
          <w:sz w:val="16"/>
          <w:szCs w:val="16"/>
        </w:rPr>
        <w:footnoteRef/>
      </w:r>
      <w:r w:rsidRPr="00856F20">
        <w:rPr>
          <w:rFonts w:ascii="Verdana" w:hAnsi="Verdana"/>
          <w:sz w:val="16"/>
          <w:szCs w:val="16"/>
        </w:rPr>
        <w:t xml:space="preserve"> SUÁREZ BELTRÁN, Gonzalo. Estudios de derecho contractual público. Colombia: Bogotá, 2014. p. 72.</w:t>
      </w:r>
    </w:p>
  </w:footnote>
  <w:footnote w:id="14">
    <w:p w14:paraId="11F7ECB9" w14:textId="77777777" w:rsidR="0092434F" w:rsidRPr="00856F20" w:rsidRDefault="0092434F" w:rsidP="0092434F">
      <w:pPr>
        <w:pStyle w:val="FootnoteText"/>
        <w:ind w:firstLine="708"/>
        <w:jc w:val="both"/>
        <w:rPr>
          <w:rFonts w:ascii="Verdana" w:hAnsi="Verdana"/>
          <w:sz w:val="16"/>
          <w:szCs w:val="16"/>
          <w:lang w:val="es-CO"/>
        </w:rPr>
      </w:pPr>
      <w:r w:rsidRPr="00856F20">
        <w:rPr>
          <w:rStyle w:val="FootnoteReference"/>
          <w:rFonts w:ascii="Verdana" w:hAnsi="Verdana"/>
          <w:sz w:val="16"/>
          <w:szCs w:val="16"/>
        </w:rPr>
        <w:footnoteRef/>
      </w:r>
      <w:r w:rsidRPr="00856F20">
        <w:rPr>
          <w:rFonts w:ascii="Verdana" w:hAnsi="Verdana"/>
          <w:sz w:val="16"/>
          <w:szCs w:val="16"/>
        </w:rPr>
        <w:t xml:space="preserve"> </w:t>
      </w:r>
      <w:r w:rsidRPr="00856F20">
        <w:rPr>
          <w:rFonts w:ascii="Verdana" w:hAnsi="Verdana"/>
          <w:i/>
          <w:iCs/>
          <w:sz w:val="16"/>
          <w:szCs w:val="16"/>
        </w:rPr>
        <w:t>Ibidem</w:t>
      </w:r>
      <w:r w:rsidRPr="00856F20">
        <w:rPr>
          <w:rFonts w:ascii="Verdana" w:hAnsi="Verdana"/>
          <w:sz w:val="16"/>
          <w:szCs w:val="16"/>
        </w:rPr>
        <w:t>.</w:t>
      </w:r>
    </w:p>
  </w:footnote>
  <w:footnote w:id="15">
    <w:p w14:paraId="6F4124DC"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sz w:val="16"/>
          <w:szCs w:val="16"/>
        </w:rPr>
        <w:footnoteRef/>
      </w:r>
      <w:r w:rsidRPr="00856F20">
        <w:rPr>
          <w:rFonts w:ascii="Verdana" w:hAnsi="Verdana"/>
          <w:sz w:val="16"/>
          <w:szCs w:val="16"/>
        </w:rPr>
        <w:t xml:space="preserve"> </w:t>
      </w:r>
      <w:r w:rsidRPr="00856F20">
        <w:rPr>
          <w:rFonts w:ascii="Verdana" w:hAnsi="Verdana" w:cs="Arial"/>
          <w:sz w:val="16"/>
          <w:szCs w:val="16"/>
        </w:rPr>
        <w:t xml:space="preserve">CONGRESO DE LA REPÚBLICA. Exposición de motivos de la Ley 1150 de 2007. Gaceta del Congreso No. 458 del 1º de agosto de 2005. p. 8. </w:t>
      </w:r>
    </w:p>
  </w:footnote>
  <w:footnote w:id="16">
    <w:p w14:paraId="312FF9D8" w14:textId="77777777" w:rsidR="0092434F" w:rsidRPr="00856F20" w:rsidRDefault="0092434F" w:rsidP="0092434F">
      <w:pPr>
        <w:pStyle w:val="FootnoteText"/>
        <w:ind w:firstLine="708"/>
        <w:jc w:val="both"/>
        <w:rPr>
          <w:rFonts w:ascii="Verdana" w:hAnsi="Verdana"/>
          <w:sz w:val="16"/>
          <w:szCs w:val="16"/>
          <w:lang w:val="es-CO"/>
        </w:rPr>
      </w:pPr>
      <w:r w:rsidRPr="00856F20">
        <w:rPr>
          <w:rStyle w:val="FootnoteReference"/>
          <w:rFonts w:ascii="Verdana" w:hAnsi="Verdana"/>
          <w:sz w:val="16"/>
          <w:szCs w:val="16"/>
        </w:rPr>
        <w:footnoteRef/>
      </w:r>
      <w:r w:rsidRPr="00856F20">
        <w:rPr>
          <w:rFonts w:ascii="Verdana" w:hAnsi="Verdana"/>
          <w:sz w:val="16"/>
          <w:szCs w:val="16"/>
        </w:rPr>
        <w:t xml:space="preserve"> DÁVILA VINUEZA, Luis Guillermo. Régimen jurídico de la contratación estatal. </w:t>
      </w:r>
      <w:r w:rsidRPr="00856F20">
        <w:rPr>
          <w:rFonts w:ascii="Verdana" w:hAnsi="Verdana" w:cs="Arial"/>
          <w:sz w:val="16"/>
          <w:szCs w:val="16"/>
          <w:lang w:val="es-CO"/>
        </w:rPr>
        <w:t>Tercera Edición</w:t>
      </w:r>
      <w:r w:rsidRPr="00856F20">
        <w:rPr>
          <w:rFonts w:ascii="Verdana" w:hAnsi="Verdana"/>
          <w:sz w:val="16"/>
          <w:szCs w:val="16"/>
          <w:lang w:val="es-CO"/>
        </w:rPr>
        <w:t>. Bogotá: Legis, 2016. pp. 466-467.</w:t>
      </w:r>
    </w:p>
  </w:footnote>
  <w:footnote w:id="17">
    <w:p w14:paraId="189098EE" w14:textId="77777777" w:rsidR="0092434F" w:rsidRPr="00856F20" w:rsidRDefault="0092434F" w:rsidP="0092434F">
      <w:pPr>
        <w:pStyle w:val="FootnoteText"/>
        <w:ind w:firstLine="705"/>
        <w:rPr>
          <w:rFonts w:ascii="Verdana" w:hAnsi="Verdana"/>
          <w:sz w:val="16"/>
          <w:szCs w:val="16"/>
        </w:rPr>
      </w:pPr>
      <w:r w:rsidRPr="00856F20">
        <w:rPr>
          <w:rStyle w:val="FootnoteReference"/>
          <w:rFonts w:ascii="Verdana" w:hAnsi="Verdana"/>
          <w:sz w:val="16"/>
          <w:szCs w:val="16"/>
        </w:rPr>
        <w:footnoteRef/>
      </w:r>
      <w:r w:rsidRPr="00856F20">
        <w:rPr>
          <w:rFonts w:ascii="Verdana" w:hAnsi="Verdana"/>
          <w:sz w:val="16"/>
          <w:szCs w:val="16"/>
        </w:rPr>
        <w:t xml:space="preserve"> </w:t>
      </w:r>
      <w:r w:rsidRPr="00856F20">
        <w:rPr>
          <w:rStyle w:val="normaltextrun"/>
          <w:rFonts w:ascii="Verdana" w:hAnsi="Verdana" w:cs="Arial"/>
          <w:color w:val="000000"/>
          <w:sz w:val="16"/>
          <w:szCs w:val="16"/>
          <w:shd w:val="clear" w:color="auto" w:fill="FFFFFF"/>
        </w:rPr>
        <w:t xml:space="preserve">CONSEJO DE ESTADO. Sección Tercera. Subsección C. Sentencia del 17 de junio de 2024. Rad. 69575. C.P. </w:t>
      </w:r>
      <w:r w:rsidRPr="00856F20">
        <w:rPr>
          <w:rFonts w:ascii="Verdana" w:hAnsi="Verdana" w:cs="Arial"/>
          <w:color w:val="000000"/>
          <w:sz w:val="16"/>
          <w:szCs w:val="16"/>
          <w:shd w:val="clear" w:color="auto" w:fill="FFFFFF"/>
          <w:lang w:val="es-CO"/>
        </w:rPr>
        <w:t>Martín Bermúdez Muñoz</w:t>
      </w:r>
      <w:r w:rsidRPr="00856F20">
        <w:rPr>
          <w:rStyle w:val="normaltextrun"/>
          <w:rFonts w:ascii="Verdana" w:hAnsi="Verdana" w:cs="Arial"/>
          <w:color w:val="000000"/>
          <w:sz w:val="16"/>
          <w:szCs w:val="16"/>
          <w:shd w:val="clear" w:color="auto" w:fill="FFFFFF"/>
        </w:rPr>
        <w:t xml:space="preserve">. Nota al pie No. 7. </w:t>
      </w:r>
      <w:r w:rsidRPr="00856F20">
        <w:rPr>
          <w:rStyle w:val="eop"/>
          <w:rFonts w:ascii="Verdana" w:hAnsi="Verdana" w:cs="Arial"/>
          <w:color w:val="000000"/>
          <w:sz w:val="16"/>
          <w:szCs w:val="16"/>
          <w:shd w:val="clear" w:color="auto" w:fill="FFFFFF"/>
        </w:rPr>
        <w:t> </w:t>
      </w:r>
    </w:p>
  </w:footnote>
  <w:footnote w:id="18">
    <w:p w14:paraId="7E47A48B" w14:textId="77777777" w:rsidR="0092434F" w:rsidRPr="00856F20" w:rsidRDefault="0092434F" w:rsidP="0092434F">
      <w:pPr>
        <w:pStyle w:val="FootnoteText"/>
        <w:ind w:firstLine="708"/>
        <w:jc w:val="both"/>
        <w:rPr>
          <w:rFonts w:ascii="Verdana" w:hAnsi="Verdana" w:cs="Arial"/>
          <w:color w:val="000000"/>
          <w:sz w:val="16"/>
          <w:szCs w:val="16"/>
          <w:lang w:val="en-US"/>
        </w:rPr>
      </w:pPr>
      <w:r w:rsidRPr="00856F20">
        <w:rPr>
          <w:rStyle w:val="FootnoteReference"/>
          <w:rFonts w:ascii="Verdana" w:hAnsi="Verdana" w:cs="Arial"/>
          <w:color w:val="000000"/>
          <w:sz w:val="16"/>
          <w:szCs w:val="16"/>
        </w:rPr>
        <w:footnoteRef/>
      </w:r>
      <w:r w:rsidRPr="00856F20">
        <w:rPr>
          <w:rFonts w:ascii="Verdana" w:hAnsi="Verdana" w:cs="Arial"/>
          <w:color w:val="000000"/>
          <w:sz w:val="16"/>
          <w:szCs w:val="16"/>
          <w:lang w:val="en-US"/>
        </w:rPr>
        <w:t xml:space="preserve"> EUROPEAN COMMISSION. Buying Green – A handbook on green procurement, 2016, disponible en: </w:t>
      </w:r>
      <w:hyperlink r:id="rId2" w:history="1">
        <w:r w:rsidRPr="00856F20">
          <w:rPr>
            <w:rStyle w:val="Hyperlink"/>
            <w:rFonts w:ascii="Verdana" w:hAnsi="Verdana" w:cs="Arial"/>
            <w:sz w:val="16"/>
            <w:szCs w:val="16"/>
            <w:lang w:val="en-US"/>
          </w:rPr>
          <w:t>https://ec.europa.eu/environment/gpp/pdf/Buying-Green-Handbook-3rd-Edition.pdf</w:t>
        </w:r>
      </w:hyperlink>
      <w:r w:rsidRPr="00856F20">
        <w:rPr>
          <w:rFonts w:ascii="Verdana" w:hAnsi="Verdana" w:cs="Arial"/>
          <w:color w:val="000000"/>
          <w:sz w:val="16"/>
          <w:szCs w:val="16"/>
          <w:lang w:val="en-US"/>
        </w:rPr>
        <w:t>.</w:t>
      </w:r>
    </w:p>
  </w:footnote>
  <w:footnote w:id="19">
    <w:p w14:paraId="1D8070A5" w14:textId="77777777" w:rsidR="0092434F" w:rsidRPr="00856F20" w:rsidRDefault="0092434F" w:rsidP="0092434F">
      <w:pPr>
        <w:pStyle w:val="FootnoteText"/>
        <w:ind w:firstLine="708"/>
        <w:jc w:val="both"/>
        <w:rPr>
          <w:rFonts w:ascii="Verdana" w:hAnsi="Verdana" w:cs="Arial"/>
          <w:sz w:val="16"/>
          <w:szCs w:val="16"/>
        </w:rPr>
      </w:pPr>
      <w:r w:rsidRPr="00856F20">
        <w:rPr>
          <w:rStyle w:val="FootnoteReference"/>
          <w:rFonts w:ascii="Verdana" w:hAnsi="Verdana" w:cs="Arial"/>
          <w:sz w:val="16"/>
          <w:szCs w:val="16"/>
        </w:rPr>
        <w:footnoteRef/>
      </w:r>
      <w:r w:rsidRPr="00856F20">
        <w:rPr>
          <w:rFonts w:ascii="Verdana" w:hAnsi="Verdana" w:cs="Arial"/>
          <w:sz w:val="16"/>
          <w:szCs w:val="16"/>
        </w:rPr>
        <w:t xml:space="preserve"> Cfr. </w:t>
      </w:r>
      <w:hyperlink r:id="rId3" w:history="1">
        <w:r w:rsidRPr="00856F20">
          <w:rPr>
            <w:rStyle w:val="Hyperlink"/>
            <w:rFonts w:ascii="Verdana" w:hAnsi="Verdana" w:cs="Arial"/>
            <w:sz w:val="16"/>
            <w:szCs w:val="16"/>
          </w:rPr>
          <w:t>https://colaboracion.dnp.gov.co/CDT/DNP/Soporte%20t%c3%a9cnico%20Ley%20del%20Vigilante.pdf</w:t>
        </w:r>
      </w:hyperlink>
      <w:r w:rsidRPr="00856F20">
        <w:rPr>
          <w:rFonts w:ascii="Verdana" w:hAnsi="Verdana" w:cs="Arial"/>
          <w:sz w:val="16"/>
          <w:szCs w:val="16"/>
        </w:rPr>
        <w:t>. Consultado el 5 de noviembre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CA99" w14:textId="2EBD5CAA" w:rsidR="00EB11E7" w:rsidRDefault="00EB11E7">
    <w:pPr>
      <w:pStyle w:val="Header"/>
    </w:pPr>
    <w:r>
      <w:rPr>
        <w:noProof/>
      </w:rPr>
      <w:pict w14:anchorId="086F3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83532" o:spid="_x0000_s1026" type="#_x0000_t136" style="position:absolute;margin-left:0;margin-top:0;width:551.1pt;height:71.85pt;rotation:315;z-index:-251654143;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4D03" w14:textId="13EEA93A" w:rsidR="00756841" w:rsidRDefault="00EB11E7">
    <w:pPr>
      <w:pStyle w:val="Header"/>
    </w:pPr>
    <w:r>
      <w:rPr>
        <w:noProof/>
      </w:rPr>
      <w:pict w14:anchorId="554D5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83533" o:spid="_x0000_s1027" type="#_x0000_t136" style="position:absolute;margin-left:0;margin-top:0;width:551.1pt;height:71.85pt;rotation:315;z-index:-251652095;mso-position-horizontal:center;mso-position-horizontal-relative:margin;mso-position-vertical:center;mso-position-vertical-relative:margin" o:allowincell="f" fillcolor="silver" stroked="f">
          <v:fill opacity=".5"/>
          <v:textpath style="font-family:&quot;Calibri&quot;;font-size:1pt" string="www.contratacionenlinea.co"/>
        </v:shape>
      </w:pict>
    </w:r>
    <w:r w:rsidR="009D3058">
      <w:rPr>
        <w:rFonts w:ascii="Geomanist Bold" w:hAnsi="Geomanist Bold"/>
        <w:b/>
        <w:bCs/>
        <w:noProof/>
        <w:color w:val="002060"/>
        <w:sz w:val="24"/>
        <w:szCs w:val="24"/>
      </w:rPr>
      <w:drawing>
        <wp:anchor distT="0" distB="0" distL="114300" distR="114300" simplePos="0" relativeHeight="251658241" behindDoc="1" locked="0" layoutInCell="1" allowOverlap="1" wp14:anchorId="6FC3B35F" wp14:editId="12DD542F">
          <wp:simplePos x="0" y="0"/>
          <wp:positionH relativeFrom="margin">
            <wp:align>center</wp:align>
          </wp:positionH>
          <wp:positionV relativeFrom="paragraph">
            <wp:posOffset>-345440</wp:posOffset>
          </wp:positionV>
          <wp:extent cx="1924050" cy="856004"/>
          <wp:effectExtent l="0" t="0" r="0" b="1270"/>
          <wp:wrapNone/>
          <wp:docPr id="1309089902"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89902"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856004"/>
                  </a:xfrm>
                  <a:prstGeom prst="rect">
                    <a:avLst/>
                  </a:prstGeom>
                </pic:spPr>
              </pic:pic>
            </a:graphicData>
          </a:graphic>
          <wp14:sizeRelH relativeFrom="margin">
            <wp14:pctWidth>0</wp14:pctWidth>
          </wp14:sizeRelH>
          <wp14:sizeRelV relativeFrom="margin">
            <wp14:pctHeight>0</wp14:pctHeight>
          </wp14:sizeRelV>
        </wp:anchor>
      </w:drawing>
    </w:r>
    <w:r w:rsidR="00E90F6B">
      <w:rPr>
        <w:rFonts w:ascii="Geomanist Bold" w:hAnsi="Geomanist Bold"/>
        <w:b/>
        <w:bCs/>
        <w:noProof/>
        <w:color w:val="002060"/>
        <w:sz w:val="24"/>
        <w:szCs w:val="24"/>
      </w:rPr>
      <w:drawing>
        <wp:anchor distT="0" distB="0" distL="114300" distR="114300" simplePos="0" relativeHeight="251658240" behindDoc="0" locked="0" layoutInCell="1" allowOverlap="1" wp14:anchorId="4F745D08" wp14:editId="02405FCC">
          <wp:simplePos x="0" y="0"/>
          <wp:positionH relativeFrom="margin">
            <wp:posOffset>8420100</wp:posOffset>
          </wp:positionH>
          <wp:positionV relativeFrom="margin">
            <wp:posOffset>-1377950</wp:posOffset>
          </wp:positionV>
          <wp:extent cx="665480" cy="3098800"/>
          <wp:effectExtent l="0" t="0" r="0" b="0"/>
          <wp:wrapThrough wrapText="bothSides">
            <wp:wrapPolygon edited="0">
              <wp:start x="6183" y="0"/>
              <wp:lineTo x="0" y="1416"/>
              <wp:lineTo x="5359" y="2833"/>
              <wp:lineTo x="2061" y="4249"/>
              <wp:lineTo x="412" y="4780"/>
              <wp:lineTo x="824" y="5134"/>
              <wp:lineTo x="3298" y="5666"/>
              <wp:lineTo x="4534" y="7082"/>
              <wp:lineTo x="412" y="7967"/>
              <wp:lineTo x="0" y="8233"/>
              <wp:lineTo x="5771" y="9915"/>
              <wp:lineTo x="0" y="11508"/>
              <wp:lineTo x="0" y="11685"/>
              <wp:lineTo x="4122" y="12748"/>
              <wp:lineTo x="2061" y="14164"/>
              <wp:lineTo x="0" y="14872"/>
              <wp:lineTo x="0" y="15049"/>
              <wp:lineTo x="2061" y="15580"/>
              <wp:lineTo x="4534" y="16997"/>
              <wp:lineTo x="0" y="18059"/>
              <wp:lineTo x="0" y="18413"/>
              <wp:lineTo x="10718" y="21246"/>
              <wp:lineTo x="12366" y="21511"/>
              <wp:lineTo x="14427" y="21511"/>
              <wp:lineTo x="14840" y="21511"/>
              <wp:lineTo x="17313" y="20980"/>
              <wp:lineTo x="20611" y="20007"/>
              <wp:lineTo x="20198" y="19830"/>
              <wp:lineTo x="13603" y="18413"/>
              <wp:lineTo x="21023" y="16643"/>
              <wp:lineTo x="16489" y="15580"/>
              <wp:lineTo x="17313" y="14164"/>
              <wp:lineTo x="21023" y="13279"/>
              <wp:lineTo x="18962" y="12748"/>
              <wp:lineTo x="15664" y="11331"/>
              <wp:lineTo x="21023" y="10003"/>
              <wp:lineTo x="21023" y="9826"/>
              <wp:lineTo x="18137" y="9207"/>
              <wp:lineTo x="15664" y="8498"/>
              <wp:lineTo x="19374" y="7082"/>
              <wp:lineTo x="21023" y="6639"/>
              <wp:lineTo x="21023" y="6374"/>
              <wp:lineTo x="18137" y="5666"/>
              <wp:lineTo x="16901" y="4249"/>
              <wp:lineTo x="21023" y="3275"/>
              <wp:lineTo x="21023" y="3098"/>
              <wp:lineTo x="20611" y="2833"/>
              <wp:lineTo x="8244" y="0"/>
              <wp:lineTo x="6183" y="0"/>
            </wp:wrapPolygon>
          </wp:wrapThrough>
          <wp:docPr id="962149914" name="Imagen 96214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74706" name="Imagen 1987974706"/>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5480" cy="3098800"/>
                  </a:xfrm>
                  <a:prstGeom prst="rect">
                    <a:avLst/>
                  </a:prstGeom>
                </pic:spPr>
              </pic:pic>
            </a:graphicData>
          </a:graphic>
          <wp14:sizeRelH relativeFrom="margin">
            <wp14:pctWidth>0</wp14:pctWidth>
          </wp14:sizeRelH>
          <wp14:sizeRelV relativeFrom="margin">
            <wp14:pctHeight>0</wp14:pctHeight>
          </wp14:sizeRelV>
        </wp:anchor>
      </w:drawing>
    </w:r>
  </w:p>
  <w:p w14:paraId="1BE2B9AE" w14:textId="4B94DB3B" w:rsidR="00756841" w:rsidRDefault="00756841">
    <w:pPr>
      <w:pStyle w:val="Header"/>
    </w:pPr>
  </w:p>
  <w:p w14:paraId="3079FC11" w14:textId="77777777" w:rsidR="00DC39FC" w:rsidRDefault="00DC39FC" w:rsidP="004A305D">
    <w:pPr>
      <w:spacing w:after="0"/>
      <w:rPr>
        <w:rFonts w:ascii="Verdana" w:hAnsi="Verdana"/>
        <w:b/>
        <w:bCs/>
      </w:rPr>
    </w:pPr>
  </w:p>
  <w:p w14:paraId="7FE1230C" w14:textId="77E53D9F" w:rsidR="004A305D" w:rsidRPr="00DC39FC" w:rsidRDefault="004A305D" w:rsidP="004A305D">
    <w:pPr>
      <w:spacing w:after="0"/>
      <w:rPr>
        <w:rFonts w:ascii="Verdana" w:hAnsi="Verdana"/>
        <w:b/>
        <w:bCs/>
      </w:rPr>
    </w:pPr>
    <w:r w:rsidRPr="00DC39FC">
      <w:rPr>
        <w:rFonts w:ascii="Verdana" w:hAnsi="Verdana"/>
        <w:b/>
        <w:bCs/>
      </w:rPr>
      <w:t>FORMATO PQRSD</w:t>
    </w:r>
  </w:p>
  <w:p w14:paraId="5E18350A" w14:textId="705F7B76" w:rsidR="004A305D" w:rsidRPr="004A305D" w:rsidRDefault="004A305D" w:rsidP="00B01B1A">
    <w:pPr>
      <w:spacing w:after="0" w:line="120" w:lineRule="auto"/>
      <w:rPr>
        <w:rFonts w:ascii="Century Gothic" w:eastAsia="Geo" w:hAnsi="Century Gothic" w:cs="Geo"/>
        <w:sz w:val="16"/>
        <w:szCs w:val="16"/>
        <w:lang w:eastAsia="es-CO"/>
      </w:rPr>
    </w:pPr>
  </w:p>
  <w:p w14:paraId="1FD1C243" w14:textId="6D74A3CF" w:rsidR="008A446D" w:rsidRDefault="008A446D" w:rsidP="00061B2A">
    <w:pPr>
      <w:pStyle w:val="Header"/>
      <w:spacing w:line="12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F6B5" w14:textId="6CB119CD" w:rsidR="00EB11E7" w:rsidRDefault="00EB11E7">
    <w:pPr>
      <w:pStyle w:val="Header"/>
    </w:pPr>
    <w:r>
      <w:rPr>
        <w:noProof/>
      </w:rPr>
      <w:pict w14:anchorId="11EA8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83531" o:spid="_x0000_s1025" type="#_x0000_t136" style="position:absolute;margin-left:0;margin-top:0;width:551.1pt;height:71.85pt;rotation:315;z-index:-251656191;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7.5pt;height:7.5pt" o:bullet="t">
        <v:imagedata r:id="rId1" o:title="mso1B13"/>
      </v:shape>
    </w:pict>
  </w:numPicBullet>
  <w:abstractNum w:abstractNumId="0" w15:restartNumberingAfterBreak="0">
    <w:nsid w:val="01C06310"/>
    <w:multiLevelType w:val="multilevel"/>
    <w:tmpl w:val="47FE4C7E"/>
    <w:lvl w:ilvl="0">
      <w:start w:val="1"/>
      <w:numFmt w:val="upperRoman"/>
      <w:lvlText w:val="%1."/>
      <w:lvlJc w:val="right"/>
      <w:pPr>
        <w:ind w:left="1068" w:hanging="360"/>
      </w:pPr>
      <w:rPr>
        <w:b/>
        <w:color w:val="000000" w:themeColor="text1"/>
      </w:rPr>
    </w:lvl>
    <w:lvl w:ilvl="1">
      <w:start w:val="2"/>
      <w:numFmt w:val="decimal"/>
      <w:isLgl/>
      <w:lvlText w:val="%1.%2"/>
      <w:lvlJc w:val="left"/>
      <w:pPr>
        <w:ind w:left="70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 w15:restartNumberingAfterBreak="0">
    <w:nsid w:val="0337782A"/>
    <w:multiLevelType w:val="multilevel"/>
    <w:tmpl w:val="90D2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30BDC"/>
    <w:multiLevelType w:val="hybridMultilevel"/>
    <w:tmpl w:val="734ED3EC"/>
    <w:lvl w:ilvl="0" w:tplc="834431CA">
      <w:numFmt w:val="bullet"/>
      <w:lvlText w:val="-"/>
      <w:lvlJc w:val="left"/>
      <w:pPr>
        <w:ind w:left="1080" w:hanging="360"/>
      </w:pPr>
      <w:rPr>
        <w:rFonts w:ascii="Arial" w:eastAsia="Times New Roman" w:hAnsi="Arial" w:cs="Arial"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5352E86"/>
    <w:multiLevelType w:val="multilevel"/>
    <w:tmpl w:val="E8127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80020"/>
    <w:multiLevelType w:val="hybridMultilevel"/>
    <w:tmpl w:val="DA8CAD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0B0C74"/>
    <w:multiLevelType w:val="multilevel"/>
    <w:tmpl w:val="FCE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14460"/>
    <w:multiLevelType w:val="hybridMultilevel"/>
    <w:tmpl w:val="7FC88522"/>
    <w:lvl w:ilvl="0" w:tplc="A22AAB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0F0516"/>
    <w:multiLevelType w:val="multilevel"/>
    <w:tmpl w:val="BAD28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933EA"/>
    <w:multiLevelType w:val="multilevel"/>
    <w:tmpl w:val="8BFCD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726F5"/>
    <w:multiLevelType w:val="hybridMultilevel"/>
    <w:tmpl w:val="7BDC1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36C03B0"/>
    <w:multiLevelType w:val="hybridMultilevel"/>
    <w:tmpl w:val="87183FAA"/>
    <w:lvl w:ilvl="0" w:tplc="240A0007">
      <w:start w:val="1"/>
      <w:numFmt w:val="bullet"/>
      <w:lvlText w:val=""/>
      <w:lvlPicBulletId w:val="0"/>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1" w15:restartNumberingAfterBreak="0">
    <w:nsid w:val="6BF97060"/>
    <w:multiLevelType w:val="multilevel"/>
    <w:tmpl w:val="B3E00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3C082A"/>
    <w:multiLevelType w:val="multilevel"/>
    <w:tmpl w:val="A8042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4922CE"/>
    <w:multiLevelType w:val="multilevel"/>
    <w:tmpl w:val="E5E6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B367B7"/>
    <w:multiLevelType w:val="multilevel"/>
    <w:tmpl w:val="4E0EF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779781">
    <w:abstractNumId w:val="6"/>
  </w:num>
  <w:num w:numId="2" w16cid:durableId="19822139">
    <w:abstractNumId w:val="2"/>
  </w:num>
  <w:num w:numId="3" w16cid:durableId="876742304">
    <w:abstractNumId w:val="4"/>
  </w:num>
  <w:num w:numId="4" w16cid:durableId="245186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721115">
    <w:abstractNumId w:val="2"/>
  </w:num>
  <w:num w:numId="6" w16cid:durableId="316692925">
    <w:abstractNumId w:val="13"/>
  </w:num>
  <w:num w:numId="7" w16cid:durableId="1946422806">
    <w:abstractNumId w:val="5"/>
  </w:num>
  <w:num w:numId="8" w16cid:durableId="152644682">
    <w:abstractNumId w:val="12"/>
  </w:num>
  <w:num w:numId="9" w16cid:durableId="1317221377">
    <w:abstractNumId w:val="7"/>
  </w:num>
  <w:num w:numId="10" w16cid:durableId="1471245386">
    <w:abstractNumId w:val="11"/>
  </w:num>
  <w:num w:numId="11" w16cid:durableId="289172385">
    <w:abstractNumId w:val="8"/>
  </w:num>
  <w:num w:numId="12" w16cid:durableId="1470781324">
    <w:abstractNumId w:val="1"/>
  </w:num>
  <w:num w:numId="13" w16cid:durableId="1512908409">
    <w:abstractNumId w:val="3"/>
  </w:num>
  <w:num w:numId="14" w16cid:durableId="895897244">
    <w:abstractNumId w:val="14"/>
  </w:num>
  <w:num w:numId="15" w16cid:durableId="390349800">
    <w:abstractNumId w:val="10"/>
  </w:num>
  <w:num w:numId="16" w16cid:durableId="1330140246">
    <w:abstractNumId w:val="0"/>
  </w:num>
  <w:num w:numId="17" w16cid:durableId="679089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47"/>
    <w:rsid w:val="00016F78"/>
    <w:rsid w:val="00046945"/>
    <w:rsid w:val="00061B2A"/>
    <w:rsid w:val="00082362"/>
    <w:rsid w:val="000A683E"/>
    <w:rsid w:val="000B19B9"/>
    <w:rsid w:val="000D0334"/>
    <w:rsid w:val="000E32CE"/>
    <w:rsid w:val="000F4158"/>
    <w:rsid w:val="000F6486"/>
    <w:rsid w:val="00125105"/>
    <w:rsid w:val="00127233"/>
    <w:rsid w:val="00147F8D"/>
    <w:rsid w:val="001511A0"/>
    <w:rsid w:val="001916FA"/>
    <w:rsid w:val="001E4177"/>
    <w:rsid w:val="001F7DC6"/>
    <w:rsid w:val="0020273C"/>
    <w:rsid w:val="00215CA4"/>
    <w:rsid w:val="002421BB"/>
    <w:rsid w:val="00243DE1"/>
    <w:rsid w:val="00245AD2"/>
    <w:rsid w:val="002529E5"/>
    <w:rsid w:val="00254CAB"/>
    <w:rsid w:val="0025796E"/>
    <w:rsid w:val="002707A2"/>
    <w:rsid w:val="002951A0"/>
    <w:rsid w:val="002962BC"/>
    <w:rsid w:val="002A093D"/>
    <w:rsid w:val="002A0DD0"/>
    <w:rsid w:val="002A49AC"/>
    <w:rsid w:val="002A64FD"/>
    <w:rsid w:val="002C7A84"/>
    <w:rsid w:val="002E4683"/>
    <w:rsid w:val="002E4E68"/>
    <w:rsid w:val="002E4FD9"/>
    <w:rsid w:val="00322A85"/>
    <w:rsid w:val="00324168"/>
    <w:rsid w:val="003448F4"/>
    <w:rsid w:val="0034676B"/>
    <w:rsid w:val="00374F5E"/>
    <w:rsid w:val="00377E3E"/>
    <w:rsid w:val="003A779E"/>
    <w:rsid w:val="003D0F4D"/>
    <w:rsid w:val="003D5B0D"/>
    <w:rsid w:val="003E0499"/>
    <w:rsid w:val="003F3941"/>
    <w:rsid w:val="00406575"/>
    <w:rsid w:val="00414C74"/>
    <w:rsid w:val="0042722E"/>
    <w:rsid w:val="0044528D"/>
    <w:rsid w:val="004A1847"/>
    <w:rsid w:val="004A305D"/>
    <w:rsid w:val="004D0112"/>
    <w:rsid w:val="004F21C4"/>
    <w:rsid w:val="004F685F"/>
    <w:rsid w:val="00510DD9"/>
    <w:rsid w:val="005261A6"/>
    <w:rsid w:val="00553BEC"/>
    <w:rsid w:val="005566E8"/>
    <w:rsid w:val="00574867"/>
    <w:rsid w:val="00591460"/>
    <w:rsid w:val="005A3914"/>
    <w:rsid w:val="005B3816"/>
    <w:rsid w:val="005C3777"/>
    <w:rsid w:val="005C5CDC"/>
    <w:rsid w:val="005D476C"/>
    <w:rsid w:val="005D6F03"/>
    <w:rsid w:val="006219F8"/>
    <w:rsid w:val="006319F7"/>
    <w:rsid w:val="006475DB"/>
    <w:rsid w:val="00651AB9"/>
    <w:rsid w:val="00665D70"/>
    <w:rsid w:val="006900D9"/>
    <w:rsid w:val="006D68FF"/>
    <w:rsid w:val="00704845"/>
    <w:rsid w:val="00706C16"/>
    <w:rsid w:val="00724A38"/>
    <w:rsid w:val="00743827"/>
    <w:rsid w:val="00756841"/>
    <w:rsid w:val="007649AB"/>
    <w:rsid w:val="00771D0C"/>
    <w:rsid w:val="007755F2"/>
    <w:rsid w:val="007833AC"/>
    <w:rsid w:val="00785CEE"/>
    <w:rsid w:val="007B268C"/>
    <w:rsid w:val="007B5DD2"/>
    <w:rsid w:val="007B7171"/>
    <w:rsid w:val="007C0C0F"/>
    <w:rsid w:val="007C3DC2"/>
    <w:rsid w:val="007C5591"/>
    <w:rsid w:val="007E5497"/>
    <w:rsid w:val="00804113"/>
    <w:rsid w:val="00806B0E"/>
    <w:rsid w:val="00806F5F"/>
    <w:rsid w:val="00820278"/>
    <w:rsid w:val="008676DE"/>
    <w:rsid w:val="00867F95"/>
    <w:rsid w:val="008827D4"/>
    <w:rsid w:val="008843B6"/>
    <w:rsid w:val="00891928"/>
    <w:rsid w:val="008A446D"/>
    <w:rsid w:val="008C2364"/>
    <w:rsid w:val="008C603B"/>
    <w:rsid w:val="008D180B"/>
    <w:rsid w:val="008D6771"/>
    <w:rsid w:val="008F0EA7"/>
    <w:rsid w:val="00923EEF"/>
    <w:rsid w:val="0092434F"/>
    <w:rsid w:val="00927082"/>
    <w:rsid w:val="009419F9"/>
    <w:rsid w:val="00954D0E"/>
    <w:rsid w:val="0095685E"/>
    <w:rsid w:val="00961B09"/>
    <w:rsid w:val="00965334"/>
    <w:rsid w:val="0097093E"/>
    <w:rsid w:val="00986AC5"/>
    <w:rsid w:val="009A0AAD"/>
    <w:rsid w:val="009A0DFA"/>
    <w:rsid w:val="009B2D26"/>
    <w:rsid w:val="009C71FA"/>
    <w:rsid w:val="009C72E7"/>
    <w:rsid w:val="009D3058"/>
    <w:rsid w:val="009F3A13"/>
    <w:rsid w:val="00A122D3"/>
    <w:rsid w:val="00A17F13"/>
    <w:rsid w:val="00A20739"/>
    <w:rsid w:val="00A220A4"/>
    <w:rsid w:val="00A22846"/>
    <w:rsid w:val="00A33C78"/>
    <w:rsid w:val="00A555BD"/>
    <w:rsid w:val="00A60AF4"/>
    <w:rsid w:val="00A821F9"/>
    <w:rsid w:val="00AB0ADB"/>
    <w:rsid w:val="00AC01F0"/>
    <w:rsid w:val="00B01B1A"/>
    <w:rsid w:val="00B1040C"/>
    <w:rsid w:val="00B32FF3"/>
    <w:rsid w:val="00B66319"/>
    <w:rsid w:val="00B72CD3"/>
    <w:rsid w:val="00B72FFF"/>
    <w:rsid w:val="00B851AE"/>
    <w:rsid w:val="00BC3D36"/>
    <w:rsid w:val="00BD763A"/>
    <w:rsid w:val="00BD7F72"/>
    <w:rsid w:val="00BE0A63"/>
    <w:rsid w:val="00BF0FBB"/>
    <w:rsid w:val="00C04FB3"/>
    <w:rsid w:val="00C330EB"/>
    <w:rsid w:val="00C34BC3"/>
    <w:rsid w:val="00C41061"/>
    <w:rsid w:val="00C467A3"/>
    <w:rsid w:val="00C615EC"/>
    <w:rsid w:val="00C754BE"/>
    <w:rsid w:val="00C76B1C"/>
    <w:rsid w:val="00C87097"/>
    <w:rsid w:val="00CB6357"/>
    <w:rsid w:val="00CB6F8F"/>
    <w:rsid w:val="00CC1B26"/>
    <w:rsid w:val="00CE6D4A"/>
    <w:rsid w:val="00D36E66"/>
    <w:rsid w:val="00D423A2"/>
    <w:rsid w:val="00D520D8"/>
    <w:rsid w:val="00D63AC2"/>
    <w:rsid w:val="00D7383B"/>
    <w:rsid w:val="00D82702"/>
    <w:rsid w:val="00DA231B"/>
    <w:rsid w:val="00DC39FC"/>
    <w:rsid w:val="00DF5254"/>
    <w:rsid w:val="00E16408"/>
    <w:rsid w:val="00E20894"/>
    <w:rsid w:val="00E245AB"/>
    <w:rsid w:val="00E2764C"/>
    <w:rsid w:val="00E27F2E"/>
    <w:rsid w:val="00E342F6"/>
    <w:rsid w:val="00E50AFE"/>
    <w:rsid w:val="00E75C92"/>
    <w:rsid w:val="00E771DC"/>
    <w:rsid w:val="00E8772A"/>
    <w:rsid w:val="00E90F6B"/>
    <w:rsid w:val="00E92C27"/>
    <w:rsid w:val="00EA0E3D"/>
    <w:rsid w:val="00EB11E7"/>
    <w:rsid w:val="00EB7B2D"/>
    <w:rsid w:val="00EC38A7"/>
    <w:rsid w:val="00ED121F"/>
    <w:rsid w:val="00ED7384"/>
    <w:rsid w:val="00EE1AA8"/>
    <w:rsid w:val="00EE6FD3"/>
    <w:rsid w:val="00F26B91"/>
    <w:rsid w:val="00F31EDC"/>
    <w:rsid w:val="00F462B3"/>
    <w:rsid w:val="00F5664F"/>
    <w:rsid w:val="00F62C03"/>
    <w:rsid w:val="00F666C4"/>
    <w:rsid w:val="00F76AFC"/>
    <w:rsid w:val="00F920EC"/>
    <w:rsid w:val="00FA47C0"/>
    <w:rsid w:val="00FB5DD1"/>
    <w:rsid w:val="00FC2B5D"/>
    <w:rsid w:val="00FF1449"/>
    <w:rsid w:val="165E9519"/>
    <w:rsid w:val="186C6763"/>
    <w:rsid w:val="382536D9"/>
    <w:rsid w:val="3FF88B49"/>
    <w:rsid w:val="6E76510E"/>
    <w:rsid w:val="6EFDAB80"/>
    <w:rsid w:val="7B6AA7A6"/>
    <w:rsid w:val="7C1839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07BD"/>
  <w15:chartTrackingRefBased/>
  <w15:docId w15:val="{AA18BD11-F4B5-4A67-BA3F-63EFCCB4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84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A1847"/>
  </w:style>
  <w:style w:type="paragraph" w:styleId="Footer">
    <w:name w:val="footer"/>
    <w:basedOn w:val="Normal"/>
    <w:link w:val="FooterChar"/>
    <w:uiPriority w:val="99"/>
    <w:unhideWhenUsed/>
    <w:rsid w:val="004A184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A1847"/>
  </w:style>
  <w:style w:type="paragraph" w:customStyle="1" w:styleId="Default">
    <w:name w:val="Default"/>
    <w:rsid w:val="006219F8"/>
    <w:pPr>
      <w:autoSpaceDE w:val="0"/>
      <w:autoSpaceDN w:val="0"/>
      <w:adjustRightInd w:val="0"/>
      <w:spacing w:after="0" w:line="240" w:lineRule="auto"/>
    </w:pPr>
    <w:rPr>
      <w:rFonts w:ascii="Arial" w:hAnsi="Arial" w:cs="Arial"/>
      <w:color w:val="000000"/>
      <w:sz w:val="24"/>
      <w:szCs w:val="24"/>
    </w:rPr>
  </w:style>
  <w:style w:type="character" w:customStyle="1" w:styleId="FootnoteTextChar">
    <w:name w:val="Footnote Text Char"/>
    <w:aliases w:val="Ref. de nota al pie1 Char,Texto de nota al pie Char,referencia nota al pie Char,Appel note de bas de page Char,Footnotes refss Char,Footnote number Char,BVI fnr Char,Footnote Text Char Char Char Char Char Char,Footnote reference Char"/>
    <w:basedOn w:val="DefaultParagraphFont"/>
    <w:link w:val="FootnoteText"/>
    <w:uiPriority w:val="99"/>
    <w:qFormat/>
    <w:locked/>
    <w:rsid w:val="006219F8"/>
    <w:rPr>
      <w:sz w:val="20"/>
      <w:szCs w:val="20"/>
      <w:lang w:val="es-MX"/>
    </w:rPr>
  </w:style>
  <w:style w:type="paragraph" w:styleId="FootnoteText">
    <w:name w:val="footnote text"/>
    <w:aliases w:val="Ref. de nota al pie1,Texto de nota al pie,referencia nota al pie,Appel note de bas de page,Footnotes refss,Footnote number,BVI fnr,Footnote Text Char Char Char Char Char,Footnote Text Char Char Char Char,Footnote reference,FA Fu,ft,fn,Car"/>
    <w:basedOn w:val="Normal"/>
    <w:link w:val="FootnoteTextChar"/>
    <w:uiPriority w:val="99"/>
    <w:unhideWhenUsed/>
    <w:qFormat/>
    <w:rsid w:val="006219F8"/>
    <w:pPr>
      <w:spacing w:after="0" w:line="240" w:lineRule="auto"/>
    </w:pPr>
    <w:rPr>
      <w:sz w:val="20"/>
      <w:szCs w:val="20"/>
      <w:lang w:val="es-MX"/>
    </w:rPr>
  </w:style>
  <w:style w:type="character" w:customStyle="1" w:styleId="TextonotapieCar1">
    <w:name w:val="Texto nota pie Car1"/>
    <w:basedOn w:val="DefaultParagraphFont"/>
    <w:uiPriority w:val="99"/>
    <w:semiHidden/>
    <w:rsid w:val="006219F8"/>
    <w:rPr>
      <w:sz w:val="20"/>
      <w:szCs w:val="20"/>
    </w:rPr>
  </w:style>
  <w:style w:type="character" w:styleId="FootnoteReference">
    <w:name w:val="footnote reference"/>
    <w:aliases w:val="Ref. de nota al pie 2,Ref,de nota al pie,FC,Appel note de bas de p,f,4_G,16 Point,Superscript 6 Point,Texto nota al pie,Pie de Página,Texto de nota al pi,Nota de pie,Texto de nota al p,Footnote Reference Char3,Texto nota pie Car2,F,R"/>
    <w:basedOn w:val="DefaultParagraphFont"/>
    <w:link w:val="Appelnotedebasde"/>
    <w:uiPriority w:val="99"/>
    <w:unhideWhenUsed/>
    <w:qFormat/>
    <w:rsid w:val="006219F8"/>
    <w:rPr>
      <w:vertAlign w:val="superscript"/>
    </w:rPr>
  </w:style>
  <w:style w:type="character" w:customStyle="1" w:styleId="normaltextrun">
    <w:name w:val="normaltextrun"/>
    <w:basedOn w:val="DefaultParagraphFont"/>
    <w:rsid w:val="006219F8"/>
  </w:style>
  <w:style w:type="table" w:styleId="TableGrid">
    <w:name w:val="Table Grid"/>
    <w:basedOn w:val="TableNormal"/>
    <w:uiPriority w:val="39"/>
    <w:qFormat/>
    <w:rsid w:val="0062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tografía,Párrafo de lista1,Bullet List,FooterText,numbered,Paragraphe de liste1,lp1,Scitum normal,HOJA,Bolita,Párrafo de lista4,BOLADEF,Párrafo de lista3,Párrafo de lista21,BOLA,Nivel 1 OS,Colorful List Accent 1"/>
    <w:basedOn w:val="Normal"/>
    <w:link w:val="ListParagraphChar"/>
    <w:uiPriority w:val="34"/>
    <w:qFormat/>
    <w:rsid w:val="005566E8"/>
    <w:pPr>
      <w:ind w:left="720"/>
      <w:contextualSpacing/>
    </w:pPr>
    <w:rPr>
      <w:rFonts w:ascii="Geomanist Light" w:hAnsi="Geomanist Light"/>
      <w:lang w:val="es-ES"/>
    </w:rPr>
  </w:style>
  <w:style w:type="paragraph" w:styleId="Title">
    <w:name w:val="Title"/>
    <w:basedOn w:val="Normal"/>
    <w:next w:val="Normal"/>
    <w:link w:val="TitleChar"/>
    <w:uiPriority w:val="10"/>
    <w:qFormat/>
    <w:rsid w:val="005566E8"/>
    <w:pPr>
      <w:spacing w:after="0" w:line="240" w:lineRule="auto"/>
      <w:contextualSpacing/>
    </w:pPr>
    <w:rPr>
      <w:rFonts w:ascii="Geomanist" w:eastAsiaTheme="majorEastAsia" w:hAnsi="Geomanist" w:cstheme="majorBidi"/>
      <w:spacing w:val="-10"/>
      <w:kern w:val="28"/>
      <w:szCs w:val="56"/>
      <w:lang w:val="es-ES"/>
    </w:rPr>
  </w:style>
  <w:style w:type="character" w:customStyle="1" w:styleId="TitleChar">
    <w:name w:val="Title Char"/>
    <w:basedOn w:val="DefaultParagraphFont"/>
    <w:link w:val="Title"/>
    <w:uiPriority w:val="10"/>
    <w:rsid w:val="005566E8"/>
    <w:rPr>
      <w:rFonts w:ascii="Geomanist" w:eastAsiaTheme="majorEastAsia" w:hAnsi="Geomanist" w:cstheme="majorBidi"/>
      <w:spacing w:val="-10"/>
      <w:kern w:val="28"/>
      <w:szCs w:val="56"/>
      <w:lang w:val="es-ES"/>
    </w:rPr>
  </w:style>
  <w:style w:type="character" w:customStyle="1" w:styleId="ui-provider">
    <w:name w:val="ui-provider"/>
    <w:basedOn w:val="DefaultParagraphFont"/>
    <w:rsid w:val="00DA231B"/>
  </w:style>
  <w:style w:type="character" w:styleId="Hyperlink">
    <w:name w:val="Hyperlink"/>
    <w:basedOn w:val="DefaultParagraphFont"/>
    <w:uiPriority w:val="99"/>
    <w:unhideWhenUsed/>
    <w:rsid w:val="00125105"/>
    <w:rPr>
      <w:color w:val="0000FF"/>
      <w:u w:val="single"/>
    </w:rPr>
  </w:style>
  <w:style w:type="character" w:styleId="FollowedHyperlink">
    <w:name w:val="FollowedHyperlink"/>
    <w:basedOn w:val="DefaultParagraphFont"/>
    <w:uiPriority w:val="99"/>
    <w:semiHidden/>
    <w:unhideWhenUsed/>
    <w:rsid w:val="00125105"/>
    <w:rPr>
      <w:color w:val="954F72" w:themeColor="followedHyperlink"/>
      <w:u w:val="single"/>
    </w:rPr>
  </w:style>
  <w:style w:type="paragraph" w:customStyle="1" w:styleId="paragraph">
    <w:name w:val="paragraph"/>
    <w:basedOn w:val="Normal"/>
    <w:rsid w:val="00322A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abchar">
    <w:name w:val="tabchar"/>
    <w:basedOn w:val="DefaultParagraphFont"/>
    <w:rsid w:val="00322A85"/>
  </w:style>
  <w:style w:type="character" w:customStyle="1" w:styleId="eop">
    <w:name w:val="eop"/>
    <w:basedOn w:val="DefaultParagraphFont"/>
    <w:rsid w:val="00322A85"/>
  </w:style>
  <w:style w:type="character" w:styleId="UnresolvedMention">
    <w:name w:val="Unresolved Mention"/>
    <w:basedOn w:val="DefaultParagraphFont"/>
    <w:uiPriority w:val="99"/>
    <w:semiHidden/>
    <w:unhideWhenUsed/>
    <w:rsid w:val="001F7DC6"/>
    <w:rPr>
      <w:color w:val="605E5C"/>
      <w:shd w:val="clear" w:color="auto" w:fill="E1DFDD"/>
    </w:rPr>
  </w:style>
  <w:style w:type="paragraph" w:styleId="NormalWeb">
    <w:name w:val="Normal (Web)"/>
    <w:basedOn w:val="Normal"/>
    <w:uiPriority w:val="99"/>
    <w:semiHidden/>
    <w:unhideWhenUsed/>
    <w:rsid w:val="00DF525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lanco">
    <w:name w:val="blanco"/>
    <w:basedOn w:val="Normal"/>
    <w:rsid w:val="00C76B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on">
    <w:name w:val="Revision"/>
    <w:hidden/>
    <w:uiPriority w:val="99"/>
    <w:semiHidden/>
    <w:rsid w:val="009F3A13"/>
    <w:pPr>
      <w:spacing w:after="0" w:line="240" w:lineRule="auto"/>
    </w:pPr>
  </w:style>
  <w:style w:type="paragraph" w:customStyle="1" w:styleId="Appelnotedebasde">
    <w:name w:val="Appel note de bas de..."/>
    <w:basedOn w:val="Normal"/>
    <w:link w:val="FootnoteReference"/>
    <w:uiPriority w:val="99"/>
    <w:rsid w:val="0092434F"/>
    <w:pPr>
      <w:spacing w:line="240" w:lineRule="exact"/>
    </w:pPr>
    <w:rPr>
      <w:vertAlign w:val="superscript"/>
    </w:rPr>
  </w:style>
  <w:style w:type="character" w:customStyle="1" w:styleId="ListParagraphChar">
    <w:name w:val="List Paragraph Char"/>
    <w:aliases w:val="Fotografía Char,Párrafo de lista1 Char,Bullet List Char,FooterText Char,numbered Char,Paragraphe de liste1 Char,lp1 Char,Scitum normal Char,HOJA Char,Bolita Char,Párrafo de lista4 Char,BOLADEF Char,Párrafo de lista3 Char,BOLA Char"/>
    <w:link w:val="ListParagraph"/>
    <w:uiPriority w:val="34"/>
    <w:qFormat/>
    <w:locked/>
    <w:rsid w:val="0092434F"/>
    <w:rPr>
      <w:rFonts w:ascii="Geomanist Light" w:hAnsi="Geomanist Light"/>
      <w:lang w:val="es-ES"/>
    </w:rPr>
  </w:style>
  <w:style w:type="paragraph" w:styleId="BodyText">
    <w:name w:val="Body Text"/>
    <w:basedOn w:val="Normal"/>
    <w:link w:val="BodyTextChar"/>
    <w:uiPriority w:val="99"/>
    <w:unhideWhenUsed/>
    <w:rsid w:val="0092434F"/>
    <w:pPr>
      <w:spacing w:after="120" w:line="276" w:lineRule="auto"/>
    </w:pPr>
    <w:rPr>
      <w:rFonts w:eastAsiaTheme="minorEastAsia"/>
      <w:lang w:eastAsia="es-CO"/>
    </w:rPr>
  </w:style>
  <w:style w:type="character" w:customStyle="1" w:styleId="BodyTextChar">
    <w:name w:val="Body Text Char"/>
    <w:basedOn w:val="DefaultParagraphFont"/>
    <w:link w:val="BodyText"/>
    <w:uiPriority w:val="99"/>
    <w:rsid w:val="0092434F"/>
    <w:rPr>
      <w:rFonts w:eastAsiaTheme="minorEastAsia"/>
      <w:lang w:eastAsia="es-CO"/>
    </w:rPr>
  </w:style>
  <w:style w:type="character" w:customStyle="1" w:styleId="s15">
    <w:name w:val="s15"/>
    <w:basedOn w:val="DefaultParagraphFont"/>
    <w:rsid w:val="0092434F"/>
  </w:style>
  <w:style w:type="character" w:customStyle="1" w:styleId="apple-converted-space">
    <w:name w:val="apple-converted-space"/>
    <w:basedOn w:val="DefaultParagraphFont"/>
    <w:rsid w:val="0092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7828">
      <w:bodyDiv w:val="1"/>
      <w:marLeft w:val="0"/>
      <w:marRight w:val="0"/>
      <w:marTop w:val="0"/>
      <w:marBottom w:val="0"/>
      <w:divBdr>
        <w:top w:val="none" w:sz="0" w:space="0" w:color="auto"/>
        <w:left w:val="none" w:sz="0" w:space="0" w:color="auto"/>
        <w:bottom w:val="none" w:sz="0" w:space="0" w:color="auto"/>
        <w:right w:val="none" w:sz="0" w:space="0" w:color="auto"/>
      </w:divBdr>
    </w:div>
    <w:div w:id="755788902">
      <w:bodyDiv w:val="1"/>
      <w:marLeft w:val="0"/>
      <w:marRight w:val="0"/>
      <w:marTop w:val="0"/>
      <w:marBottom w:val="0"/>
      <w:divBdr>
        <w:top w:val="none" w:sz="0" w:space="0" w:color="auto"/>
        <w:left w:val="none" w:sz="0" w:space="0" w:color="auto"/>
        <w:bottom w:val="none" w:sz="0" w:space="0" w:color="auto"/>
        <w:right w:val="none" w:sz="0" w:space="0" w:color="auto"/>
      </w:divBdr>
    </w:div>
    <w:div w:id="1132796275">
      <w:bodyDiv w:val="1"/>
      <w:marLeft w:val="0"/>
      <w:marRight w:val="0"/>
      <w:marTop w:val="0"/>
      <w:marBottom w:val="0"/>
      <w:divBdr>
        <w:top w:val="none" w:sz="0" w:space="0" w:color="auto"/>
        <w:left w:val="none" w:sz="0" w:space="0" w:color="auto"/>
        <w:bottom w:val="none" w:sz="0" w:space="0" w:color="auto"/>
        <w:right w:val="none" w:sz="0" w:space="0" w:color="auto"/>
      </w:divBdr>
    </w:div>
    <w:div w:id="1270429918">
      <w:bodyDiv w:val="1"/>
      <w:marLeft w:val="0"/>
      <w:marRight w:val="0"/>
      <w:marTop w:val="0"/>
      <w:marBottom w:val="0"/>
      <w:divBdr>
        <w:top w:val="none" w:sz="0" w:space="0" w:color="auto"/>
        <w:left w:val="none" w:sz="0" w:space="0" w:color="auto"/>
        <w:bottom w:val="none" w:sz="0" w:space="0" w:color="auto"/>
        <w:right w:val="none" w:sz="0" w:space="0" w:color="auto"/>
      </w:divBdr>
    </w:div>
    <w:div w:id="1291863859">
      <w:bodyDiv w:val="1"/>
      <w:marLeft w:val="0"/>
      <w:marRight w:val="0"/>
      <w:marTop w:val="0"/>
      <w:marBottom w:val="0"/>
      <w:divBdr>
        <w:top w:val="none" w:sz="0" w:space="0" w:color="auto"/>
        <w:left w:val="none" w:sz="0" w:space="0" w:color="auto"/>
        <w:bottom w:val="none" w:sz="0" w:space="0" w:color="auto"/>
        <w:right w:val="none" w:sz="0" w:space="0" w:color="auto"/>
      </w:divBdr>
      <w:divsChild>
        <w:div w:id="1814251553">
          <w:marLeft w:val="0"/>
          <w:marRight w:val="0"/>
          <w:marTop w:val="0"/>
          <w:marBottom w:val="0"/>
          <w:divBdr>
            <w:top w:val="none" w:sz="0" w:space="0" w:color="auto"/>
            <w:left w:val="none" w:sz="0" w:space="0" w:color="auto"/>
            <w:bottom w:val="none" w:sz="0" w:space="0" w:color="auto"/>
            <w:right w:val="none" w:sz="0" w:space="0" w:color="auto"/>
          </w:divBdr>
        </w:div>
        <w:div w:id="1098216012">
          <w:marLeft w:val="0"/>
          <w:marRight w:val="0"/>
          <w:marTop w:val="0"/>
          <w:marBottom w:val="0"/>
          <w:divBdr>
            <w:top w:val="none" w:sz="0" w:space="0" w:color="auto"/>
            <w:left w:val="none" w:sz="0" w:space="0" w:color="auto"/>
            <w:bottom w:val="none" w:sz="0" w:space="0" w:color="auto"/>
            <w:right w:val="none" w:sz="0" w:space="0" w:color="auto"/>
          </w:divBdr>
        </w:div>
        <w:div w:id="2036272205">
          <w:marLeft w:val="0"/>
          <w:marRight w:val="0"/>
          <w:marTop w:val="0"/>
          <w:marBottom w:val="0"/>
          <w:divBdr>
            <w:top w:val="none" w:sz="0" w:space="0" w:color="auto"/>
            <w:left w:val="none" w:sz="0" w:space="0" w:color="auto"/>
            <w:bottom w:val="none" w:sz="0" w:space="0" w:color="auto"/>
            <w:right w:val="none" w:sz="0" w:space="0" w:color="auto"/>
          </w:divBdr>
        </w:div>
        <w:div w:id="1963534490">
          <w:marLeft w:val="0"/>
          <w:marRight w:val="0"/>
          <w:marTop w:val="0"/>
          <w:marBottom w:val="0"/>
          <w:divBdr>
            <w:top w:val="none" w:sz="0" w:space="0" w:color="auto"/>
            <w:left w:val="none" w:sz="0" w:space="0" w:color="auto"/>
            <w:bottom w:val="none" w:sz="0" w:space="0" w:color="auto"/>
            <w:right w:val="none" w:sz="0" w:space="0" w:color="auto"/>
          </w:divBdr>
        </w:div>
        <w:div w:id="1009718320">
          <w:marLeft w:val="0"/>
          <w:marRight w:val="0"/>
          <w:marTop w:val="0"/>
          <w:marBottom w:val="0"/>
          <w:divBdr>
            <w:top w:val="none" w:sz="0" w:space="0" w:color="auto"/>
            <w:left w:val="none" w:sz="0" w:space="0" w:color="auto"/>
            <w:bottom w:val="none" w:sz="0" w:space="0" w:color="auto"/>
            <w:right w:val="none" w:sz="0" w:space="0" w:color="auto"/>
          </w:divBdr>
        </w:div>
        <w:div w:id="2075656958">
          <w:marLeft w:val="0"/>
          <w:marRight w:val="0"/>
          <w:marTop w:val="0"/>
          <w:marBottom w:val="0"/>
          <w:divBdr>
            <w:top w:val="none" w:sz="0" w:space="0" w:color="auto"/>
            <w:left w:val="none" w:sz="0" w:space="0" w:color="auto"/>
            <w:bottom w:val="none" w:sz="0" w:space="0" w:color="auto"/>
            <w:right w:val="none" w:sz="0" w:space="0" w:color="auto"/>
          </w:divBdr>
        </w:div>
        <w:div w:id="1227495006">
          <w:marLeft w:val="0"/>
          <w:marRight w:val="0"/>
          <w:marTop w:val="0"/>
          <w:marBottom w:val="0"/>
          <w:divBdr>
            <w:top w:val="none" w:sz="0" w:space="0" w:color="auto"/>
            <w:left w:val="none" w:sz="0" w:space="0" w:color="auto"/>
            <w:bottom w:val="none" w:sz="0" w:space="0" w:color="auto"/>
            <w:right w:val="none" w:sz="0" w:space="0" w:color="auto"/>
          </w:divBdr>
        </w:div>
        <w:div w:id="390231839">
          <w:marLeft w:val="0"/>
          <w:marRight w:val="0"/>
          <w:marTop w:val="0"/>
          <w:marBottom w:val="0"/>
          <w:divBdr>
            <w:top w:val="none" w:sz="0" w:space="0" w:color="auto"/>
            <w:left w:val="none" w:sz="0" w:space="0" w:color="auto"/>
            <w:bottom w:val="none" w:sz="0" w:space="0" w:color="auto"/>
            <w:right w:val="none" w:sz="0" w:space="0" w:color="auto"/>
          </w:divBdr>
        </w:div>
        <w:div w:id="117142684">
          <w:marLeft w:val="0"/>
          <w:marRight w:val="0"/>
          <w:marTop w:val="0"/>
          <w:marBottom w:val="0"/>
          <w:divBdr>
            <w:top w:val="none" w:sz="0" w:space="0" w:color="auto"/>
            <w:left w:val="none" w:sz="0" w:space="0" w:color="auto"/>
            <w:bottom w:val="none" w:sz="0" w:space="0" w:color="auto"/>
            <w:right w:val="none" w:sz="0" w:space="0" w:color="auto"/>
          </w:divBdr>
        </w:div>
        <w:div w:id="882060613">
          <w:marLeft w:val="0"/>
          <w:marRight w:val="0"/>
          <w:marTop w:val="0"/>
          <w:marBottom w:val="0"/>
          <w:divBdr>
            <w:top w:val="none" w:sz="0" w:space="0" w:color="auto"/>
            <w:left w:val="none" w:sz="0" w:space="0" w:color="auto"/>
            <w:bottom w:val="none" w:sz="0" w:space="0" w:color="auto"/>
            <w:right w:val="none" w:sz="0" w:space="0" w:color="auto"/>
          </w:divBdr>
        </w:div>
        <w:div w:id="1343312156">
          <w:marLeft w:val="0"/>
          <w:marRight w:val="0"/>
          <w:marTop w:val="0"/>
          <w:marBottom w:val="0"/>
          <w:divBdr>
            <w:top w:val="none" w:sz="0" w:space="0" w:color="auto"/>
            <w:left w:val="none" w:sz="0" w:space="0" w:color="auto"/>
            <w:bottom w:val="none" w:sz="0" w:space="0" w:color="auto"/>
            <w:right w:val="none" w:sz="0" w:space="0" w:color="auto"/>
          </w:divBdr>
        </w:div>
        <w:div w:id="807745514">
          <w:marLeft w:val="0"/>
          <w:marRight w:val="0"/>
          <w:marTop w:val="0"/>
          <w:marBottom w:val="0"/>
          <w:divBdr>
            <w:top w:val="none" w:sz="0" w:space="0" w:color="auto"/>
            <w:left w:val="none" w:sz="0" w:space="0" w:color="auto"/>
            <w:bottom w:val="none" w:sz="0" w:space="0" w:color="auto"/>
            <w:right w:val="none" w:sz="0" w:space="0" w:color="auto"/>
          </w:divBdr>
        </w:div>
        <w:div w:id="688798703">
          <w:marLeft w:val="0"/>
          <w:marRight w:val="0"/>
          <w:marTop w:val="0"/>
          <w:marBottom w:val="0"/>
          <w:divBdr>
            <w:top w:val="none" w:sz="0" w:space="0" w:color="auto"/>
            <w:left w:val="none" w:sz="0" w:space="0" w:color="auto"/>
            <w:bottom w:val="none" w:sz="0" w:space="0" w:color="auto"/>
            <w:right w:val="none" w:sz="0" w:space="0" w:color="auto"/>
          </w:divBdr>
        </w:div>
        <w:div w:id="1324310022">
          <w:marLeft w:val="0"/>
          <w:marRight w:val="0"/>
          <w:marTop w:val="0"/>
          <w:marBottom w:val="0"/>
          <w:divBdr>
            <w:top w:val="none" w:sz="0" w:space="0" w:color="auto"/>
            <w:left w:val="none" w:sz="0" w:space="0" w:color="auto"/>
            <w:bottom w:val="none" w:sz="0" w:space="0" w:color="auto"/>
            <w:right w:val="none" w:sz="0" w:space="0" w:color="auto"/>
          </w:divBdr>
        </w:div>
        <w:div w:id="715542045">
          <w:marLeft w:val="0"/>
          <w:marRight w:val="0"/>
          <w:marTop w:val="0"/>
          <w:marBottom w:val="0"/>
          <w:divBdr>
            <w:top w:val="none" w:sz="0" w:space="0" w:color="auto"/>
            <w:left w:val="none" w:sz="0" w:space="0" w:color="auto"/>
            <w:bottom w:val="none" w:sz="0" w:space="0" w:color="auto"/>
            <w:right w:val="none" w:sz="0" w:space="0" w:color="auto"/>
          </w:divBdr>
        </w:div>
        <w:div w:id="1065952338">
          <w:marLeft w:val="0"/>
          <w:marRight w:val="0"/>
          <w:marTop w:val="0"/>
          <w:marBottom w:val="0"/>
          <w:divBdr>
            <w:top w:val="none" w:sz="0" w:space="0" w:color="auto"/>
            <w:left w:val="none" w:sz="0" w:space="0" w:color="auto"/>
            <w:bottom w:val="none" w:sz="0" w:space="0" w:color="auto"/>
            <w:right w:val="none" w:sz="0" w:space="0" w:color="auto"/>
          </w:divBdr>
        </w:div>
        <w:div w:id="2092659859">
          <w:marLeft w:val="0"/>
          <w:marRight w:val="0"/>
          <w:marTop w:val="0"/>
          <w:marBottom w:val="0"/>
          <w:divBdr>
            <w:top w:val="none" w:sz="0" w:space="0" w:color="auto"/>
            <w:left w:val="none" w:sz="0" w:space="0" w:color="auto"/>
            <w:bottom w:val="none" w:sz="0" w:space="0" w:color="auto"/>
            <w:right w:val="none" w:sz="0" w:space="0" w:color="auto"/>
          </w:divBdr>
        </w:div>
        <w:div w:id="1134103737">
          <w:marLeft w:val="0"/>
          <w:marRight w:val="0"/>
          <w:marTop w:val="0"/>
          <w:marBottom w:val="0"/>
          <w:divBdr>
            <w:top w:val="none" w:sz="0" w:space="0" w:color="auto"/>
            <w:left w:val="none" w:sz="0" w:space="0" w:color="auto"/>
            <w:bottom w:val="none" w:sz="0" w:space="0" w:color="auto"/>
            <w:right w:val="none" w:sz="0" w:space="0" w:color="auto"/>
          </w:divBdr>
        </w:div>
        <w:div w:id="511727059">
          <w:marLeft w:val="0"/>
          <w:marRight w:val="0"/>
          <w:marTop w:val="0"/>
          <w:marBottom w:val="0"/>
          <w:divBdr>
            <w:top w:val="none" w:sz="0" w:space="0" w:color="auto"/>
            <w:left w:val="none" w:sz="0" w:space="0" w:color="auto"/>
            <w:bottom w:val="none" w:sz="0" w:space="0" w:color="auto"/>
            <w:right w:val="none" w:sz="0" w:space="0" w:color="auto"/>
          </w:divBdr>
        </w:div>
        <w:div w:id="860240521">
          <w:marLeft w:val="0"/>
          <w:marRight w:val="0"/>
          <w:marTop w:val="0"/>
          <w:marBottom w:val="0"/>
          <w:divBdr>
            <w:top w:val="none" w:sz="0" w:space="0" w:color="auto"/>
            <w:left w:val="none" w:sz="0" w:space="0" w:color="auto"/>
            <w:bottom w:val="none" w:sz="0" w:space="0" w:color="auto"/>
            <w:right w:val="none" w:sz="0" w:space="0" w:color="auto"/>
          </w:divBdr>
        </w:div>
        <w:div w:id="892691556">
          <w:marLeft w:val="0"/>
          <w:marRight w:val="0"/>
          <w:marTop w:val="0"/>
          <w:marBottom w:val="0"/>
          <w:divBdr>
            <w:top w:val="none" w:sz="0" w:space="0" w:color="auto"/>
            <w:left w:val="none" w:sz="0" w:space="0" w:color="auto"/>
            <w:bottom w:val="none" w:sz="0" w:space="0" w:color="auto"/>
            <w:right w:val="none" w:sz="0" w:space="0" w:color="auto"/>
          </w:divBdr>
        </w:div>
        <w:div w:id="24454764">
          <w:marLeft w:val="0"/>
          <w:marRight w:val="0"/>
          <w:marTop w:val="0"/>
          <w:marBottom w:val="0"/>
          <w:divBdr>
            <w:top w:val="none" w:sz="0" w:space="0" w:color="auto"/>
            <w:left w:val="none" w:sz="0" w:space="0" w:color="auto"/>
            <w:bottom w:val="none" w:sz="0" w:space="0" w:color="auto"/>
            <w:right w:val="none" w:sz="0" w:space="0" w:color="auto"/>
          </w:divBdr>
        </w:div>
        <w:div w:id="541678020">
          <w:marLeft w:val="0"/>
          <w:marRight w:val="0"/>
          <w:marTop w:val="0"/>
          <w:marBottom w:val="0"/>
          <w:divBdr>
            <w:top w:val="none" w:sz="0" w:space="0" w:color="auto"/>
            <w:left w:val="none" w:sz="0" w:space="0" w:color="auto"/>
            <w:bottom w:val="none" w:sz="0" w:space="0" w:color="auto"/>
            <w:right w:val="none" w:sz="0" w:space="0" w:color="auto"/>
          </w:divBdr>
        </w:div>
        <w:div w:id="1404261026">
          <w:marLeft w:val="0"/>
          <w:marRight w:val="0"/>
          <w:marTop w:val="0"/>
          <w:marBottom w:val="0"/>
          <w:divBdr>
            <w:top w:val="none" w:sz="0" w:space="0" w:color="auto"/>
            <w:left w:val="none" w:sz="0" w:space="0" w:color="auto"/>
            <w:bottom w:val="none" w:sz="0" w:space="0" w:color="auto"/>
            <w:right w:val="none" w:sz="0" w:space="0" w:color="auto"/>
          </w:divBdr>
        </w:div>
        <w:div w:id="638808706">
          <w:marLeft w:val="0"/>
          <w:marRight w:val="0"/>
          <w:marTop w:val="0"/>
          <w:marBottom w:val="0"/>
          <w:divBdr>
            <w:top w:val="none" w:sz="0" w:space="0" w:color="auto"/>
            <w:left w:val="none" w:sz="0" w:space="0" w:color="auto"/>
            <w:bottom w:val="none" w:sz="0" w:space="0" w:color="auto"/>
            <w:right w:val="none" w:sz="0" w:space="0" w:color="auto"/>
          </w:divBdr>
        </w:div>
        <w:div w:id="238516275">
          <w:marLeft w:val="0"/>
          <w:marRight w:val="0"/>
          <w:marTop w:val="0"/>
          <w:marBottom w:val="0"/>
          <w:divBdr>
            <w:top w:val="none" w:sz="0" w:space="0" w:color="auto"/>
            <w:left w:val="none" w:sz="0" w:space="0" w:color="auto"/>
            <w:bottom w:val="none" w:sz="0" w:space="0" w:color="auto"/>
            <w:right w:val="none" w:sz="0" w:space="0" w:color="auto"/>
          </w:divBdr>
        </w:div>
        <w:div w:id="1694109704">
          <w:marLeft w:val="0"/>
          <w:marRight w:val="0"/>
          <w:marTop w:val="0"/>
          <w:marBottom w:val="0"/>
          <w:divBdr>
            <w:top w:val="none" w:sz="0" w:space="0" w:color="auto"/>
            <w:left w:val="none" w:sz="0" w:space="0" w:color="auto"/>
            <w:bottom w:val="none" w:sz="0" w:space="0" w:color="auto"/>
            <w:right w:val="none" w:sz="0" w:space="0" w:color="auto"/>
          </w:divBdr>
        </w:div>
        <w:div w:id="2120836280">
          <w:marLeft w:val="0"/>
          <w:marRight w:val="0"/>
          <w:marTop w:val="0"/>
          <w:marBottom w:val="0"/>
          <w:divBdr>
            <w:top w:val="none" w:sz="0" w:space="0" w:color="auto"/>
            <w:left w:val="none" w:sz="0" w:space="0" w:color="auto"/>
            <w:bottom w:val="none" w:sz="0" w:space="0" w:color="auto"/>
            <w:right w:val="none" w:sz="0" w:space="0" w:color="auto"/>
          </w:divBdr>
        </w:div>
        <w:div w:id="455296425">
          <w:marLeft w:val="0"/>
          <w:marRight w:val="0"/>
          <w:marTop w:val="0"/>
          <w:marBottom w:val="0"/>
          <w:divBdr>
            <w:top w:val="none" w:sz="0" w:space="0" w:color="auto"/>
            <w:left w:val="none" w:sz="0" w:space="0" w:color="auto"/>
            <w:bottom w:val="none" w:sz="0" w:space="0" w:color="auto"/>
            <w:right w:val="none" w:sz="0" w:space="0" w:color="auto"/>
          </w:divBdr>
        </w:div>
        <w:div w:id="1932930429">
          <w:marLeft w:val="0"/>
          <w:marRight w:val="0"/>
          <w:marTop w:val="0"/>
          <w:marBottom w:val="0"/>
          <w:divBdr>
            <w:top w:val="none" w:sz="0" w:space="0" w:color="auto"/>
            <w:left w:val="none" w:sz="0" w:space="0" w:color="auto"/>
            <w:bottom w:val="none" w:sz="0" w:space="0" w:color="auto"/>
            <w:right w:val="none" w:sz="0" w:space="0" w:color="auto"/>
          </w:divBdr>
        </w:div>
        <w:div w:id="538082317">
          <w:marLeft w:val="0"/>
          <w:marRight w:val="0"/>
          <w:marTop w:val="0"/>
          <w:marBottom w:val="0"/>
          <w:divBdr>
            <w:top w:val="none" w:sz="0" w:space="0" w:color="auto"/>
            <w:left w:val="none" w:sz="0" w:space="0" w:color="auto"/>
            <w:bottom w:val="none" w:sz="0" w:space="0" w:color="auto"/>
            <w:right w:val="none" w:sz="0" w:space="0" w:color="auto"/>
          </w:divBdr>
        </w:div>
        <w:div w:id="679356651">
          <w:marLeft w:val="0"/>
          <w:marRight w:val="0"/>
          <w:marTop w:val="0"/>
          <w:marBottom w:val="0"/>
          <w:divBdr>
            <w:top w:val="none" w:sz="0" w:space="0" w:color="auto"/>
            <w:left w:val="none" w:sz="0" w:space="0" w:color="auto"/>
            <w:bottom w:val="none" w:sz="0" w:space="0" w:color="auto"/>
            <w:right w:val="none" w:sz="0" w:space="0" w:color="auto"/>
          </w:divBdr>
        </w:div>
        <w:div w:id="1638532409">
          <w:marLeft w:val="0"/>
          <w:marRight w:val="0"/>
          <w:marTop w:val="0"/>
          <w:marBottom w:val="0"/>
          <w:divBdr>
            <w:top w:val="none" w:sz="0" w:space="0" w:color="auto"/>
            <w:left w:val="none" w:sz="0" w:space="0" w:color="auto"/>
            <w:bottom w:val="none" w:sz="0" w:space="0" w:color="auto"/>
            <w:right w:val="none" w:sz="0" w:space="0" w:color="auto"/>
          </w:divBdr>
        </w:div>
        <w:div w:id="1464275602">
          <w:marLeft w:val="0"/>
          <w:marRight w:val="0"/>
          <w:marTop w:val="0"/>
          <w:marBottom w:val="0"/>
          <w:divBdr>
            <w:top w:val="none" w:sz="0" w:space="0" w:color="auto"/>
            <w:left w:val="none" w:sz="0" w:space="0" w:color="auto"/>
            <w:bottom w:val="none" w:sz="0" w:space="0" w:color="auto"/>
            <w:right w:val="none" w:sz="0" w:space="0" w:color="auto"/>
          </w:divBdr>
        </w:div>
        <w:div w:id="1916237550">
          <w:marLeft w:val="0"/>
          <w:marRight w:val="0"/>
          <w:marTop w:val="0"/>
          <w:marBottom w:val="0"/>
          <w:divBdr>
            <w:top w:val="none" w:sz="0" w:space="0" w:color="auto"/>
            <w:left w:val="none" w:sz="0" w:space="0" w:color="auto"/>
            <w:bottom w:val="none" w:sz="0" w:space="0" w:color="auto"/>
            <w:right w:val="none" w:sz="0" w:space="0" w:color="auto"/>
          </w:divBdr>
        </w:div>
        <w:div w:id="2095541977">
          <w:marLeft w:val="0"/>
          <w:marRight w:val="0"/>
          <w:marTop w:val="0"/>
          <w:marBottom w:val="0"/>
          <w:divBdr>
            <w:top w:val="none" w:sz="0" w:space="0" w:color="auto"/>
            <w:left w:val="none" w:sz="0" w:space="0" w:color="auto"/>
            <w:bottom w:val="none" w:sz="0" w:space="0" w:color="auto"/>
            <w:right w:val="none" w:sz="0" w:space="0" w:color="auto"/>
          </w:divBdr>
          <w:divsChild>
            <w:div w:id="1488938398">
              <w:marLeft w:val="-75"/>
              <w:marRight w:val="0"/>
              <w:marTop w:val="30"/>
              <w:marBottom w:val="30"/>
              <w:divBdr>
                <w:top w:val="none" w:sz="0" w:space="0" w:color="auto"/>
                <w:left w:val="none" w:sz="0" w:space="0" w:color="auto"/>
                <w:bottom w:val="none" w:sz="0" w:space="0" w:color="auto"/>
                <w:right w:val="none" w:sz="0" w:space="0" w:color="auto"/>
              </w:divBdr>
              <w:divsChild>
                <w:div w:id="283007184">
                  <w:marLeft w:val="0"/>
                  <w:marRight w:val="0"/>
                  <w:marTop w:val="0"/>
                  <w:marBottom w:val="0"/>
                  <w:divBdr>
                    <w:top w:val="none" w:sz="0" w:space="0" w:color="auto"/>
                    <w:left w:val="none" w:sz="0" w:space="0" w:color="auto"/>
                    <w:bottom w:val="none" w:sz="0" w:space="0" w:color="auto"/>
                    <w:right w:val="none" w:sz="0" w:space="0" w:color="auto"/>
                  </w:divBdr>
                  <w:divsChild>
                    <w:div w:id="928538327">
                      <w:marLeft w:val="0"/>
                      <w:marRight w:val="0"/>
                      <w:marTop w:val="0"/>
                      <w:marBottom w:val="0"/>
                      <w:divBdr>
                        <w:top w:val="none" w:sz="0" w:space="0" w:color="auto"/>
                        <w:left w:val="none" w:sz="0" w:space="0" w:color="auto"/>
                        <w:bottom w:val="none" w:sz="0" w:space="0" w:color="auto"/>
                        <w:right w:val="none" w:sz="0" w:space="0" w:color="auto"/>
                      </w:divBdr>
                    </w:div>
                  </w:divsChild>
                </w:div>
                <w:div w:id="1080567943">
                  <w:marLeft w:val="0"/>
                  <w:marRight w:val="0"/>
                  <w:marTop w:val="0"/>
                  <w:marBottom w:val="0"/>
                  <w:divBdr>
                    <w:top w:val="none" w:sz="0" w:space="0" w:color="auto"/>
                    <w:left w:val="none" w:sz="0" w:space="0" w:color="auto"/>
                    <w:bottom w:val="none" w:sz="0" w:space="0" w:color="auto"/>
                    <w:right w:val="none" w:sz="0" w:space="0" w:color="auto"/>
                  </w:divBdr>
                  <w:divsChild>
                    <w:div w:id="1112624978">
                      <w:marLeft w:val="0"/>
                      <w:marRight w:val="0"/>
                      <w:marTop w:val="0"/>
                      <w:marBottom w:val="0"/>
                      <w:divBdr>
                        <w:top w:val="none" w:sz="0" w:space="0" w:color="auto"/>
                        <w:left w:val="none" w:sz="0" w:space="0" w:color="auto"/>
                        <w:bottom w:val="none" w:sz="0" w:space="0" w:color="auto"/>
                        <w:right w:val="none" w:sz="0" w:space="0" w:color="auto"/>
                      </w:divBdr>
                    </w:div>
                    <w:div w:id="539319864">
                      <w:marLeft w:val="0"/>
                      <w:marRight w:val="0"/>
                      <w:marTop w:val="0"/>
                      <w:marBottom w:val="0"/>
                      <w:divBdr>
                        <w:top w:val="none" w:sz="0" w:space="0" w:color="auto"/>
                        <w:left w:val="none" w:sz="0" w:space="0" w:color="auto"/>
                        <w:bottom w:val="none" w:sz="0" w:space="0" w:color="auto"/>
                        <w:right w:val="none" w:sz="0" w:space="0" w:color="auto"/>
                      </w:divBdr>
                    </w:div>
                  </w:divsChild>
                </w:div>
                <w:div w:id="344208591">
                  <w:marLeft w:val="0"/>
                  <w:marRight w:val="0"/>
                  <w:marTop w:val="0"/>
                  <w:marBottom w:val="0"/>
                  <w:divBdr>
                    <w:top w:val="none" w:sz="0" w:space="0" w:color="auto"/>
                    <w:left w:val="none" w:sz="0" w:space="0" w:color="auto"/>
                    <w:bottom w:val="none" w:sz="0" w:space="0" w:color="auto"/>
                    <w:right w:val="none" w:sz="0" w:space="0" w:color="auto"/>
                  </w:divBdr>
                  <w:divsChild>
                    <w:div w:id="1723020549">
                      <w:marLeft w:val="0"/>
                      <w:marRight w:val="0"/>
                      <w:marTop w:val="0"/>
                      <w:marBottom w:val="0"/>
                      <w:divBdr>
                        <w:top w:val="none" w:sz="0" w:space="0" w:color="auto"/>
                        <w:left w:val="none" w:sz="0" w:space="0" w:color="auto"/>
                        <w:bottom w:val="none" w:sz="0" w:space="0" w:color="auto"/>
                        <w:right w:val="none" w:sz="0" w:space="0" w:color="auto"/>
                      </w:divBdr>
                    </w:div>
                  </w:divsChild>
                </w:div>
                <w:div w:id="233929418">
                  <w:marLeft w:val="0"/>
                  <w:marRight w:val="0"/>
                  <w:marTop w:val="0"/>
                  <w:marBottom w:val="0"/>
                  <w:divBdr>
                    <w:top w:val="none" w:sz="0" w:space="0" w:color="auto"/>
                    <w:left w:val="none" w:sz="0" w:space="0" w:color="auto"/>
                    <w:bottom w:val="none" w:sz="0" w:space="0" w:color="auto"/>
                    <w:right w:val="none" w:sz="0" w:space="0" w:color="auto"/>
                  </w:divBdr>
                  <w:divsChild>
                    <w:div w:id="193542531">
                      <w:marLeft w:val="0"/>
                      <w:marRight w:val="0"/>
                      <w:marTop w:val="0"/>
                      <w:marBottom w:val="0"/>
                      <w:divBdr>
                        <w:top w:val="none" w:sz="0" w:space="0" w:color="auto"/>
                        <w:left w:val="none" w:sz="0" w:space="0" w:color="auto"/>
                        <w:bottom w:val="none" w:sz="0" w:space="0" w:color="auto"/>
                        <w:right w:val="none" w:sz="0" w:space="0" w:color="auto"/>
                      </w:divBdr>
                    </w:div>
                    <w:div w:id="2029217062">
                      <w:marLeft w:val="0"/>
                      <w:marRight w:val="0"/>
                      <w:marTop w:val="0"/>
                      <w:marBottom w:val="0"/>
                      <w:divBdr>
                        <w:top w:val="none" w:sz="0" w:space="0" w:color="auto"/>
                        <w:left w:val="none" w:sz="0" w:space="0" w:color="auto"/>
                        <w:bottom w:val="none" w:sz="0" w:space="0" w:color="auto"/>
                        <w:right w:val="none" w:sz="0" w:space="0" w:color="auto"/>
                      </w:divBdr>
                    </w:div>
                  </w:divsChild>
                </w:div>
                <w:div w:id="231042282">
                  <w:marLeft w:val="0"/>
                  <w:marRight w:val="0"/>
                  <w:marTop w:val="0"/>
                  <w:marBottom w:val="0"/>
                  <w:divBdr>
                    <w:top w:val="none" w:sz="0" w:space="0" w:color="auto"/>
                    <w:left w:val="none" w:sz="0" w:space="0" w:color="auto"/>
                    <w:bottom w:val="none" w:sz="0" w:space="0" w:color="auto"/>
                    <w:right w:val="none" w:sz="0" w:space="0" w:color="auto"/>
                  </w:divBdr>
                  <w:divsChild>
                    <w:div w:id="1200582818">
                      <w:marLeft w:val="0"/>
                      <w:marRight w:val="0"/>
                      <w:marTop w:val="0"/>
                      <w:marBottom w:val="0"/>
                      <w:divBdr>
                        <w:top w:val="none" w:sz="0" w:space="0" w:color="auto"/>
                        <w:left w:val="none" w:sz="0" w:space="0" w:color="auto"/>
                        <w:bottom w:val="none" w:sz="0" w:space="0" w:color="auto"/>
                        <w:right w:val="none" w:sz="0" w:space="0" w:color="auto"/>
                      </w:divBdr>
                    </w:div>
                  </w:divsChild>
                </w:div>
                <w:div w:id="431166015">
                  <w:marLeft w:val="0"/>
                  <w:marRight w:val="0"/>
                  <w:marTop w:val="0"/>
                  <w:marBottom w:val="0"/>
                  <w:divBdr>
                    <w:top w:val="none" w:sz="0" w:space="0" w:color="auto"/>
                    <w:left w:val="none" w:sz="0" w:space="0" w:color="auto"/>
                    <w:bottom w:val="none" w:sz="0" w:space="0" w:color="auto"/>
                    <w:right w:val="none" w:sz="0" w:space="0" w:color="auto"/>
                  </w:divBdr>
                  <w:divsChild>
                    <w:div w:id="633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1884">
          <w:marLeft w:val="0"/>
          <w:marRight w:val="0"/>
          <w:marTop w:val="0"/>
          <w:marBottom w:val="0"/>
          <w:divBdr>
            <w:top w:val="none" w:sz="0" w:space="0" w:color="auto"/>
            <w:left w:val="none" w:sz="0" w:space="0" w:color="auto"/>
            <w:bottom w:val="none" w:sz="0" w:space="0" w:color="auto"/>
            <w:right w:val="none" w:sz="0" w:space="0" w:color="auto"/>
          </w:divBdr>
        </w:div>
        <w:div w:id="1002320289">
          <w:marLeft w:val="0"/>
          <w:marRight w:val="0"/>
          <w:marTop w:val="0"/>
          <w:marBottom w:val="0"/>
          <w:divBdr>
            <w:top w:val="none" w:sz="0" w:space="0" w:color="auto"/>
            <w:left w:val="none" w:sz="0" w:space="0" w:color="auto"/>
            <w:bottom w:val="none" w:sz="0" w:space="0" w:color="auto"/>
            <w:right w:val="none" w:sz="0" w:space="0" w:color="auto"/>
          </w:divBdr>
        </w:div>
        <w:div w:id="2033648475">
          <w:marLeft w:val="0"/>
          <w:marRight w:val="0"/>
          <w:marTop w:val="0"/>
          <w:marBottom w:val="0"/>
          <w:divBdr>
            <w:top w:val="none" w:sz="0" w:space="0" w:color="auto"/>
            <w:left w:val="none" w:sz="0" w:space="0" w:color="auto"/>
            <w:bottom w:val="none" w:sz="0" w:space="0" w:color="auto"/>
            <w:right w:val="none" w:sz="0" w:space="0" w:color="auto"/>
          </w:divBdr>
        </w:div>
        <w:div w:id="1053582647">
          <w:marLeft w:val="0"/>
          <w:marRight w:val="0"/>
          <w:marTop w:val="0"/>
          <w:marBottom w:val="0"/>
          <w:divBdr>
            <w:top w:val="none" w:sz="0" w:space="0" w:color="auto"/>
            <w:left w:val="none" w:sz="0" w:space="0" w:color="auto"/>
            <w:bottom w:val="none" w:sz="0" w:space="0" w:color="auto"/>
            <w:right w:val="none" w:sz="0" w:space="0" w:color="auto"/>
          </w:divBdr>
        </w:div>
        <w:div w:id="165822881">
          <w:marLeft w:val="0"/>
          <w:marRight w:val="0"/>
          <w:marTop w:val="0"/>
          <w:marBottom w:val="0"/>
          <w:divBdr>
            <w:top w:val="none" w:sz="0" w:space="0" w:color="auto"/>
            <w:left w:val="none" w:sz="0" w:space="0" w:color="auto"/>
            <w:bottom w:val="none" w:sz="0" w:space="0" w:color="auto"/>
            <w:right w:val="none" w:sz="0" w:space="0" w:color="auto"/>
          </w:divBdr>
        </w:div>
        <w:div w:id="1919947877">
          <w:marLeft w:val="0"/>
          <w:marRight w:val="0"/>
          <w:marTop w:val="0"/>
          <w:marBottom w:val="0"/>
          <w:divBdr>
            <w:top w:val="none" w:sz="0" w:space="0" w:color="auto"/>
            <w:left w:val="none" w:sz="0" w:space="0" w:color="auto"/>
            <w:bottom w:val="none" w:sz="0" w:space="0" w:color="auto"/>
            <w:right w:val="none" w:sz="0" w:space="0" w:color="auto"/>
          </w:divBdr>
          <w:divsChild>
            <w:div w:id="1192113255">
              <w:marLeft w:val="0"/>
              <w:marRight w:val="0"/>
              <w:marTop w:val="0"/>
              <w:marBottom w:val="0"/>
              <w:divBdr>
                <w:top w:val="none" w:sz="0" w:space="0" w:color="auto"/>
                <w:left w:val="none" w:sz="0" w:space="0" w:color="auto"/>
                <w:bottom w:val="none" w:sz="0" w:space="0" w:color="auto"/>
                <w:right w:val="none" w:sz="0" w:space="0" w:color="auto"/>
              </w:divBdr>
            </w:div>
            <w:div w:id="524707673">
              <w:marLeft w:val="0"/>
              <w:marRight w:val="0"/>
              <w:marTop w:val="0"/>
              <w:marBottom w:val="0"/>
              <w:divBdr>
                <w:top w:val="none" w:sz="0" w:space="0" w:color="auto"/>
                <w:left w:val="none" w:sz="0" w:space="0" w:color="auto"/>
                <w:bottom w:val="none" w:sz="0" w:space="0" w:color="auto"/>
                <w:right w:val="none" w:sz="0" w:space="0" w:color="auto"/>
              </w:divBdr>
            </w:div>
            <w:div w:id="1477457551">
              <w:marLeft w:val="0"/>
              <w:marRight w:val="0"/>
              <w:marTop w:val="0"/>
              <w:marBottom w:val="0"/>
              <w:divBdr>
                <w:top w:val="none" w:sz="0" w:space="0" w:color="auto"/>
                <w:left w:val="none" w:sz="0" w:space="0" w:color="auto"/>
                <w:bottom w:val="none" w:sz="0" w:space="0" w:color="auto"/>
                <w:right w:val="none" w:sz="0" w:space="0" w:color="auto"/>
              </w:divBdr>
            </w:div>
            <w:div w:id="1905212490">
              <w:marLeft w:val="0"/>
              <w:marRight w:val="0"/>
              <w:marTop w:val="0"/>
              <w:marBottom w:val="0"/>
              <w:divBdr>
                <w:top w:val="none" w:sz="0" w:space="0" w:color="auto"/>
                <w:left w:val="none" w:sz="0" w:space="0" w:color="auto"/>
                <w:bottom w:val="none" w:sz="0" w:space="0" w:color="auto"/>
                <w:right w:val="none" w:sz="0" w:space="0" w:color="auto"/>
              </w:divBdr>
            </w:div>
            <w:div w:id="1960529064">
              <w:marLeft w:val="0"/>
              <w:marRight w:val="0"/>
              <w:marTop w:val="0"/>
              <w:marBottom w:val="0"/>
              <w:divBdr>
                <w:top w:val="none" w:sz="0" w:space="0" w:color="auto"/>
                <w:left w:val="none" w:sz="0" w:space="0" w:color="auto"/>
                <w:bottom w:val="none" w:sz="0" w:space="0" w:color="auto"/>
                <w:right w:val="none" w:sz="0" w:space="0" w:color="auto"/>
              </w:divBdr>
            </w:div>
          </w:divsChild>
        </w:div>
        <w:div w:id="1791318772">
          <w:marLeft w:val="0"/>
          <w:marRight w:val="0"/>
          <w:marTop w:val="0"/>
          <w:marBottom w:val="0"/>
          <w:divBdr>
            <w:top w:val="none" w:sz="0" w:space="0" w:color="auto"/>
            <w:left w:val="none" w:sz="0" w:space="0" w:color="auto"/>
            <w:bottom w:val="none" w:sz="0" w:space="0" w:color="auto"/>
            <w:right w:val="none" w:sz="0" w:space="0" w:color="auto"/>
          </w:divBdr>
        </w:div>
        <w:div w:id="1672679863">
          <w:marLeft w:val="0"/>
          <w:marRight w:val="0"/>
          <w:marTop w:val="0"/>
          <w:marBottom w:val="0"/>
          <w:divBdr>
            <w:top w:val="none" w:sz="0" w:space="0" w:color="auto"/>
            <w:left w:val="none" w:sz="0" w:space="0" w:color="auto"/>
            <w:bottom w:val="none" w:sz="0" w:space="0" w:color="auto"/>
            <w:right w:val="none" w:sz="0" w:space="0" w:color="auto"/>
          </w:divBdr>
        </w:div>
        <w:div w:id="896629501">
          <w:marLeft w:val="0"/>
          <w:marRight w:val="0"/>
          <w:marTop w:val="0"/>
          <w:marBottom w:val="0"/>
          <w:divBdr>
            <w:top w:val="none" w:sz="0" w:space="0" w:color="auto"/>
            <w:left w:val="none" w:sz="0" w:space="0" w:color="auto"/>
            <w:bottom w:val="none" w:sz="0" w:space="0" w:color="auto"/>
            <w:right w:val="none" w:sz="0" w:space="0" w:color="auto"/>
          </w:divBdr>
        </w:div>
        <w:div w:id="1492059971">
          <w:marLeft w:val="0"/>
          <w:marRight w:val="0"/>
          <w:marTop w:val="0"/>
          <w:marBottom w:val="0"/>
          <w:divBdr>
            <w:top w:val="none" w:sz="0" w:space="0" w:color="auto"/>
            <w:left w:val="none" w:sz="0" w:space="0" w:color="auto"/>
            <w:bottom w:val="none" w:sz="0" w:space="0" w:color="auto"/>
            <w:right w:val="none" w:sz="0" w:space="0" w:color="auto"/>
          </w:divBdr>
        </w:div>
        <w:div w:id="743262102">
          <w:marLeft w:val="0"/>
          <w:marRight w:val="0"/>
          <w:marTop w:val="0"/>
          <w:marBottom w:val="0"/>
          <w:divBdr>
            <w:top w:val="none" w:sz="0" w:space="0" w:color="auto"/>
            <w:left w:val="none" w:sz="0" w:space="0" w:color="auto"/>
            <w:bottom w:val="none" w:sz="0" w:space="0" w:color="auto"/>
            <w:right w:val="none" w:sz="0" w:space="0" w:color="auto"/>
          </w:divBdr>
        </w:div>
        <w:div w:id="1966614619">
          <w:marLeft w:val="0"/>
          <w:marRight w:val="0"/>
          <w:marTop w:val="0"/>
          <w:marBottom w:val="0"/>
          <w:divBdr>
            <w:top w:val="none" w:sz="0" w:space="0" w:color="auto"/>
            <w:left w:val="none" w:sz="0" w:space="0" w:color="auto"/>
            <w:bottom w:val="none" w:sz="0" w:space="0" w:color="auto"/>
            <w:right w:val="none" w:sz="0" w:space="0" w:color="auto"/>
          </w:divBdr>
          <w:divsChild>
            <w:div w:id="1375154655">
              <w:marLeft w:val="0"/>
              <w:marRight w:val="0"/>
              <w:marTop w:val="0"/>
              <w:marBottom w:val="0"/>
              <w:divBdr>
                <w:top w:val="none" w:sz="0" w:space="0" w:color="auto"/>
                <w:left w:val="none" w:sz="0" w:space="0" w:color="auto"/>
                <w:bottom w:val="none" w:sz="0" w:space="0" w:color="auto"/>
                <w:right w:val="none" w:sz="0" w:space="0" w:color="auto"/>
              </w:divBdr>
            </w:div>
            <w:div w:id="1193155926">
              <w:marLeft w:val="0"/>
              <w:marRight w:val="0"/>
              <w:marTop w:val="0"/>
              <w:marBottom w:val="0"/>
              <w:divBdr>
                <w:top w:val="none" w:sz="0" w:space="0" w:color="auto"/>
                <w:left w:val="none" w:sz="0" w:space="0" w:color="auto"/>
                <w:bottom w:val="none" w:sz="0" w:space="0" w:color="auto"/>
                <w:right w:val="none" w:sz="0" w:space="0" w:color="auto"/>
              </w:divBdr>
            </w:div>
            <w:div w:id="152644634">
              <w:marLeft w:val="0"/>
              <w:marRight w:val="0"/>
              <w:marTop w:val="0"/>
              <w:marBottom w:val="0"/>
              <w:divBdr>
                <w:top w:val="none" w:sz="0" w:space="0" w:color="auto"/>
                <w:left w:val="none" w:sz="0" w:space="0" w:color="auto"/>
                <w:bottom w:val="none" w:sz="0" w:space="0" w:color="auto"/>
                <w:right w:val="none" w:sz="0" w:space="0" w:color="auto"/>
              </w:divBdr>
            </w:div>
            <w:div w:id="1745906066">
              <w:marLeft w:val="0"/>
              <w:marRight w:val="0"/>
              <w:marTop w:val="0"/>
              <w:marBottom w:val="0"/>
              <w:divBdr>
                <w:top w:val="none" w:sz="0" w:space="0" w:color="auto"/>
                <w:left w:val="none" w:sz="0" w:space="0" w:color="auto"/>
                <w:bottom w:val="none" w:sz="0" w:space="0" w:color="auto"/>
                <w:right w:val="none" w:sz="0" w:space="0" w:color="auto"/>
              </w:divBdr>
            </w:div>
            <w:div w:id="293171294">
              <w:marLeft w:val="0"/>
              <w:marRight w:val="0"/>
              <w:marTop w:val="0"/>
              <w:marBottom w:val="0"/>
              <w:divBdr>
                <w:top w:val="none" w:sz="0" w:space="0" w:color="auto"/>
                <w:left w:val="none" w:sz="0" w:space="0" w:color="auto"/>
                <w:bottom w:val="none" w:sz="0" w:space="0" w:color="auto"/>
                <w:right w:val="none" w:sz="0" w:space="0" w:color="auto"/>
              </w:divBdr>
            </w:div>
          </w:divsChild>
        </w:div>
        <w:div w:id="1836526458">
          <w:marLeft w:val="0"/>
          <w:marRight w:val="0"/>
          <w:marTop w:val="0"/>
          <w:marBottom w:val="0"/>
          <w:divBdr>
            <w:top w:val="none" w:sz="0" w:space="0" w:color="auto"/>
            <w:left w:val="none" w:sz="0" w:space="0" w:color="auto"/>
            <w:bottom w:val="none" w:sz="0" w:space="0" w:color="auto"/>
            <w:right w:val="none" w:sz="0" w:space="0" w:color="auto"/>
          </w:divBdr>
          <w:divsChild>
            <w:div w:id="1153059618">
              <w:marLeft w:val="0"/>
              <w:marRight w:val="0"/>
              <w:marTop w:val="0"/>
              <w:marBottom w:val="0"/>
              <w:divBdr>
                <w:top w:val="none" w:sz="0" w:space="0" w:color="auto"/>
                <w:left w:val="none" w:sz="0" w:space="0" w:color="auto"/>
                <w:bottom w:val="none" w:sz="0" w:space="0" w:color="auto"/>
                <w:right w:val="none" w:sz="0" w:space="0" w:color="auto"/>
              </w:divBdr>
            </w:div>
            <w:div w:id="252974095">
              <w:marLeft w:val="0"/>
              <w:marRight w:val="0"/>
              <w:marTop w:val="0"/>
              <w:marBottom w:val="0"/>
              <w:divBdr>
                <w:top w:val="none" w:sz="0" w:space="0" w:color="auto"/>
                <w:left w:val="none" w:sz="0" w:space="0" w:color="auto"/>
                <w:bottom w:val="none" w:sz="0" w:space="0" w:color="auto"/>
                <w:right w:val="none" w:sz="0" w:space="0" w:color="auto"/>
              </w:divBdr>
            </w:div>
            <w:div w:id="465974370">
              <w:marLeft w:val="0"/>
              <w:marRight w:val="0"/>
              <w:marTop w:val="0"/>
              <w:marBottom w:val="0"/>
              <w:divBdr>
                <w:top w:val="none" w:sz="0" w:space="0" w:color="auto"/>
                <w:left w:val="none" w:sz="0" w:space="0" w:color="auto"/>
                <w:bottom w:val="none" w:sz="0" w:space="0" w:color="auto"/>
                <w:right w:val="none" w:sz="0" w:space="0" w:color="auto"/>
              </w:divBdr>
            </w:div>
            <w:div w:id="762535188">
              <w:marLeft w:val="0"/>
              <w:marRight w:val="0"/>
              <w:marTop w:val="0"/>
              <w:marBottom w:val="0"/>
              <w:divBdr>
                <w:top w:val="none" w:sz="0" w:space="0" w:color="auto"/>
                <w:left w:val="none" w:sz="0" w:space="0" w:color="auto"/>
                <w:bottom w:val="none" w:sz="0" w:space="0" w:color="auto"/>
                <w:right w:val="none" w:sz="0" w:space="0" w:color="auto"/>
              </w:divBdr>
            </w:div>
            <w:div w:id="1513228375">
              <w:marLeft w:val="0"/>
              <w:marRight w:val="0"/>
              <w:marTop w:val="0"/>
              <w:marBottom w:val="0"/>
              <w:divBdr>
                <w:top w:val="none" w:sz="0" w:space="0" w:color="auto"/>
                <w:left w:val="none" w:sz="0" w:space="0" w:color="auto"/>
                <w:bottom w:val="none" w:sz="0" w:space="0" w:color="auto"/>
                <w:right w:val="none" w:sz="0" w:space="0" w:color="auto"/>
              </w:divBdr>
            </w:div>
          </w:divsChild>
        </w:div>
        <w:div w:id="1128550095">
          <w:marLeft w:val="0"/>
          <w:marRight w:val="0"/>
          <w:marTop w:val="0"/>
          <w:marBottom w:val="0"/>
          <w:divBdr>
            <w:top w:val="none" w:sz="0" w:space="0" w:color="auto"/>
            <w:left w:val="none" w:sz="0" w:space="0" w:color="auto"/>
            <w:bottom w:val="none" w:sz="0" w:space="0" w:color="auto"/>
            <w:right w:val="none" w:sz="0" w:space="0" w:color="auto"/>
          </w:divBdr>
          <w:divsChild>
            <w:div w:id="407390849">
              <w:marLeft w:val="0"/>
              <w:marRight w:val="0"/>
              <w:marTop w:val="0"/>
              <w:marBottom w:val="0"/>
              <w:divBdr>
                <w:top w:val="none" w:sz="0" w:space="0" w:color="auto"/>
                <w:left w:val="none" w:sz="0" w:space="0" w:color="auto"/>
                <w:bottom w:val="none" w:sz="0" w:space="0" w:color="auto"/>
                <w:right w:val="none" w:sz="0" w:space="0" w:color="auto"/>
              </w:divBdr>
            </w:div>
            <w:div w:id="1142380584">
              <w:marLeft w:val="0"/>
              <w:marRight w:val="0"/>
              <w:marTop w:val="0"/>
              <w:marBottom w:val="0"/>
              <w:divBdr>
                <w:top w:val="none" w:sz="0" w:space="0" w:color="auto"/>
                <w:left w:val="none" w:sz="0" w:space="0" w:color="auto"/>
                <w:bottom w:val="none" w:sz="0" w:space="0" w:color="auto"/>
                <w:right w:val="none" w:sz="0" w:space="0" w:color="auto"/>
              </w:divBdr>
            </w:div>
            <w:div w:id="1192953861">
              <w:marLeft w:val="0"/>
              <w:marRight w:val="0"/>
              <w:marTop w:val="0"/>
              <w:marBottom w:val="0"/>
              <w:divBdr>
                <w:top w:val="none" w:sz="0" w:space="0" w:color="auto"/>
                <w:left w:val="none" w:sz="0" w:space="0" w:color="auto"/>
                <w:bottom w:val="none" w:sz="0" w:space="0" w:color="auto"/>
                <w:right w:val="none" w:sz="0" w:space="0" w:color="auto"/>
              </w:divBdr>
            </w:div>
          </w:divsChild>
        </w:div>
        <w:div w:id="953637238">
          <w:marLeft w:val="0"/>
          <w:marRight w:val="0"/>
          <w:marTop w:val="0"/>
          <w:marBottom w:val="0"/>
          <w:divBdr>
            <w:top w:val="none" w:sz="0" w:space="0" w:color="auto"/>
            <w:left w:val="none" w:sz="0" w:space="0" w:color="auto"/>
            <w:bottom w:val="none" w:sz="0" w:space="0" w:color="auto"/>
            <w:right w:val="none" w:sz="0" w:space="0" w:color="auto"/>
          </w:divBdr>
          <w:divsChild>
            <w:div w:id="330067371">
              <w:marLeft w:val="0"/>
              <w:marRight w:val="0"/>
              <w:marTop w:val="0"/>
              <w:marBottom w:val="0"/>
              <w:divBdr>
                <w:top w:val="none" w:sz="0" w:space="0" w:color="auto"/>
                <w:left w:val="none" w:sz="0" w:space="0" w:color="auto"/>
                <w:bottom w:val="none" w:sz="0" w:space="0" w:color="auto"/>
                <w:right w:val="none" w:sz="0" w:space="0" w:color="auto"/>
              </w:divBdr>
            </w:div>
            <w:div w:id="1721204122">
              <w:marLeft w:val="0"/>
              <w:marRight w:val="0"/>
              <w:marTop w:val="0"/>
              <w:marBottom w:val="0"/>
              <w:divBdr>
                <w:top w:val="none" w:sz="0" w:space="0" w:color="auto"/>
                <w:left w:val="none" w:sz="0" w:space="0" w:color="auto"/>
                <w:bottom w:val="none" w:sz="0" w:space="0" w:color="auto"/>
                <w:right w:val="none" w:sz="0" w:space="0" w:color="auto"/>
              </w:divBdr>
            </w:div>
            <w:div w:id="543758897">
              <w:marLeft w:val="0"/>
              <w:marRight w:val="0"/>
              <w:marTop w:val="0"/>
              <w:marBottom w:val="0"/>
              <w:divBdr>
                <w:top w:val="none" w:sz="0" w:space="0" w:color="auto"/>
                <w:left w:val="none" w:sz="0" w:space="0" w:color="auto"/>
                <w:bottom w:val="none" w:sz="0" w:space="0" w:color="auto"/>
                <w:right w:val="none" w:sz="0" w:space="0" w:color="auto"/>
              </w:divBdr>
            </w:div>
            <w:div w:id="1286548090">
              <w:marLeft w:val="0"/>
              <w:marRight w:val="0"/>
              <w:marTop w:val="0"/>
              <w:marBottom w:val="0"/>
              <w:divBdr>
                <w:top w:val="none" w:sz="0" w:space="0" w:color="auto"/>
                <w:left w:val="none" w:sz="0" w:space="0" w:color="auto"/>
                <w:bottom w:val="none" w:sz="0" w:space="0" w:color="auto"/>
                <w:right w:val="none" w:sz="0" w:space="0" w:color="auto"/>
              </w:divBdr>
            </w:div>
            <w:div w:id="220364327">
              <w:marLeft w:val="0"/>
              <w:marRight w:val="0"/>
              <w:marTop w:val="0"/>
              <w:marBottom w:val="0"/>
              <w:divBdr>
                <w:top w:val="none" w:sz="0" w:space="0" w:color="auto"/>
                <w:left w:val="none" w:sz="0" w:space="0" w:color="auto"/>
                <w:bottom w:val="none" w:sz="0" w:space="0" w:color="auto"/>
                <w:right w:val="none" w:sz="0" w:space="0" w:color="auto"/>
              </w:divBdr>
            </w:div>
          </w:divsChild>
        </w:div>
        <w:div w:id="568075362">
          <w:marLeft w:val="0"/>
          <w:marRight w:val="0"/>
          <w:marTop w:val="0"/>
          <w:marBottom w:val="0"/>
          <w:divBdr>
            <w:top w:val="none" w:sz="0" w:space="0" w:color="auto"/>
            <w:left w:val="none" w:sz="0" w:space="0" w:color="auto"/>
            <w:bottom w:val="none" w:sz="0" w:space="0" w:color="auto"/>
            <w:right w:val="none" w:sz="0" w:space="0" w:color="auto"/>
          </w:divBdr>
        </w:div>
        <w:div w:id="1538200560">
          <w:marLeft w:val="0"/>
          <w:marRight w:val="0"/>
          <w:marTop w:val="0"/>
          <w:marBottom w:val="0"/>
          <w:divBdr>
            <w:top w:val="none" w:sz="0" w:space="0" w:color="auto"/>
            <w:left w:val="none" w:sz="0" w:space="0" w:color="auto"/>
            <w:bottom w:val="none" w:sz="0" w:space="0" w:color="auto"/>
            <w:right w:val="none" w:sz="0" w:space="0" w:color="auto"/>
          </w:divBdr>
          <w:divsChild>
            <w:div w:id="1030690503">
              <w:marLeft w:val="-75"/>
              <w:marRight w:val="0"/>
              <w:marTop w:val="30"/>
              <w:marBottom w:val="30"/>
              <w:divBdr>
                <w:top w:val="none" w:sz="0" w:space="0" w:color="auto"/>
                <w:left w:val="none" w:sz="0" w:space="0" w:color="auto"/>
                <w:bottom w:val="none" w:sz="0" w:space="0" w:color="auto"/>
                <w:right w:val="none" w:sz="0" w:space="0" w:color="auto"/>
              </w:divBdr>
              <w:divsChild>
                <w:div w:id="439450645">
                  <w:marLeft w:val="0"/>
                  <w:marRight w:val="0"/>
                  <w:marTop w:val="0"/>
                  <w:marBottom w:val="0"/>
                  <w:divBdr>
                    <w:top w:val="none" w:sz="0" w:space="0" w:color="auto"/>
                    <w:left w:val="none" w:sz="0" w:space="0" w:color="auto"/>
                    <w:bottom w:val="none" w:sz="0" w:space="0" w:color="auto"/>
                    <w:right w:val="none" w:sz="0" w:space="0" w:color="auto"/>
                  </w:divBdr>
                  <w:divsChild>
                    <w:div w:id="1359618204">
                      <w:marLeft w:val="0"/>
                      <w:marRight w:val="0"/>
                      <w:marTop w:val="0"/>
                      <w:marBottom w:val="0"/>
                      <w:divBdr>
                        <w:top w:val="none" w:sz="0" w:space="0" w:color="auto"/>
                        <w:left w:val="none" w:sz="0" w:space="0" w:color="auto"/>
                        <w:bottom w:val="none" w:sz="0" w:space="0" w:color="auto"/>
                        <w:right w:val="none" w:sz="0" w:space="0" w:color="auto"/>
                      </w:divBdr>
                    </w:div>
                  </w:divsChild>
                </w:div>
                <w:div w:id="835262197">
                  <w:marLeft w:val="0"/>
                  <w:marRight w:val="0"/>
                  <w:marTop w:val="0"/>
                  <w:marBottom w:val="0"/>
                  <w:divBdr>
                    <w:top w:val="none" w:sz="0" w:space="0" w:color="auto"/>
                    <w:left w:val="none" w:sz="0" w:space="0" w:color="auto"/>
                    <w:bottom w:val="none" w:sz="0" w:space="0" w:color="auto"/>
                    <w:right w:val="none" w:sz="0" w:space="0" w:color="auto"/>
                  </w:divBdr>
                  <w:divsChild>
                    <w:div w:id="1468469984">
                      <w:marLeft w:val="0"/>
                      <w:marRight w:val="0"/>
                      <w:marTop w:val="0"/>
                      <w:marBottom w:val="0"/>
                      <w:divBdr>
                        <w:top w:val="none" w:sz="0" w:space="0" w:color="auto"/>
                        <w:left w:val="none" w:sz="0" w:space="0" w:color="auto"/>
                        <w:bottom w:val="none" w:sz="0" w:space="0" w:color="auto"/>
                        <w:right w:val="none" w:sz="0" w:space="0" w:color="auto"/>
                      </w:divBdr>
                    </w:div>
                  </w:divsChild>
                </w:div>
                <w:div w:id="1874032042">
                  <w:marLeft w:val="0"/>
                  <w:marRight w:val="0"/>
                  <w:marTop w:val="0"/>
                  <w:marBottom w:val="0"/>
                  <w:divBdr>
                    <w:top w:val="none" w:sz="0" w:space="0" w:color="auto"/>
                    <w:left w:val="none" w:sz="0" w:space="0" w:color="auto"/>
                    <w:bottom w:val="none" w:sz="0" w:space="0" w:color="auto"/>
                    <w:right w:val="none" w:sz="0" w:space="0" w:color="auto"/>
                  </w:divBdr>
                  <w:divsChild>
                    <w:div w:id="1346664389">
                      <w:marLeft w:val="0"/>
                      <w:marRight w:val="0"/>
                      <w:marTop w:val="0"/>
                      <w:marBottom w:val="0"/>
                      <w:divBdr>
                        <w:top w:val="none" w:sz="0" w:space="0" w:color="auto"/>
                        <w:left w:val="none" w:sz="0" w:space="0" w:color="auto"/>
                        <w:bottom w:val="none" w:sz="0" w:space="0" w:color="auto"/>
                        <w:right w:val="none" w:sz="0" w:space="0" w:color="auto"/>
                      </w:divBdr>
                    </w:div>
                  </w:divsChild>
                </w:div>
                <w:div w:id="1896239809">
                  <w:marLeft w:val="0"/>
                  <w:marRight w:val="0"/>
                  <w:marTop w:val="0"/>
                  <w:marBottom w:val="0"/>
                  <w:divBdr>
                    <w:top w:val="none" w:sz="0" w:space="0" w:color="auto"/>
                    <w:left w:val="none" w:sz="0" w:space="0" w:color="auto"/>
                    <w:bottom w:val="none" w:sz="0" w:space="0" w:color="auto"/>
                    <w:right w:val="none" w:sz="0" w:space="0" w:color="auto"/>
                  </w:divBdr>
                  <w:divsChild>
                    <w:div w:id="385639604">
                      <w:marLeft w:val="0"/>
                      <w:marRight w:val="0"/>
                      <w:marTop w:val="0"/>
                      <w:marBottom w:val="0"/>
                      <w:divBdr>
                        <w:top w:val="none" w:sz="0" w:space="0" w:color="auto"/>
                        <w:left w:val="none" w:sz="0" w:space="0" w:color="auto"/>
                        <w:bottom w:val="none" w:sz="0" w:space="0" w:color="auto"/>
                        <w:right w:val="none" w:sz="0" w:space="0" w:color="auto"/>
                      </w:divBdr>
                    </w:div>
                  </w:divsChild>
                </w:div>
                <w:div w:id="738094220">
                  <w:marLeft w:val="0"/>
                  <w:marRight w:val="0"/>
                  <w:marTop w:val="0"/>
                  <w:marBottom w:val="0"/>
                  <w:divBdr>
                    <w:top w:val="none" w:sz="0" w:space="0" w:color="auto"/>
                    <w:left w:val="none" w:sz="0" w:space="0" w:color="auto"/>
                    <w:bottom w:val="none" w:sz="0" w:space="0" w:color="auto"/>
                    <w:right w:val="none" w:sz="0" w:space="0" w:color="auto"/>
                  </w:divBdr>
                  <w:divsChild>
                    <w:div w:id="1453859116">
                      <w:marLeft w:val="0"/>
                      <w:marRight w:val="0"/>
                      <w:marTop w:val="0"/>
                      <w:marBottom w:val="0"/>
                      <w:divBdr>
                        <w:top w:val="none" w:sz="0" w:space="0" w:color="auto"/>
                        <w:left w:val="none" w:sz="0" w:space="0" w:color="auto"/>
                        <w:bottom w:val="none" w:sz="0" w:space="0" w:color="auto"/>
                        <w:right w:val="none" w:sz="0" w:space="0" w:color="auto"/>
                      </w:divBdr>
                    </w:div>
                  </w:divsChild>
                </w:div>
                <w:div w:id="1785539217">
                  <w:marLeft w:val="0"/>
                  <w:marRight w:val="0"/>
                  <w:marTop w:val="0"/>
                  <w:marBottom w:val="0"/>
                  <w:divBdr>
                    <w:top w:val="none" w:sz="0" w:space="0" w:color="auto"/>
                    <w:left w:val="none" w:sz="0" w:space="0" w:color="auto"/>
                    <w:bottom w:val="none" w:sz="0" w:space="0" w:color="auto"/>
                    <w:right w:val="none" w:sz="0" w:space="0" w:color="auto"/>
                  </w:divBdr>
                  <w:divsChild>
                    <w:div w:id="1682002375">
                      <w:marLeft w:val="0"/>
                      <w:marRight w:val="0"/>
                      <w:marTop w:val="0"/>
                      <w:marBottom w:val="0"/>
                      <w:divBdr>
                        <w:top w:val="none" w:sz="0" w:space="0" w:color="auto"/>
                        <w:left w:val="none" w:sz="0" w:space="0" w:color="auto"/>
                        <w:bottom w:val="none" w:sz="0" w:space="0" w:color="auto"/>
                        <w:right w:val="none" w:sz="0" w:space="0" w:color="auto"/>
                      </w:divBdr>
                    </w:div>
                  </w:divsChild>
                </w:div>
                <w:div w:id="618798070">
                  <w:marLeft w:val="0"/>
                  <w:marRight w:val="0"/>
                  <w:marTop w:val="0"/>
                  <w:marBottom w:val="0"/>
                  <w:divBdr>
                    <w:top w:val="none" w:sz="0" w:space="0" w:color="auto"/>
                    <w:left w:val="none" w:sz="0" w:space="0" w:color="auto"/>
                    <w:bottom w:val="none" w:sz="0" w:space="0" w:color="auto"/>
                    <w:right w:val="none" w:sz="0" w:space="0" w:color="auto"/>
                  </w:divBdr>
                  <w:divsChild>
                    <w:div w:id="429785129">
                      <w:marLeft w:val="0"/>
                      <w:marRight w:val="0"/>
                      <w:marTop w:val="0"/>
                      <w:marBottom w:val="0"/>
                      <w:divBdr>
                        <w:top w:val="none" w:sz="0" w:space="0" w:color="auto"/>
                        <w:left w:val="none" w:sz="0" w:space="0" w:color="auto"/>
                        <w:bottom w:val="none" w:sz="0" w:space="0" w:color="auto"/>
                        <w:right w:val="none" w:sz="0" w:space="0" w:color="auto"/>
                      </w:divBdr>
                    </w:div>
                  </w:divsChild>
                </w:div>
                <w:div w:id="252473224">
                  <w:marLeft w:val="0"/>
                  <w:marRight w:val="0"/>
                  <w:marTop w:val="0"/>
                  <w:marBottom w:val="0"/>
                  <w:divBdr>
                    <w:top w:val="none" w:sz="0" w:space="0" w:color="auto"/>
                    <w:left w:val="none" w:sz="0" w:space="0" w:color="auto"/>
                    <w:bottom w:val="none" w:sz="0" w:space="0" w:color="auto"/>
                    <w:right w:val="none" w:sz="0" w:space="0" w:color="auto"/>
                  </w:divBdr>
                  <w:divsChild>
                    <w:div w:id="1209220644">
                      <w:marLeft w:val="0"/>
                      <w:marRight w:val="0"/>
                      <w:marTop w:val="0"/>
                      <w:marBottom w:val="0"/>
                      <w:divBdr>
                        <w:top w:val="none" w:sz="0" w:space="0" w:color="auto"/>
                        <w:left w:val="none" w:sz="0" w:space="0" w:color="auto"/>
                        <w:bottom w:val="none" w:sz="0" w:space="0" w:color="auto"/>
                        <w:right w:val="none" w:sz="0" w:space="0" w:color="auto"/>
                      </w:divBdr>
                    </w:div>
                  </w:divsChild>
                </w:div>
                <w:div w:id="837228363">
                  <w:marLeft w:val="0"/>
                  <w:marRight w:val="0"/>
                  <w:marTop w:val="0"/>
                  <w:marBottom w:val="0"/>
                  <w:divBdr>
                    <w:top w:val="none" w:sz="0" w:space="0" w:color="auto"/>
                    <w:left w:val="none" w:sz="0" w:space="0" w:color="auto"/>
                    <w:bottom w:val="none" w:sz="0" w:space="0" w:color="auto"/>
                    <w:right w:val="none" w:sz="0" w:space="0" w:color="auto"/>
                  </w:divBdr>
                  <w:divsChild>
                    <w:div w:id="1391149772">
                      <w:marLeft w:val="0"/>
                      <w:marRight w:val="0"/>
                      <w:marTop w:val="0"/>
                      <w:marBottom w:val="0"/>
                      <w:divBdr>
                        <w:top w:val="none" w:sz="0" w:space="0" w:color="auto"/>
                        <w:left w:val="none" w:sz="0" w:space="0" w:color="auto"/>
                        <w:bottom w:val="none" w:sz="0" w:space="0" w:color="auto"/>
                        <w:right w:val="none" w:sz="0" w:space="0" w:color="auto"/>
                      </w:divBdr>
                    </w:div>
                  </w:divsChild>
                </w:div>
                <w:div w:id="1081558220">
                  <w:marLeft w:val="0"/>
                  <w:marRight w:val="0"/>
                  <w:marTop w:val="0"/>
                  <w:marBottom w:val="0"/>
                  <w:divBdr>
                    <w:top w:val="none" w:sz="0" w:space="0" w:color="auto"/>
                    <w:left w:val="none" w:sz="0" w:space="0" w:color="auto"/>
                    <w:bottom w:val="none" w:sz="0" w:space="0" w:color="auto"/>
                    <w:right w:val="none" w:sz="0" w:space="0" w:color="auto"/>
                  </w:divBdr>
                  <w:divsChild>
                    <w:div w:id="520363348">
                      <w:marLeft w:val="0"/>
                      <w:marRight w:val="0"/>
                      <w:marTop w:val="0"/>
                      <w:marBottom w:val="0"/>
                      <w:divBdr>
                        <w:top w:val="none" w:sz="0" w:space="0" w:color="auto"/>
                        <w:left w:val="none" w:sz="0" w:space="0" w:color="auto"/>
                        <w:bottom w:val="none" w:sz="0" w:space="0" w:color="auto"/>
                        <w:right w:val="none" w:sz="0" w:space="0" w:color="auto"/>
                      </w:divBdr>
                    </w:div>
                  </w:divsChild>
                </w:div>
                <w:div w:id="784075614">
                  <w:marLeft w:val="0"/>
                  <w:marRight w:val="0"/>
                  <w:marTop w:val="0"/>
                  <w:marBottom w:val="0"/>
                  <w:divBdr>
                    <w:top w:val="none" w:sz="0" w:space="0" w:color="auto"/>
                    <w:left w:val="none" w:sz="0" w:space="0" w:color="auto"/>
                    <w:bottom w:val="none" w:sz="0" w:space="0" w:color="auto"/>
                    <w:right w:val="none" w:sz="0" w:space="0" w:color="auto"/>
                  </w:divBdr>
                  <w:divsChild>
                    <w:div w:id="1669867117">
                      <w:marLeft w:val="0"/>
                      <w:marRight w:val="0"/>
                      <w:marTop w:val="0"/>
                      <w:marBottom w:val="0"/>
                      <w:divBdr>
                        <w:top w:val="none" w:sz="0" w:space="0" w:color="auto"/>
                        <w:left w:val="none" w:sz="0" w:space="0" w:color="auto"/>
                        <w:bottom w:val="none" w:sz="0" w:space="0" w:color="auto"/>
                        <w:right w:val="none" w:sz="0" w:space="0" w:color="auto"/>
                      </w:divBdr>
                    </w:div>
                    <w:div w:id="1061059177">
                      <w:marLeft w:val="0"/>
                      <w:marRight w:val="0"/>
                      <w:marTop w:val="0"/>
                      <w:marBottom w:val="0"/>
                      <w:divBdr>
                        <w:top w:val="none" w:sz="0" w:space="0" w:color="auto"/>
                        <w:left w:val="none" w:sz="0" w:space="0" w:color="auto"/>
                        <w:bottom w:val="none" w:sz="0" w:space="0" w:color="auto"/>
                        <w:right w:val="none" w:sz="0" w:space="0" w:color="auto"/>
                      </w:divBdr>
                    </w:div>
                  </w:divsChild>
                </w:div>
                <w:div w:id="1620144540">
                  <w:marLeft w:val="0"/>
                  <w:marRight w:val="0"/>
                  <w:marTop w:val="0"/>
                  <w:marBottom w:val="0"/>
                  <w:divBdr>
                    <w:top w:val="none" w:sz="0" w:space="0" w:color="auto"/>
                    <w:left w:val="none" w:sz="0" w:space="0" w:color="auto"/>
                    <w:bottom w:val="none" w:sz="0" w:space="0" w:color="auto"/>
                    <w:right w:val="none" w:sz="0" w:space="0" w:color="auto"/>
                  </w:divBdr>
                  <w:divsChild>
                    <w:div w:id="419764345">
                      <w:marLeft w:val="0"/>
                      <w:marRight w:val="0"/>
                      <w:marTop w:val="0"/>
                      <w:marBottom w:val="0"/>
                      <w:divBdr>
                        <w:top w:val="none" w:sz="0" w:space="0" w:color="auto"/>
                        <w:left w:val="none" w:sz="0" w:space="0" w:color="auto"/>
                        <w:bottom w:val="none" w:sz="0" w:space="0" w:color="auto"/>
                        <w:right w:val="none" w:sz="0" w:space="0" w:color="auto"/>
                      </w:divBdr>
                    </w:div>
                  </w:divsChild>
                </w:div>
                <w:div w:id="851533023">
                  <w:marLeft w:val="0"/>
                  <w:marRight w:val="0"/>
                  <w:marTop w:val="0"/>
                  <w:marBottom w:val="0"/>
                  <w:divBdr>
                    <w:top w:val="none" w:sz="0" w:space="0" w:color="auto"/>
                    <w:left w:val="none" w:sz="0" w:space="0" w:color="auto"/>
                    <w:bottom w:val="none" w:sz="0" w:space="0" w:color="auto"/>
                    <w:right w:val="none" w:sz="0" w:space="0" w:color="auto"/>
                  </w:divBdr>
                  <w:divsChild>
                    <w:div w:id="421223715">
                      <w:marLeft w:val="0"/>
                      <w:marRight w:val="0"/>
                      <w:marTop w:val="0"/>
                      <w:marBottom w:val="0"/>
                      <w:divBdr>
                        <w:top w:val="none" w:sz="0" w:space="0" w:color="auto"/>
                        <w:left w:val="none" w:sz="0" w:space="0" w:color="auto"/>
                        <w:bottom w:val="none" w:sz="0" w:space="0" w:color="auto"/>
                        <w:right w:val="none" w:sz="0" w:space="0" w:color="auto"/>
                      </w:divBdr>
                    </w:div>
                  </w:divsChild>
                </w:div>
                <w:div w:id="300615503">
                  <w:marLeft w:val="0"/>
                  <w:marRight w:val="0"/>
                  <w:marTop w:val="0"/>
                  <w:marBottom w:val="0"/>
                  <w:divBdr>
                    <w:top w:val="none" w:sz="0" w:space="0" w:color="auto"/>
                    <w:left w:val="none" w:sz="0" w:space="0" w:color="auto"/>
                    <w:bottom w:val="none" w:sz="0" w:space="0" w:color="auto"/>
                    <w:right w:val="none" w:sz="0" w:space="0" w:color="auto"/>
                  </w:divBdr>
                  <w:divsChild>
                    <w:div w:id="1767268462">
                      <w:marLeft w:val="0"/>
                      <w:marRight w:val="0"/>
                      <w:marTop w:val="0"/>
                      <w:marBottom w:val="0"/>
                      <w:divBdr>
                        <w:top w:val="none" w:sz="0" w:space="0" w:color="auto"/>
                        <w:left w:val="none" w:sz="0" w:space="0" w:color="auto"/>
                        <w:bottom w:val="none" w:sz="0" w:space="0" w:color="auto"/>
                        <w:right w:val="none" w:sz="0" w:space="0" w:color="auto"/>
                      </w:divBdr>
                    </w:div>
                    <w:div w:id="2067948171">
                      <w:marLeft w:val="0"/>
                      <w:marRight w:val="0"/>
                      <w:marTop w:val="0"/>
                      <w:marBottom w:val="0"/>
                      <w:divBdr>
                        <w:top w:val="none" w:sz="0" w:space="0" w:color="auto"/>
                        <w:left w:val="none" w:sz="0" w:space="0" w:color="auto"/>
                        <w:bottom w:val="none" w:sz="0" w:space="0" w:color="auto"/>
                        <w:right w:val="none" w:sz="0" w:space="0" w:color="auto"/>
                      </w:divBdr>
                    </w:div>
                  </w:divsChild>
                </w:div>
                <w:div w:id="1439057601">
                  <w:marLeft w:val="0"/>
                  <w:marRight w:val="0"/>
                  <w:marTop w:val="0"/>
                  <w:marBottom w:val="0"/>
                  <w:divBdr>
                    <w:top w:val="none" w:sz="0" w:space="0" w:color="auto"/>
                    <w:left w:val="none" w:sz="0" w:space="0" w:color="auto"/>
                    <w:bottom w:val="none" w:sz="0" w:space="0" w:color="auto"/>
                    <w:right w:val="none" w:sz="0" w:space="0" w:color="auto"/>
                  </w:divBdr>
                  <w:divsChild>
                    <w:div w:id="1578132383">
                      <w:marLeft w:val="0"/>
                      <w:marRight w:val="0"/>
                      <w:marTop w:val="0"/>
                      <w:marBottom w:val="0"/>
                      <w:divBdr>
                        <w:top w:val="none" w:sz="0" w:space="0" w:color="auto"/>
                        <w:left w:val="none" w:sz="0" w:space="0" w:color="auto"/>
                        <w:bottom w:val="none" w:sz="0" w:space="0" w:color="auto"/>
                        <w:right w:val="none" w:sz="0" w:space="0" w:color="auto"/>
                      </w:divBdr>
                    </w:div>
                    <w:div w:id="1578437451">
                      <w:marLeft w:val="0"/>
                      <w:marRight w:val="0"/>
                      <w:marTop w:val="0"/>
                      <w:marBottom w:val="0"/>
                      <w:divBdr>
                        <w:top w:val="none" w:sz="0" w:space="0" w:color="auto"/>
                        <w:left w:val="none" w:sz="0" w:space="0" w:color="auto"/>
                        <w:bottom w:val="none" w:sz="0" w:space="0" w:color="auto"/>
                        <w:right w:val="none" w:sz="0" w:space="0" w:color="auto"/>
                      </w:divBdr>
                    </w:div>
                  </w:divsChild>
                </w:div>
                <w:div w:id="1259679740">
                  <w:marLeft w:val="0"/>
                  <w:marRight w:val="0"/>
                  <w:marTop w:val="0"/>
                  <w:marBottom w:val="0"/>
                  <w:divBdr>
                    <w:top w:val="none" w:sz="0" w:space="0" w:color="auto"/>
                    <w:left w:val="none" w:sz="0" w:space="0" w:color="auto"/>
                    <w:bottom w:val="none" w:sz="0" w:space="0" w:color="auto"/>
                    <w:right w:val="none" w:sz="0" w:space="0" w:color="auto"/>
                  </w:divBdr>
                  <w:divsChild>
                    <w:div w:id="54084858">
                      <w:marLeft w:val="0"/>
                      <w:marRight w:val="0"/>
                      <w:marTop w:val="0"/>
                      <w:marBottom w:val="0"/>
                      <w:divBdr>
                        <w:top w:val="none" w:sz="0" w:space="0" w:color="auto"/>
                        <w:left w:val="none" w:sz="0" w:space="0" w:color="auto"/>
                        <w:bottom w:val="none" w:sz="0" w:space="0" w:color="auto"/>
                        <w:right w:val="none" w:sz="0" w:space="0" w:color="auto"/>
                      </w:divBdr>
                    </w:div>
                  </w:divsChild>
                </w:div>
                <w:div w:id="440225636">
                  <w:marLeft w:val="0"/>
                  <w:marRight w:val="0"/>
                  <w:marTop w:val="0"/>
                  <w:marBottom w:val="0"/>
                  <w:divBdr>
                    <w:top w:val="none" w:sz="0" w:space="0" w:color="auto"/>
                    <w:left w:val="none" w:sz="0" w:space="0" w:color="auto"/>
                    <w:bottom w:val="none" w:sz="0" w:space="0" w:color="auto"/>
                    <w:right w:val="none" w:sz="0" w:space="0" w:color="auto"/>
                  </w:divBdr>
                  <w:divsChild>
                    <w:div w:id="1617329362">
                      <w:marLeft w:val="0"/>
                      <w:marRight w:val="0"/>
                      <w:marTop w:val="0"/>
                      <w:marBottom w:val="0"/>
                      <w:divBdr>
                        <w:top w:val="none" w:sz="0" w:space="0" w:color="auto"/>
                        <w:left w:val="none" w:sz="0" w:space="0" w:color="auto"/>
                        <w:bottom w:val="none" w:sz="0" w:space="0" w:color="auto"/>
                        <w:right w:val="none" w:sz="0" w:space="0" w:color="auto"/>
                      </w:divBdr>
                    </w:div>
                    <w:div w:id="521668105">
                      <w:marLeft w:val="0"/>
                      <w:marRight w:val="0"/>
                      <w:marTop w:val="0"/>
                      <w:marBottom w:val="0"/>
                      <w:divBdr>
                        <w:top w:val="none" w:sz="0" w:space="0" w:color="auto"/>
                        <w:left w:val="none" w:sz="0" w:space="0" w:color="auto"/>
                        <w:bottom w:val="none" w:sz="0" w:space="0" w:color="auto"/>
                        <w:right w:val="none" w:sz="0" w:space="0" w:color="auto"/>
                      </w:divBdr>
                    </w:div>
                  </w:divsChild>
                </w:div>
                <w:div w:id="1393964384">
                  <w:marLeft w:val="0"/>
                  <w:marRight w:val="0"/>
                  <w:marTop w:val="0"/>
                  <w:marBottom w:val="0"/>
                  <w:divBdr>
                    <w:top w:val="none" w:sz="0" w:space="0" w:color="auto"/>
                    <w:left w:val="none" w:sz="0" w:space="0" w:color="auto"/>
                    <w:bottom w:val="none" w:sz="0" w:space="0" w:color="auto"/>
                    <w:right w:val="none" w:sz="0" w:space="0" w:color="auto"/>
                  </w:divBdr>
                  <w:divsChild>
                    <w:div w:id="12248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91009">
          <w:marLeft w:val="0"/>
          <w:marRight w:val="0"/>
          <w:marTop w:val="0"/>
          <w:marBottom w:val="0"/>
          <w:divBdr>
            <w:top w:val="none" w:sz="0" w:space="0" w:color="auto"/>
            <w:left w:val="none" w:sz="0" w:space="0" w:color="auto"/>
            <w:bottom w:val="none" w:sz="0" w:space="0" w:color="auto"/>
            <w:right w:val="none" w:sz="0" w:space="0" w:color="auto"/>
          </w:divBdr>
        </w:div>
        <w:div w:id="1668825297">
          <w:marLeft w:val="0"/>
          <w:marRight w:val="0"/>
          <w:marTop w:val="0"/>
          <w:marBottom w:val="0"/>
          <w:divBdr>
            <w:top w:val="none" w:sz="0" w:space="0" w:color="auto"/>
            <w:left w:val="none" w:sz="0" w:space="0" w:color="auto"/>
            <w:bottom w:val="none" w:sz="0" w:space="0" w:color="auto"/>
            <w:right w:val="none" w:sz="0" w:space="0" w:color="auto"/>
          </w:divBdr>
        </w:div>
        <w:div w:id="596713425">
          <w:marLeft w:val="0"/>
          <w:marRight w:val="0"/>
          <w:marTop w:val="0"/>
          <w:marBottom w:val="0"/>
          <w:divBdr>
            <w:top w:val="none" w:sz="0" w:space="0" w:color="auto"/>
            <w:left w:val="none" w:sz="0" w:space="0" w:color="auto"/>
            <w:bottom w:val="none" w:sz="0" w:space="0" w:color="auto"/>
            <w:right w:val="none" w:sz="0" w:space="0" w:color="auto"/>
          </w:divBdr>
        </w:div>
        <w:div w:id="355544057">
          <w:marLeft w:val="0"/>
          <w:marRight w:val="0"/>
          <w:marTop w:val="0"/>
          <w:marBottom w:val="0"/>
          <w:divBdr>
            <w:top w:val="none" w:sz="0" w:space="0" w:color="auto"/>
            <w:left w:val="none" w:sz="0" w:space="0" w:color="auto"/>
            <w:bottom w:val="none" w:sz="0" w:space="0" w:color="auto"/>
            <w:right w:val="none" w:sz="0" w:space="0" w:color="auto"/>
          </w:divBdr>
        </w:div>
        <w:div w:id="210045895">
          <w:marLeft w:val="0"/>
          <w:marRight w:val="0"/>
          <w:marTop w:val="0"/>
          <w:marBottom w:val="0"/>
          <w:divBdr>
            <w:top w:val="none" w:sz="0" w:space="0" w:color="auto"/>
            <w:left w:val="none" w:sz="0" w:space="0" w:color="auto"/>
            <w:bottom w:val="none" w:sz="0" w:space="0" w:color="auto"/>
            <w:right w:val="none" w:sz="0" w:space="0" w:color="auto"/>
          </w:divBdr>
        </w:div>
        <w:div w:id="1252810003">
          <w:marLeft w:val="0"/>
          <w:marRight w:val="0"/>
          <w:marTop w:val="0"/>
          <w:marBottom w:val="0"/>
          <w:divBdr>
            <w:top w:val="none" w:sz="0" w:space="0" w:color="auto"/>
            <w:left w:val="none" w:sz="0" w:space="0" w:color="auto"/>
            <w:bottom w:val="none" w:sz="0" w:space="0" w:color="auto"/>
            <w:right w:val="none" w:sz="0" w:space="0" w:color="auto"/>
          </w:divBdr>
        </w:div>
      </w:divsChild>
    </w:div>
    <w:div w:id="21342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am02.safelinks.protection.outlook.com/?url=https%3A%2F%2Fwww.colombiacompra.gov.co%2Fwp-content%2Fuploads%2F2025%2F05%2FGUIA-DE-LINEAMIENTOS-DE-TRANSPARENCIA-Y-SELECCION-OBJETIVA-1.0.pdf&amp;data=05%7C02%7Calejandro.sarmiento%40colombiacompra.gov.co%7Ca6218c48ccc04b19a61108dd97aecc6f%7C7b09041e245149d08cb179d5e3d8c1be%7C0%7C0%7C638833499204031869%7CUnknown%7CTWFpbGZsb3d8eyJFbXB0eU1hcGkiOnRydWUsIlYiOiIwLjAuMDAwMCIsIlAiOiJXaW4zMiIsIkFOIjoiTWFpbCIsIldUIjoyfQ%3D%3D%7C0%7C%7C%7C&amp;sdata=BNPGPGRZZPHN9b0zJi5VJtxyBM8%2Fb8kWxn04BiZ%2ByF4%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latoria.colombiacompra.gov.co/busqueda/concepto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olaboracion.dnp.gov.co/CDT/DNP/Soporte%20t%c3%a9cnico%20Ley%20del%20Vigilante.pdf" TargetMode="External"/><Relationship Id="rId2" Type="http://schemas.openxmlformats.org/officeDocument/2006/relationships/hyperlink" Target="https://ec.europa.eu/environment/gpp/pdf/Buying-Green-Handbook-3rd-Edition.pdf" TargetMode="External"/><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cb9e4b-f1d1-4245-83ec-6cad768d538a" xsi:nil="true"/>
    <lcf76f155ced4ddcb4097134ff3c332f xmlns="9d85dbaf-23eb-4e57-a637-93dcacc8b1a1">
      <Terms xmlns="http://schemas.microsoft.com/office/infopath/2007/PartnerControls"/>
    </lcf76f155ced4ddcb4097134ff3c332f>
    <No xmlns="9d85dbaf-23eb-4e57-a637-93dcacc8b1a1" xsi:nil="true"/>
    <_Flow_SignoffStatus xmlns="9d85dbaf-23eb-4e57-a637-93dcacc8b1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618BE-28CB-4D69-955E-CDA788483BED}">
  <ds:schemaRefs>
    <ds:schemaRef ds:uri="http://schemas.microsoft.com/office/2006/metadata/properties"/>
    <ds:schemaRef ds:uri="http://schemas.microsoft.com/office/infopath/2007/PartnerControls"/>
    <ds:schemaRef ds:uri="a6cb9e4b-f1d1-4245-83ec-6cad768d538a"/>
    <ds:schemaRef ds:uri="9d85dbaf-23eb-4e57-a637-93dcacc8b1a1"/>
  </ds:schemaRefs>
</ds:datastoreItem>
</file>

<file path=customXml/itemProps2.xml><?xml version="1.0" encoding="utf-8"?>
<ds:datastoreItem xmlns:ds="http://schemas.openxmlformats.org/officeDocument/2006/customXml" ds:itemID="{77DE56D0-3D3C-4B67-9A5E-B8BF9810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0637E-D058-473B-8FE7-AA861F69C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8345</Words>
  <Characters>47570</Characters>
  <Application>Microsoft Office Word</Application>
  <DocSecurity>0</DocSecurity>
  <Lines>396</Lines>
  <Paragraphs>111</Paragraphs>
  <ScaleCrop>false</ScaleCrop>
  <Company/>
  <LinksUpToDate>false</LinksUpToDate>
  <CharactersWithSpaces>55804</CharactersWithSpaces>
  <SharedDoc>false</SharedDoc>
  <HLinks>
    <vt:vector size="36" baseType="variant">
      <vt:variant>
        <vt:i4>7995518</vt:i4>
      </vt:variant>
      <vt:variant>
        <vt:i4>6</vt:i4>
      </vt:variant>
      <vt:variant>
        <vt:i4>0</vt:i4>
      </vt:variant>
      <vt:variant>
        <vt:i4>5</vt:i4>
      </vt:variant>
      <vt:variant>
        <vt:lpwstr>https://nam02.safelinks.protection.outlook.com/?url=https%3A%2F%2Fwww.colombiacompra.gov.co%2Fwp-content%2Fuploads%2F2025%2F05%2FGUIA-DE-LINEAMIENTOS-DE-TRANSPARENCIA-Y-SELECCION-OBJETIVA-1.0.pdf&amp;data=05%7C02%7Calejandro.sarmiento%40colombiacompra.gov.co%7Ca6218c48ccc04b19a61108dd97aecc6f%7C7b09041e245149d08cb179d5e3d8c1be%7C0%7C0%7C638833499204031869%7CUnknown%7CTWFpbGZsb3d8eyJFbXB0eU1hcGkiOnRydWUsIlYiOiIwLjAuMDAwMCIsIlAiOiJXaW4zMiIsIkFOIjoiTWFpbCIsIldUIjoyfQ%3D%3D%7C0%7C%7C%7C&amp;sdata=BNPGPGRZZPHN9b0zJi5VJtxyBM8%2Fb8kWxn04BiZ%2ByF4%3D&amp;reserved=0</vt:lpwstr>
      </vt:variant>
      <vt:variant>
        <vt:lpwstr/>
      </vt:variant>
      <vt:variant>
        <vt:i4>7471218</vt:i4>
      </vt:variant>
      <vt:variant>
        <vt:i4>3</vt:i4>
      </vt:variant>
      <vt:variant>
        <vt:i4>0</vt:i4>
      </vt:variant>
      <vt:variant>
        <vt:i4>5</vt:i4>
      </vt:variant>
      <vt:variant>
        <vt:lpwstr>https://relatoria.colombiacompra.gov.co/busqueda/conceptos</vt:lpwstr>
      </vt:variant>
      <vt:variant>
        <vt:lpwstr/>
      </vt:variant>
      <vt:variant>
        <vt:i4>6815811</vt:i4>
      </vt:variant>
      <vt:variant>
        <vt:i4>0</vt:i4>
      </vt:variant>
      <vt:variant>
        <vt:i4>0</vt:i4>
      </vt:variant>
      <vt:variant>
        <vt:i4>5</vt:i4>
      </vt:variant>
      <vt:variant>
        <vt:lpwstr>mailto:balagueravaliente@gmail.com</vt:lpwstr>
      </vt:variant>
      <vt:variant>
        <vt:lpwstr/>
      </vt:variant>
      <vt:variant>
        <vt:i4>7209085</vt:i4>
      </vt:variant>
      <vt:variant>
        <vt:i4>6</vt:i4>
      </vt:variant>
      <vt:variant>
        <vt:i4>0</vt:i4>
      </vt:variant>
      <vt:variant>
        <vt:i4>5</vt:i4>
      </vt:variant>
      <vt:variant>
        <vt:lpwstr>https://colaboracion.dnp.gov.co/CDT/DNP/Soporte t%c3%a9cnico Ley del Vigilante.pdf</vt:lpwstr>
      </vt:variant>
      <vt:variant>
        <vt:lpwstr/>
      </vt:variant>
      <vt:variant>
        <vt:i4>7864369</vt:i4>
      </vt:variant>
      <vt:variant>
        <vt:i4>3</vt:i4>
      </vt:variant>
      <vt:variant>
        <vt:i4>0</vt:i4>
      </vt:variant>
      <vt:variant>
        <vt:i4>5</vt:i4>
      </vt:variant>
      <vt:variant>
        <vt:lpwstr>https://ec.europa.eu/environment/gpp/pdf/Buying-Green-Handbook-3rd-Edition.pdf</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Ospina Acosta</dc:creator>
  <cp:keywords/>
  <dc:description/>
  <cp:lastModifiedBy>Wilinton Leguizamo</cp:lastModifiedBy>
  <cp:revision>7</cp:revision>
  <cp:lastPrinted>2023-01-10T21:18:00Z</cp:lastPrinted>
  <dcterms:created xsi:type="dcterms:W3CDTF">2025-09-17T14:00:00Z</dcterms:created>
  <dcterms:modified xsi:type="dcterms:W3CDTF">2025-10-09T04:15:00Z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