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2F9B" w14:textId="77777777" w:rsidR="00B33234" w:rsidRPr="00E320CE" w:rsidRDefault="00B33234" w:rsidP="00B33234">
      <w:pPr>
        <w:jc w:val="center"/>
        <w:rPr>
          <w:sz w:val="28"/>
          <w:szCs w:val="28"/>
          <w:lang w:val="es-CO" w:eastAsia="fr-FR"/>
        </w:rPr>
      </w:pPr>
      <w:r w:rsidRPr="00E320CE">
        <w:rPr>
          <w:b/>
          <w:bCs/>
          <w:sz w:val="28"/>
          <w:szCs w:val="28"/>
          <w:lang w:val="es-CO"/>
        </w:rPr>
        <w:t>REPÚBLICA DE COLOMBIA</w:t>
      </w:r>
    </w:p>
    <w:p w14:paraId="6A34213A" w14:textId="77777777" w:rsidR="00B33234" w:rsidRPr="00E320CE" w:rsidRDefault="00B33234" w:rsidP="00B33234">
      <w:pPr>
        <w:jc w:val="center"/>
        <w:rPr>
          <w:sz w:val="28"/>
          <w:szCs w:val="28"/>
          <w:lang w:val="es-CO"/>
        </w:rPr>
      </w:pPr>
      <w:r w:rsidRPr="00E320CE">
        <w:rPr>
          <w:noProof/>
          <w:sz w:val="28"/>
          <w:szCs w:val="28"/>
          <w:lang w:val="es-CO" w:eastAsia="es-CO"/>
        </w:rPr>
        <w:drawing>
          <wp:inline distT="0" distB="0" distL="0" distR="0" wp14:anchorId="2BF8C40E" wp14:editId="01862308">
            <wp:extent cx="800100" cy="800100"/>
            <wp:effectExtent l="0" t="0" r="0" b="0"/>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535544" descr="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6CEB98B1" w14:textId="77777777" w:rsidR="00B33234" w:rsidRPr="00E320CE" w:rsidRDefault="00B33234" w:rsidP="00B33234">
      <w:pPr>
        <w:jc w:val="center"/>
        <w:rPr>
          <w:b/>
          <w:bCs/>
          <w:sz w:val="28"/>
          <w:szCs w:val="28"/>
          <w:lang w:val="es-CO"/>
        </w:rPr>
      </w:pPr>
      <w:r w:rsidRPr="00E320CE">
        <w:rPr>
          <w:b/>
          <w:bCs/>
          <w:sz w:val="28"/>
          <w:szCs w:val="28"/>
          <w:lang w:val="es-CO"/>
        </w:rPr>
        <w:t>CORTE CONSTITUCIONAL</w:t>
      </w:r>
    </w:p>
    <w:p w14:paraId="7187F7B0" w14:textId="46C36AF7" w:rsidR="4A3752BA" w:rsidRPr="00E320CE" w:rsidRDefault="4A3752BA" w:rsidP="4A3752BA">
      <w:pPr>
        <w:jc w:val="center"/>
        <w:rPr>
          <w:b/>
          <w:bCs/>
          <w:sz w:val="28"/>
          <w:szCs w:val="28"/>
          <w:lang w:val="es-CO"/>
        </w:rPr>
      </w:pPr>
    </w:p>
    <w:p w14:paraId="254DAA59" w14:textId="48D28209" w:rsidR="00B33234" w:rsidRPr="00E320CE" w:rsidRDefault="001407EA" w:rsidP="00AB2A19">
      <w:pPr>
        <w:jc w:val="center"/>
        <w:rPr>
          <w:b/>
          <w:bCs/>
          <w:sz w:val="28"/>
          <w:szCs w:val="28"/>
          <w:lang w:val="es-CO"/>
        </w:rPr>
      </w:pPr>
      <w:r w:rsidRPr="00E320CE">
        <w:rPr>
          <w:b/>
          <w:bCs/>
          <w:sz w:val="28"/>
          <w:szCs w:val="28"/>
          <w:lang w:val="es-CO"/>
        </w:rPr>
        <w:t>Sala Primera de Revisión</w:t>
      </w:r>
      <w:r w:rsidR="003E10F1" w:rsidRPr="00E320CE">
        <w:rPr>
          <w:b/>
          <w:bCs/>
          <w:sz w:val="28"/>
          <w:szCs w:val="28"/>
          <w:lang w:val="es-CO"/>
        </w:rPr>
        <w:t xml:space="preserve"> de Tutelas </w:t>
      </w:r>
    </w:p>
    <w:p w14:paraId="00C71FD8" w14:textId="77777777" w:rsidR="001407EA" w:rsidRPr="00E320CE" w:rsidRDefault="001407EA" w:rsidP="00AB2A19">
      <w:pPr>
        <w:jc w:val="center"/>
        <w:rPr>
          <w:b/>
          <w:bCs/>
          <w:sz w:val="28"/>
          <w:szCs w:val="28"/>
          <w:lang w:val="es-CO"/>
        </w:rPr>
      </w:pPr>
    </w:p>
    <w:p w14:paraId="6CA0BEF2" w14:textId="3936460E" w:rsidR="001407EA" w:rsidRPr="00E320CE" w:rsidRDefault="001407EA" w:rsidP="00AB2A19">
      <w:pPr>
        <w:jc w:val="center"/>
        <w:rPr>
          <w:sz w:val="28"/>
          <w:szCs w:val="28"/>
          <w:lang w:val="es-CO"/>
        </w:rPr>
      </w:pPr>
      <w:r w:rsidRPr="00E320CE">
        <w:rPr>
          <w:sz w:val="28"/>
          <w:szCs w:val="28"/>
          <w:lang w:val="es-CO"/>
        </w:rPr>
        <w:t>Sentencia T-</w:t>
      </w:r>
      <w:r w:rsidR="00466B76" w:rsidRPr="00E320CE">
        <w:rPr>
          <w:sz w:val="28"/>
          <w:szCs w:val="28"/>
          <w:lang w:val="es-CO"/>
        </w:rPr>
        <w:t>090</w:t>
      </w:r>
      <w:r w:rsidRPr="00E320CE">
        <w:rPr>
          <w:sz w:val="28"/>
          <w:szCs w:val="28"/>
          <w:lang w:val="es-CO"/>
        </w:rPr>
        <w:t xml:space="preserve"> de 202</w:t>
      </w:r>
      <w:r w:rsidR="00286BA4" w:rsidRPr="00E320CE">
        <w:rPr>
          <w:sz w:val="28"/>
          <w:szCs w:val="28"/>
          <w:lang w:val="es-CO"/>
        </w:rPr>
        <w:t>5</w:t>
      </w:r>
    </w:p>
    <w:p w14:paraId="66A97593" w14:textId="77777777" w:rsidR="00B33234" w:rsidRPr="00E320CE" w:rsidRDefault="00B33234" w:rsidP="00B33234">
      <w:pPr>
        <w:ind w:left="4956"/>
        <w:jc w:val="both"/>
        <w:rPr>
          <w:rFonts w:eastAsia="SimSun"/>
          <w:b/>
          <w:bCs/>
          <w:sz w:val="28"/>
          <w:szCs w:val="28"/>
          <w:lang w:val="es-CO"/>
        </w:rPr>
      </w:pPr>
    </w:p>
    <w:p w14:paraId="0E106EC2" w14:textId="4B7FDC12" w:rsidR="00B33234" w:rsidRPr="00E320CE" w:rsidRDefault="00B33234" w:rsidP="00B33234">
      <w:pPr>
        <w:ind w:left="4956"/>
        <w:jc w:val="both"/>
        <w:rPr>
          <w:rFonts w:eastAsia="SimSun"/>
          <w:sz w:val="28"/>
          <w:szCs w:val="28"/>
          <w:lang w:val="es-CO"/>
        </w:rPr>
      </w:pPr>
      <w:r w:rsidRPr="00E320CE">
        <w:rPr>
          <w:rFonts w:eastAsia="SimSun"/>
          <w:b/>
          <w:bCs/>
          <w:sz w:val="28"/>
          <w:szCs w:val="28"/>
          <w:lang w:val="es-CO"/>
        </w:rPr>
        <w:t>Expediente:</w:t>
      </w:r>
      <w:r w:rsidRPr="00E320CE">
        <w:rPr>
          <w:rFonts w:eastAsia="SimSun"/>
          <w:sz w:val="28"/>
          <w:szCs w:val="28"/>
          <w:lang w:val="es-CO"/>
        </w:rPr>
        <w:t xml:space="preserve"> </w:t>
      </w:r>
      <w:r w:rsidR="00286BA4" w:rsidRPr="00E320CE">
        <w:rPr>
          <w:sz w:val="28"/>
          <w:szCs w:val="28"/>
          <w:lang w:val="es-CO"/>
        </w:rPr>
        <w:t>T-10.635.581</w:t>
      </w:r>
    </w:p>
    <w:p w14:paraId="2775C09A" w14:textId="77777777" w:rsidR="00B33234" w:rsidRPr="00E320CE" w:rsidRDefault="00B33234" w:rsidP="00B33234">
      <w:pPr>
        <w:ind w:left="4956"/>
        <w:jc w:val="both"/>
        <w:rPr>
          <w:rFonts w:eastAsia="SimSun"/>
          <w:sz w:val="28"/>
          <w:szCs w:val="28"/>
          <w:lang w:val="es-CO"/>
        </w:rPr>
      </w:pPr>
    </w:p>
    <w:p w14:paraId="15DB3091" w14:textId="504578CA" w:rsidR="00286BA4" w:rsidRPr="00E320CE" w:rsidRDefault="00286BA4" w:rsidP="00286BA4">
      <w:pPr>
        <w:ind w:left="4956"/>
        <w:jc w:val="both"/>
        <w:rPr>
          <w:rFonts w:eastAsia="SimSun"/>
          <w:sz w:val="28"/>
          <w:szCs w:val="28"/>
          <w:lang w:val="es-CO"/>
        </w:rPr>
      </w:pPr>
      <w:r w:rsidRPr="00E320CE">
        <w:rPr>
          <w:sz w:val="28"/>
          <w:szCs w:val="28"/>
          <w:lang w:val="es-CO"/>
        </w:rPr>
        <w:t xml:space="preserve">Acción de tutela presentada por </w:t>
      </w:r>
      <w:r w:rsidR="00E320CE" w:rsidRPr="00E320CE">
        <w:rPr>
          <w:i/>
          <w:iCs/>
          <w:sz w:val="28"/>
          <w:szCs w:val="28"/>
          <w:lang w:val="es-CO"/>
        </w:rPr>
        <w:t>Greta</w:t>
      </w:r>
      <w:r w:rsidRPr="00E320CE" w:rsidDel="006E6781">
        <w:rPr>
          <w:sz w:val="28"/>
          <w:szCs w:val="28"/>
          <w:lang w:val="es-CO"/>
        </w:rPr>
        <w:t xml:space="preserve"> </w:t>
      </w:r>
      <w:r w:rsidRPr="00E320CE">
        <w:rPr>
          <w:sz w:val="28"/>
          <w:szCs w:val="28"/>
          <w:lang w:val="es-CO"/>
        </w:rPr>
        <w:t>contra</w:t>
      </w:r>
      <w:r w:rsidRPr="00E320CE" w:rsidDel="006E6781">
        <w:rPr>
          <w:sz w:val="28"/>
          <w:szCs w:val="28"/>
          <w:lang w:val="es-CO"/>
        </w:rPr>
        <w:t xml:space="preserve"> </w:t>
      </w:r>
      <w:r w:rsidRPr="00E320CE">
        <w:rPr>
          <w:sz w:val="28"/>
          <w:szCs w:val="28"/>
          <w:lang w:val="es-CO"/>
        </w:rPr>
        <w:t xml:space="preserve">la Unión Temporal </w:t>
      </w:r>
      <w:proofErr w:type="spellStart"/>
      <w:r w:rsidRPr="00E320CE">
        <w:rPr>
          <w:sz w:val="28"/>
          <w:szCs w:val="28"/>
          <w:lang w:val="es-CO"/>
        </w:rPr>
        <w:t>Norsalud</w:t>
      </w:r>
      <w:proofErr w:type="spellEnd"/>
      <w:r w:rsidRPr="00E320CE">
        <w:rPr>
          <w:sz w:val="28"/>
          <w:szCs w:val="28"/>
          <w:lang w:val="es-CO"/>
        </w:rPr>
        <w:t xml:space="preserve"> PPL, la Unión Temporal Salud Integral PPL </w:t>
      </w:r>
      <w:r w:rsidRPr="00E320CE">
        <w:rPr>
          <w:sz w:val="28"/>
          <w:szCs w:val="28"/>
        </w:rPr>
        <w:t xml:space="preserve">y </w:t>
      </w:r>
      <w:r w:rsidR="00182B5C" w:rsidRPr="00E320CE">
        <w:rPr>
          <w:sz w:val="28"/>
          <w:szCs w:val="28"/>
        </w:rPr>
        <w:t>el Establecimiento Penitenciario de Mediana Seguridad y Carcelario de Cartagena “Cárcel San Sebastián de Ternera”</w:t>
      </w:r>
      <w:r w:rsidRPr="00E320CE">
        <w:rPr>
          <w:sz w:val="28"/>
          <w:szCs w:val="28"/>
        </w:rPr>
        <w:t>.</w:t>
      </w:r>
    </w:p>
    <w:p w14:paraId="7121E8AC" w14:textId="77777777" w:rsidR="00B33234" w:rsidRPr="00E320CE" w:rsidRDefault="00B33234" w:rsidP="00B33234">
      <w:pPr>
        <w:ind w:left="4956"/>
        <w:jc w:val="both"/>
        <w:rPr>
          <w:rFonts w:eastAsia="SimSun"/>
          <w:sz w:val="28"/>
          <w:szCs w:val="28"/>
          <w:lang w:val="es-CO"/>
        </w:rPr>
      </w:pPr>
    </w:p>
    <w:p w14:paraId="3CE7F403" w14:textId="722A650B" w:rsidR="00B33234" w:rsidRPr="00E320CE" w:rsidRDefault="00B33234" w:rsidP="00B33234">
      <w:pPr>
        <w:ind w:left="4956"/>
        <w:jc w:val="both"/>
        <w:rPr>
          <w:rFonts w:eastAsia="SimSun"/>
          <w:b/>
          <w:bCs/>
          <w:sz w:val="28"/>
          <w:szCs w:val="28"/>
          <w:lang w:val="es-CO"/>
        </w:rPr>
      </w:pPr>
      <w:r w:rsidRPr="00E320CE">
        <w:rPr>
          <w:rFonts w:eastAsia="SimSun"/>
          <w:b/>
          <w:bCs/>
          <w:sz w:val="28"/>
          <w:szCs w:val="28"/>
          <w:lang w:val="es-CO"/>
        </w:rPr>
        <w:t xml:space="preserve">Magistrada </w:t>
      </w:r>
      <w:r w:rsidR="00466B76" w:rsidRPr="00E320CE">
        <w:rPr>
          <w:rFonts w:eastAsia="SimSun"/>
          <w:b/>
          <w:bCs/>
          <w:sz w:val="28"/>
          <w:szCs w:val="28"/>
          <w:lang w:val="es-CO"/>
        </w:rPr>
        <w:t>ponente</w:t>
      </w:r>
      <w:r w:rsidRPr="00E320CE">
        <w:rPr>
          <w:rFonts w:eastAsia="SimSun"/>
          <w:b/>
          <w:bCs/>
          <w:sz w:val="28"/>
          <w:szCs w:val="28"/>
          <w:lang w:val="es-CO"/>
        </w:rPr>
        <w:t>:</w:t>
      </w:r>
    </w:p>
    <w:p w14:paraId="2988F5BA" w14:textId="77777777" w:rsidR="00B33234" w:rsidRPr="00E320CE" w:rsidRDefault="00B33234" w:rsidP="00B33234">
      <w:pPr>
        <w:ind w:left="4956"/>
        <w:jc w:val="both"/>
        <w:rPr>
          <w:rFonts w:eastAsia="SimSun"/>
          <w:sz w:val="28"/>
          <w:szCs w:val="28"/>
          <w:lang w:val="es-CO"/>
        </w:rPr>
      </w:pPr>
      <w:r w:rsidRPr="00E320CE">
        <w:rPr>
          <w:rFonts w:eastAsia="SimSun"/>
          <w:sz w:val="28"/>
          <w:szCs w:val="28"/>
          <w:lang w:val="es-CO"/>
        </w:rPr>
        <w:t>Natalia Ángel Cabo.</w:t>
      </w:r>
    </w:p>
    <w:p w14:paraId="0647A3DC" w14:textId="77777777" w:rsidR="00B33234" w:rsidRPr="00E320CE" w:rsidRDefault="00B33234" w:rsidP="00B33234">
      <w:pPr>
        <w:pStyle w:val="Textoindependiente3"/>
        <w:rPr>
          <w:lang w:val="es-CO"/>
        </w:rPr>
      </w:pPr>
    </w:p>
    <w:p w14:paraId="0565E6BF" w14:textId="61796340" w:rsidR="00B33234" w:rsidRPr="00E320CE" w:rsidRDefault="00B33234" w:rsidP="00B33234">
      <w:pPr>
        <w:pStyle w:val="Textoindependiente3"/>
        <w:rPr>
          <w:rFonts w:eastAsia="SimSun"/>
          <w:lang w:val="es-CO"/>
        </w:rPr>
      </w:pPr>
      <w:r w:rsidRPr="00E320CE">
        <w:rPr>
          <w:rFonts w:eastAsia="SimSun"/>
          <w:lang w:val="es-CO"/>
        </w:rPr>
        <w:t xml:space="preserve">Bogotá, D. C., </w:t>
      </w:r>
      <w:r w:rsidR="00466B76" w:rsidRPr="00E320CE">
        <w:rPr>
          <w:rFonts w:eastAsia="SimSun"/>
          <w:lang w:val="es-CO"/>
        </w:rPr>
        <w:t xml:space="preserve">diecisiete </w:t>
      </w:r>
      <w:r w:rsidR="001225AC" w:rsidRPr="00E320CE">
        <w:rPr>
          <w:rFonts w:eastAsia="SimSun"/>
          <w:lang w:val="es-CO"/>
        </w:rPr>
        <w:t>(</w:t>
      </w:r>
      <w:r w:rsidR="00466B76" w:rsidRPr="00E320CE">
        <w:rPr>
          <w:rFonts w:eastAsia="SimSun"/>
          <w:lang w:val="es-CO"/>
        </w:rPr>
        <w:t>17</w:t>
      </w:r>
      <w:r w:rsidRPr="00E320CE">
        <w:rPr>
          <w:rFonts w:eastAsia="SimSun"/>
          <w:lang w:val="es-CO"/>
        </w:rPr>
        <w:t xml:space="preserve">) de </w:t>
      </w:r>
      <w:r w:rsidR="00466B76" w:rsidRPr="00E320CE">
        <w:rPr>
          <w:rFonts w:eastAsia="SimSun"/>
          <w:lang w:val="es-CO"/>
        </w:rPr>
        <w:t>marzo</w:t>
      </w:r>
      <w:r w:rsidRPr="00E320CE">
        <w:rPr>
          <w:rFonts w:eastAsia="SimSun"/>
          <w:lang w:val="es-CO"/>
        </w:rPr>
        <w:t xml:space="preserve"> de dos mil veinti</w:t>
      </w:r>
      <w:r w:rsidR="00945BB4" w:rsidRPr="00E320CE">
        <w:rPr>
          <w:rFonts w:eastAsia="SimSun"/>
          <w:lang w:val="es-CO"/>
        </w:rPr>
        <w:t>c</w:t>
      </w:r>
      <w:r w:rsidR="00286BA4" w:rsidRPr="00E320CE">
        <w:rPr>
          <w:rFonts w:eastAsia="SimSun"/>
          <w:lang w:val="es-CO"/>
        </w:rPr>
        <w:t>inco</w:t>
      </w:r>
      <w:r w:rsidRPr="00E320CE">
        <w:rPr>
          <w:rFonts w:eastAsia="SimSun"/>
          <w:lang w:val="es-CO"/>
        </w:rPr>
        <w:t xml:space="preserve"> (202</w:t>
      </w:r>
      <w:r w:rsidR="00286BA4" w:rsidRPr="00E320CE">
        <w:rPr>
          <w:rFonts w:eastAsia="SimSun"/>
          <w:lang w:val="es-CO"/>
        </w:rPr>
        <w:t>5</w:t>
      </w:r>
      <w:r w:rsidRPr="00E320CE">
        <w:rPr>
          <w:rFonts w:eastAsia="SimSun"/>
          <w:lang w:val="es-CO"/>
        </w:rPr>
        <w:t>).</w:t>
      </w:r>
    </w:p>
    <w:p w14:paraId="3151ED3A" w14:textId="77777777" w:rsidR="00B33234" w:rsidRPr="00E320CE" w:rsidRDefault="00B33234" w:rsidP="00B33234">
      <w:pPr>
        <w:jc w:val="both"/>
        <w:rPr>
          <w:sz w:val="28"/>
          <w:szCs w:val="28"/>
          <w:lang w:val="es-CO"/>
        </w:rPr>
      </w:pPr>
    </w:p>
    <w:p w14:paraId="707DCEEB" w14:textId="1E4E7EA2" w:rsidR="001407EA" w:rsidRPr="00E320CE" w:rsidRDefault="001407EA" w:rsidP="001407EA">
      <w:pPr>
        <w:ind w:right="-234"/>
        <w:jc w:val="both"/>
        <w:rPr>
          <w:sz w:val="28"/>
          <w:szCs w:val="28"/>
          <w:lang w:val="es-CO"/>
        </w:rPr>
      </w:pPr>
      <w:r w:rsidRPr="00E320CE">
        <w:rPr>
          <w:sz w:val="28"/>
          <w:szCs w:val="28"/>
          <w:lang w:val="es-CO"/>
        </w:rPr>
        <w:t>La Sala Primera de Revisión de Tutelas de la Corte Constitucional, integrada por el magistrado Juan Carlos Cortés González y la</w:t>
      </w:r>
      <w:r w:rsidR="00621BFB" w:rsidRPr="00E320CE">
        <w:rPr>
          <w:sz w:val="28"/>
          <w:szCs w:val="28"/>
          <w:lang w:val="es-CO"/>
        </w:rPr>
        <w:t>s</w:t>
      </w:r>
      <w:r w:rsidRPr="00E320CE">
        <w:rPr>
          <w:sz w:val="28"/>
          <w:szCs w:val="28"/>
          <w:lang w:val="es-CO"/>
        </w:rPr>
        <w:t xml:space="preserve"> magistrada</w:t>
      </w:r>
      <w:r w:rsidR="00621BFB" w:rsidRPr="00E320CE">
        <w:rPr>
          <w:sz w:val="28"/>
          <w:szCs w:val="28"/>
          <w:lang w:val="es-CO"/>
        </w:rPr>
        <w:t>s</w:t>
      </w:r>
      <w:r w:rsidRPr="00E320CE">
        <w:rPr>
          <w:sz w:val="28"/>
          <w:szCs w:val="28"/>
          <w:lang w:val="es-CO"/>
        </w:rPr>
        <w:t xml:space="preserve"> </w:t>
      </w:r>
      <w:r w:rsidR="00621BFB" w:rsidRPr="00E320CE">
        <w:rPr>
          <w:sz w:val="28"/>
          <w:szCs w:val="28"/>
          <w:lang w:val="es-CO"/>
        </w:rPr>
        <w:t xml:space="preserve">Diana Fajardo Rivera y </w:t>
      </w:r>
      <w:r w:rsidRPr="00E320CE">
        <w:rPr>
          <w:sz w:val="28"/>
          <w:szCs w:val="28"/>
          <w:lang w:val="es-CO"/>
        </w:rPr>
        <w:t>Natalia Ángel Cabo, quien la preside, en ejercicio de sus competencias constitucionales y legales, específicamente las previstas en los artículos 86 y 241.9 de la Constitución Política, y en los artículos 32 y siguientes del Decreto 2591 de 1991, profiere la siguiente:</w:t>
      </w:r>
    </w:p>
    <w:p w14:paraId="25781225" w14:textId="77777777" w:rsidR="001407EA" w:rsidRPr="00E320CE" w:rsidRDefault="001407EA" w:rsidP="001407EA">
      <w:pPr>
        <w:jc w:val="both"/>
        <w:rPr>
          <w:sz w:val="28"/>
          <w:szCs w:val="28"/>
          <w:lang w:val="es-CO"/>
        </w:rPr>
      </w:pPr>
    </w:p>
    <w:p w14:paraId="0A5CEA30" w14:textId="77777777" w:rsidR="001407EA" w:rsidRPr="00E320CE" w:rsidRDefault="001407EA" w:rsidP="001407EA">
      <w:pPr>
        <w:jc w:val="center"/>
        <w:rPr>
          <w:b/>
          <w:bCs/>
          <w:sz w:val="28"/>
          <w:szCs w:val="28"/>
          <w:lang w:val="es-CO"/>
        </w:rPr>
      </w:pPr>
      <w:r w:rsidRPr="00E320CE">
        <w:rPr>
          <w:b/>
          <w:bCs/>
          <w:sz w:val="28"/>
          <w:szCs w:val="28"/>
          <w:lang w:val="es-CO"/>
        </w:rPr>
        <w:t>SENTENCIA.</w:t>
      </w:r>
    </w:p>
    <w:p w14:paraId="4F8134DD" w14:textId="77777777" w:rsidR="001407EA" w:rsidRPr="00E320CE" w:rsidRDefault="001407EA" w:rsidP="001407EA">
      <w:pPr>
        <w:jc w:val="center"/>
        <w:rPr>
          <w:b/>
          <w:bCs/>
          <w:sz w:val="28"/>
          <w:szCs w:val="28"/>
          <w:lang w:val="es-CO"/>
        </w:rPr>
      </w:pPr>
    </w:p>
    <w:p w14:paraId="08D2C0F1" w14:textId="5917BFBC" w:rsidR="00286BA4" w:rsidRPr="00E320CE" w:rsidRDefault="00286BA4" w:rsidP="00286BA4">
      <w:pPr>
        <w:adjustRightInd w:val="0"/>
        <w:ind w:right="-234"/>
        <w:jc w:val="both"/>
        <w:rPr>
          <w:bCs/>
          <w:sz w:val="28"/>
          <w:szCs w:val="28"/>
          <w:lang w:val="es-CO"/>
        </w:rPr>
      </w:pPr>
      <w:r w:rsidRPr="00E320CE">
        <w:rPr>
          <w:sz w:val="28"/>
          <w:szCs w:val="28"/>
          <w:lang w:val="es-CO"/>
        </w:rPr>
        <w:t xml:space="preserve">Esta </w:t>
      </w:r>
      <w:r w:rsidR="0023657E" w:rsidRPr="00E320CE">
        <w:rPr>
          <w:sz w:val="28"/>
          <w:szCs w:val="28"/>
          <w:lang w:val="es-CO"/>
        </w:rPr>
        <w:t>decisión se toma</w:t>
      </w:r>
      <w:r w:rsidRPr="00E320CE" w:rsidDel="0023657E">
        <w:rPr>
          <w:bCs/>
          <w:sz w:val="28"/>
          <w:szCs w:val="28"/>
          <w:lang w:val="es-CO"/>
        </w:rPr>
        <w:t xml:space="preserve"> </w:t>
      </w:r>
      <w:r w:rsidRPr="00E320CE">
        <w:rPr>
          <w:bCs/>
          <w:sz w:val="28"/>
          <w:szCs w:val="28"/>
          <w:lang w:val="es-CO"/>
        </w:rPr>
        <w:t>en el proceso de revisión del fallo proferido en única instancia por e</w:t>
      </w:r>
      <w:r w:rsidRPr="00E320CE">
        <w:rPr>
          <w:sz w:val="28"/>
          <w:szCs w:val="28"/>
        </w:rPr>
        <w:t xml:space="preserve">l Juzgado Primero Penal del Circuito de Cartagena con Funciones de Conocimiento, dentro del trámite de la acción de </w:t>
      </w:r>
      <w:r w:rsidRPr="00E320CE">
        <w:rPr>
          <w:sz w:val="28"/>
          <w:szCs w:val="28"/>
          <w:lang w:val="es-CO"/>
        </w:rPr>
        <w:t xml:space="preserve">tutela </w:t>
      </w:r>
      <w:r w:rsidR="002A7243" w:rsidRPr="00E320CE">
        <w:rPr>
          <w:sz w:val="28"/>
          <w:szCs w:val="28"/>
          <w:lang w:val="es-CO"/>
        </w:rPr>
        <w:t xml:space="preserve">promovida </w:t>
      </w:r>
      <w:r w:rsidRPr="00E320CE">
        <w:rPr>
          <w:sz w:val="28"/>
          <w:szCs w:val="28"/>
          <w:lang w:val="es-CO"/>
        </w:rPr>
        <w:t xml:space="preserve">por </w:t>
      </w:r>
      <w:r w:rsidR="00E320CE" w:rsidRPr="00E320CE">
        <w:rPr>
          <w:i/>
          <w:iCs/>
          <w:sz w:val="28"/>
          <w:szCs w:val="28"/>
          <w:lang w:val="es-CO"/>
        </w:rPr>
        <w:t>Greta</w:t>
      </w:r>
      <w:r w:rsidRPr="00E320CE">
        <w:rPr>
          <w:sz w:val="28"/>
          <w:szCs w:val="28"/>
          <w:lang w:val="es-CO"/>
        </w:rPr>
        <w:t xml:space="preserve"> en contra de la Unión Temporal de </w:t>
      </w:r>
      <w:proofErr w:type="spellStart"/>
      <w:r w:rsidRPr="00E320CE">
        <w:rPr>
          <w:sz w:val="28"/>
          <w:szCs w:val="28"/>
          <w:lang w:val="es-CO"/>
        </w:rPr>
        <w:t>Norsalud</w:t>
      </w:r>
      <w:proofErr w:type="spellEnd"/>
      <w:r w:rsidRPr="00E320CE">
        <w:rPr>
          <w:sz w:val="28"/>
          <w:szCs w:val="28"/>
          <w:lang w:val="es-CO"/>
        </w:rPr>
        <w:t xml:space="preserve"> PPL, la Unión Temporal de Salud Integral PPL y el Establecimiento Penitenciario de Mediana Seguridad y Carcelario de Cartagena “Cárcel San Sebastián de Ternera”</w:t>
      </w:r>
      <w:r w:rsidRPr="00E320CE">
        <w:rPr>
          <w:rStyle w:val="Refdenotaalpie"/>
          <w:sz w:val="28"/>
          <w:szCs w:val="28"/>
          <w:lang w:val="es-CO"/>
        </w:rPr>
        <w:footnoteReference w:id="2"/>
      </w:r>
      <w:r w:rsidRPr="00E320CE">
        <w:rPr>
          <w:sz w:val="28"/>
          <w:szCs w:val="28"/>
          <w:lang w:val="es-CO"/>
        </w:rPr>
        <w:t>.</w:t>
      </w:r>
    </w:p>
    <w:p w14:paraId="3A83311E" w14:textId="77777777" w:rsidR="00C327B6" w:rsidRPr="00E320CE" w:rsidRDefault="00C327B6" w:rsidP="00C327B6">
      <w:pPr>
        <w:adjustRightInd w:val="0"/>
        <w:ind w:right="-234"/>
        <w:rPr>
          <w:b/>
          <w:sz w:val="28"/>
          <w:szCs w:val="28"/>
          <w:lang w:val="es-CO"/>
        </w:rPr>
      </w:pPr>
    </w:p>
    <w:p w14:paraId="38F26D09" w14:textId="18BFC506" w:rsidR="0099734A" w:rsidRPr="00E320CE" w:rsidRDefault="000C725D" w:rsidP="579597AE">
      <w:pPr>
        <w:pStyle w:val="Prrafodelista"/>
        <w:adjustRightInd w:val="0"/>
        <w:ind w:left="0" w:right="-232"/>
        <w:rPr>
          <w:b/>
          <w:sz w:val="28"/>
          <w:szCs w:val="28"/>
          <w:lang w:val="es-CO"/>
        </w:rPr>
      </w:pPr>
      <w:r w:rsidRPr="00E320CE">
        <w:rPr>
          <w:b/>
          <w:sz w:val="28"/>
          <w:szCs w:val="28"/>
          <w:lang w:val="es-CO"/>
        </w:rPr>
        <w:t xml:space="preserve">Aclaración previa </w:t>
      </w:r>
    </w:p>
    <w:p w14:paraId="6EC1AFFC" w14:textId="77777777" w:rsidR="0099734A" w:rsidRPr="00E320CE" w:rsidRDefault="0099734A" w:rsidP="0099734A">
      <w:pPr>
        <w:adjustRightInd w:val="0"/>
        <w:ind w:right="-234"/>
        <w:rPr>
          <w:b/>
          <w:sz w:val="28"/>
          <w:szCs w:val="28"/>
          <w:lang w:val="es-CO"/>
        </w:rPr>
      </w:pPr>
    </w:p>
    <w:p w14:paraId="613E9C79" w14:textId="77777777" w:rsidR="0099734A" w:rsidRPr="00E320CE" w:rsidRDefault="0099734A" w:rsidP="0099734A">
      <w:pPr>
        <w:pStyle w:val="Lista"/>
        <w:ind w:left="0" w:firstLine="0"/>
        <w:rPr>
          <w:rFonts w:eastAsia="SimSun"/>
          <w:sz w:val="28"/>
          <w:szCs w:val="28"/>
          <w:lang w:val="es-CO"/>
        </w:rPr>
      </w:pPr>
      <w:r w:rsidRPr="00E320CE">
        <w:rPr>
          <w:rFonts w:eastAsia="SimSun"/>
          <w:sz w:val="28"/>
          <w:szCs w:val="28"/>
          <w:lang w:val="es-CO"/>
        </w:rPr>
        <w:t xml:space="preserve">Con el fin de proteger los datos personales en las providencias publicadas en su página web, la Corte Constitucional estableció un conjunto de lineamientos en su Circular Interna No. 10 de 2022. De acuerdo con la circular, en los casos en los que se haga referencia a la historia clínica u otra información relacionada </w:t>
      </w:r>
      <w:r w:rsidRPr="00E320CE">
        <w:rPr>
          <w:rFonts w:eastAsia="SimSun"/>
          <w:sz w:val="28"/>
          <w:szCs w:val="28"/>
          <w:lang w:val="es-CO"/>
        </w:rPr>
        <w:lastRenderedPageBreak/>
        <w:t>con la salud física o psíquica de los accionantes, las salas de revisión tienen el deber de omitir los nombres reales de las personas en la providencia publicada.</w:t>
      </w:r>
    </w:p>
    <w:p w14:paraId="3A05BCC7" w14:textId="77777777" w:rsidR="0099734A" w:rsidRPr="00E320CE" w:rsidRDefault="0099734A" w:rsidP="0099734A">
      <w:pPr>
        <w:pStyle w:val="Lista"/>
        <w:ind w:left="0" w:firstLine="0"/>
        <w:rPr>
          <w:rFonts w:eastAsia="SimSun"/>
          <w:sz w:val="28"/>
          <w:szCs w:val="28"/>
          <w:lang w:val="es-CO"/>
        </w:rPr>
      </w:pPr>
    </w:p>
    <w:p w14:paraId="548CC80F" w14:textId="651BAE69" w:rsidR="0099734A" w:rsidRPr="00E320CE" w:rsidRDefault="0099734A" w:rsidP="0099734A">
      <w:pPr>
        <w:pStyle w:val="Lista"/>
        <w:ind w:left="0" w:firstLine="0"/>
        <w:rPr>
          <w:rFonts w:eastAsia="SimSun"/>
          <w:sz w:val="28"/>
          <w:szCs w:val="28"/>
          <w:lang w:val="es-CO"/>
        </w:rPr>
      </w:pPr>
      <w:r w:rsidRPr="00E320CE">
        <w:rPr>
          <w:rFonts w:eastAsia="SimSun"/>
          <w:sz w:val="28"/>
          <w:szCs w:val="28"/>
          <w:lang w:val="es-CO"/>
        </w:rPr>
        <w:t xml:space="preserve">En el expediente bajo revisión se </w:t>
      </w:r>
      <w:r w:rsidRPr="00E320CE">
        <w:rPr>
          <w:rFonts w:eastAsia="SimSun"/>
          <w:color w:val="000000" w:themeColor="text2"/>
          <w:sz w:val="28"/>
          <w:szCs w:val="28"/>
          <w:lang w:eastAsia="es-CO"/>
        </w:rPr>
        <w:t>estudia información relacionada con la historia clínica y el estado de salud</w:t>
      </w:r>
      <w:r w:rsidRPr="00E320CE">
        <w:rPr>
          <w:rFonts w:eastAsia="SimSun"/>
          <w:sz w:val="28"/>
          <w:szCs w:val="28"/>
          <w:lang w:val="es-CO"/>
        </w:rPr>
        <w:t xml:space="preserve"> de</w:t>
      </w:r>
      <w:r w:rsidR="00043A14" w:rsidRPr="00E320CE">
        <w:rPr>
          <w:rFonts w:eastAsia="SimSun"/>
          <w:sz w:val="28"/>
          <w:szCs w:val="28"/>
          <w:lang w:val="es-CO"/>
        </w:rPr>
        <w:t xml:space="preserve"> </w:t>
      </w:r>
      <w:r w:rsidRPr="00E320CE">
        <w:rPr>
          <w:rFonts w:eastAsia="SimSun"/>
          <w:sz w:val="28"/>
          <w:szCs w:val="28"/>
          <w:lang w:val="es-CO"/>
        </w:rPr>
        <w:t>l</w:t>
      </w:r>
      <w:r w:rsidR="00043A14" w:rsidRPr="00E320CE">
        <w:rPr>
          <w:rFonts w:eastAsia="SimSun"/>
          <w:sz w:val="28"/>
          <w:szCs w:val="28"/>
          <w:lang w:val="es-CO"/>
        </w:rPr>
        <w:t>a</w:t>
      </w:r>
      <w:r w:rsidRPr="00E320CE">
        <w:rPr>
          <w:rFonts w:eastAsia="SimSun"/>
          <w:sz w:val="28"/>
          <w:szCs w:val="28"/>
          <w:lang w:val="es-CO"/>
        </w:rPr>
        <w:t xml:space="preserve"> accionante. Por esta razón, con el fin de proteger l</w:t>
      </w:r>
      <w:r w:rsidR="00AD2756" w:rsidRPr="00E320CE">
        <w:rPr>
          <w:rFonts w:eastAsia="SimSun"/>
          <w:sz w:val="28"/>
          <w:szCs w:val="28"/>
          <w:lang w:val="es-CO"/>
        </w:rPr>
        <w:t xml:space="preserve">a identidad e intimidad de las personas involucradas en este proceso de tutela, </w:t>
      </w:r>
      <w:r w:rsidRPr="00E320CE">
        <w:rPr>
          <w:rFonts w:eastAsia="SimSun"/>
          <w:sz w:val="28"/>
          <w:szCs w:val="28"/>
          <w:lang w:val="es-CO"/>
        </w:rPr>
        <w:t xml:space="preserve">la Sala </w:t>
      </w:r>
      <w:r w:rsidR="00C4345D" w:rsidRPr="00E320CE">
        <w:rPr>
          <w:rFonts w:eastAsia="SimSun"/>
          <w:sz w:val="28"/>
          <w:szCs w:val="28"/>
          <w:lang w:val="es-CO"/>
        </w:rPr>
        <w:t>presentará</w:t>
      </w:r>
      <w:r w:rsidRPr="00E320CE">
        <w:rPr>
          <w:rFonts w:eastAsia="SimSun"/>
          <w:color w:val="000000" w:themeColor="text2"/>
          <w:sz w:val="28"/>
          <w:szCs w:val="28"/>
          <w:lang w:eastAsia="es-CO"/>
        </w:rPr>
        <w:t xml:space="preserve"> dos </w:t>
      </w:r>
      <w:r w:rsidR="00AF20CD" w:rsidRPr="00E320CE">
        <w:rPr>
          <w:rFonts w:eastAsia="SimSun"/>
          <w:color w:val="000000" w:themeColor="text2"/>
          <w:sz w:val="28"/>
          <w:szCs w:val="28"/>
          <w:lang w:eastAsia="es-CO"/>
        </w:rPr>
        <w:t xml:space="preserve">versiones </w:t>
      </w:r>
      <w:r w:rsidRPr="00E320CE">
        <w:rPr>
          <w:rFonts w:eastAsia="SimSun"/>
          <w:color w:val="000000" w:themeColor="text2"/>
          <w:sz w:val="28"/>
          <w:szCs w:val="28"/>
          <w:lang w:eastAsia="es-CO"/>
        </w:rPr>
        <w:t xml:space="preserve">de esta </w:t>
      </w:r>
      <w:r w:rsidR="00C4345D" w:rsidRPr="00E320CE">
        <w:rPr>
          <w:rFonts w:eastAsia="SimSun"/>
          <w:color w:val="000000" w:themeColor="text2"/>
          <w:sz w:val="28"/>
          <w:szCs w:val="28"/>
          <w:lang w:eastAsia="es-CO"/>
        </w:rPr>
        <w:t>sentencia</w:t>
      </w:r>
      <w:r w:rsidRPr="00E320CE">
        <w:rPr>
          <w:rFonts w:eastAsia="SimSun"/>
          <w:color w:val="000000" w:themeColor="text2"/>
          <w:sz w:val="28"/>
          <w:szCs w:val="28"/>
          <w:lang w:eastAsia="es-CO"/>
        </w:rPr>
        <w:t>. En la versión que será publicada en</w:t>
      </w:r>
      <w:r w:rsidR="00FC218F" w:rsidRPr="00E320CE">
        <w:rPr>
          <w:rFonts w:eastAsia="SimSun"/>
          <w:color w:val="000000" w:themeColor="text2"/>
          <w:sz w:val="28"/>
          <w:szCs w:val="28"/>
          <w:lang w:eastAsia="es-CO"/>
        </w:rPr>
        <w:t xml:space="preserve"> el repositorio digital </w:t>
      </w:r>
      <w:r w:rsidRPr="00E320CE">
        <w:rPr>
          <w:rFonts w:eastAsia="SimSun"/>
          <w:color w:val="000000" w:themeColor="text2"/>
          <w:sz w:val="28"/>
          <w:szCs w:val="28"/>
          <w:lang w:eastAsia="es-CO"/>
        </w:rPr>
        <w:t>de la Corte Constitucional se sustituirá el nombre real de</w:t>
      </w:r>
      <w:r w:rsidR="0098119B" w:rsidRPr="00E320CE">
        <w:rPr>
          <w:rFonts w:eastAsia="SimSun"/>
          <w:color w:val="000000" w:themeColor="text2"/>
          <w:sz w:val="28"/>
          <w:szCs w:val="28"/>
          <w:lang w:eastAsia="es-CO"/>
        </w:rPr>
        <w:t xml:space="preserve"> </w:t>
      </w:r>
      <w:r w:rsidRPr="00E320CE">
        <w:rPr>
          <w:rFonts w:eastAsia="SimSun"/>
          <w:color w:val="000000" w:themeColor="text2"/>
          <w:sz w:val="28"/>
          <w:szCs w:val="28"/>
          <w:lang w:eastAsia="es-CO"/>
        </w:rPr>
        <w:t>l</w:t>
      </w:r>
      <w:r w:rsidR="0098119B" w:rsidRPr="00E320CE">
        <w:rPr>
          <w:rFonts w:eastAsia="SimSun"/>
          <w:color w:val="000000" w:themeColor="text2"/>
          <w:sz w:val="28"/>
          <w:szCs w:val="28"/>
          <w:lang w:eastAsia="es-CO"/>
        </w:rPr>
        <w:t>a</w:t>
      </w:r>
      <w:r w:rsidRPr="00E320CE">
        <w:rPr>
          <w:rFonts w:eastAsia="SimSun"/>
          <w:color w:val="000000" w:themeColor="text2"/>
          <w:sz w:val="28"/>
          <w:szCs w:val="28"/>
          <w:lang w:eastAsia="es-CO"/>
        </w:rPr>
        <w:t xml:space="preserve"> demandante, de forma que la Sala hará referencia a la accionante con el nombre de </w:t>
      </w:r>
      <w:r w:rsidR="00866054" w:rsidRPr="00E320CE">
        <w:rPr>
          <w:rFonts w:eastAsia="SimSun"/>
          <w:i/>
          <w:color w:val="000000" w:themeColor="text2"/>
          <w:sz w:val="28"/>
          <w:szCs w:val="28"/>
          <w:lang w:eastAsia="es-CO"/>
        </w:rPr>
        <w:t>Greta</w:t>
      </w:r>
      <w:r w:rsidRPr="00E320CE">
        <w:rPr>
          <w:rFonts w:eastAsia="SimSun"/>
          <w:color w:val="000000" w:themeColor="text2"/>
          <w:sz w:val="28"/>
          <w:szCs w:val="28"/>
          <w:lang w:eastAsia="es-CO"/>
        </w:rPr>
        <w:t>.</w:t>
      </w:r>
    </w:p>
    <w:p w14:paraId="27C23A2D" w14:textId="77777777" w:rsidR="0099734A" w:rsidRPr="00E320CE" w:rsidRDefault="0099734A" w:rsidP="0099734A">
      <w:pPr>
        <w:adjustRightInd w:val="0"/>
        <w:ind w:right="-234"/>
        <w:rPr>
          <w:b/>
          <w:sz w:val="28"/>
          <w:szCs w:val="28"/>
          <w:lang w:val="es-CO"/>
        </w:rPr>
      </w:pPr>
    </w:p>
    <w:p w14:paraId="50990F07" w14:textId="0F5EFC76" w:rsidR="0099734A" w:rsidRPr="00E320CE" w:rsidRDefault="007C0313" w:rsidP="7E03B2FA">
      <w:pPr>
        <w:adjustRightInd w:val="0"/>
        <w:ind w:right="-234"/>
        <w:rPr>
          <w:b/>
          <w:sz w:val="28"/>
          <w:szCs w:val="28"/>
          <w:lang w:val="es-CO"/>
        </w:rPr>
      </w:pPr>
      <w:r w:rsidRPr="00E320CE">
        <w:rPr>
          <w:b/>
          <w:sz w:val="28"/>
          <w:szCs w:val="28"/>
          <w:lang w:val="es-CO"/>
        </w:rPr>
        <w:t xml:space="preserve">Síntesis de la decisión </w:t>
      </w:r>
    </w:p>
    <w:p w14:paraId="3B574530" w14:textId="77777777" w:rsidR="0026097D" w:rsidRPr="00E320CE" w:rsidRDefault="0026097D" w:rsidP="00286BA4">
      <w:pPr>
        <w:autoSpaceDE/>
        <w:autoSpaceDN/>
        <w:ind w:right="57"/>
        <w:jc w:val="both"/>
        <w:rPr>
          <w:b/>
          <w:sz w:val="28"/>
          <w:szCs w:val="28"/>
          <w:lang w:val="es-CO"/>
        </w:rPr>
      </w:pPr>
    </w:p>
    <w:p w14:paraId="35F958DE" w14:textId="4DC44290" w:rsidR="0026097D" w:rsidRPr="00E320CE" w:rsidRDefault="0026097D" w:rsidP="0026097D">
      <w:pPr>
        <w:autoSpaceDE/>
        <w:autoSpaceDN/>
        <w:ind w:right="57"/>
        <w:jc w:val="both"/>
        <w:rPr>
          <w:bCs/>
          <w:sz w:val="28"/>
          <w:szCs w:val="28"/>
          <w:lang w:val="es-CO"/>
        </w:rPr>
      </w:pPr>
      <w:r w:rsidRPr="00E320CE">
        <w:rPr>
          <w:bCs/>
          <w:sz w:val="28"/>
          <w:szCs w:val="28"/>
          <w:lang w:val="es-CO"/>
        </w:rPr>
        <w:t>La Sala Primera de Revisión de la Corte Constitucional estudi</w:t>
      </w:r>
      <w:r w:rsidR="002A0B74" w:rsidRPr="00E320CE">
        <w:rPr>
          <w:bCs/>
          <w:sz w:val="28"/>
          <w:szCs w:val="28"/>
          <w:lang w:val="es-CO"/>
        </w:rPr>
        <w:t>ó</w:t>
      </w:r>
      <w:r w:rsidRPr="00E320CE">
        <w:rPr>
          <w:bCs/>
          <w:sz w:val="28"/>
          <w:szCs w:val="28"/>
          <w:lang w:val="es-CO"/>
        </w:rPr>
        <w:t xml:space="preserve"> la acción de tutela interpuesta por una mujer</w:t>
      </w:r>
      <w:r w:rsidR="002A0B74" w:rsidRPr="00E320CE">
        <w:rPr>
          <w:bCs/>
          <w:sz w:val="28"/>
          <w:szCs w:val="28"/>
          <w:lang w:val="es-CO"/>
        </w:rPr>
        <w:t>,</w:t>
      </w:r>
      <w:r w:rsidRPr="00E320CE">
        <w:rPr>
          <w:bCs/>
          <w:sz w:val="28"/>
          <w:szCs w:val="28"/>
          <w:lang w:val="es-CO"/>
        </w:rPr>
        <w:t xml:space="preserve"> madre cabeza de familia de dos menores de edad, qu</w:t>
      </w:r>
      <w:r w:rsidR="002A0B74" w:rsidRPr="00E320CE">
        <w:rPr>
          <w:bCs/>
          <w:sz w:val="28"/>
          <w:szCs w:val="28"/>
          <w:lang w:val="es-CO"/>
        </w:rPr>
        <w:t>ien</w:t>
      </w:r>
      <w:r w:rsidRPr="00E320CE">
        <w:rPr>
          <w:bCs/>
          <w:sz w:val="28"/>
          <w:szCs w:val="28"/>
          <w:lang w:val="es-CO"/>
        </w:rPr>
        <w:t xml:space="preserve"> prestó servicios de auxiliar de enfermería </w:t>
      </w:r>
      <w:r w:rsidR="002A0B74" w:rsidRPr="00E320CE">
        <w:rPr>
          <w:bCs/>
          <w:sz w:val="28"/>
          <w:szCs w:val="28"/>
          <w:lang w:val="es-CO"/>
        </w:rPr>
        <w:t>en</w:t>
      </w:r>
      <w:r w:rsidRPr="00E320CE">
        <w:rPr>
          <w:bCs/>
          <w:sz w:val="28"/>
          <w:szCs w:val="28"/>
          <w:lang w:val="es-CO"/>
        </w:rPr>
        <w:t xml:space="preserve"> un establecimiento penitenciario durante aproximadamente 13 años</w:t>
      </w:r>
      <w:r w:rsidR="002A0B74" w:rsidRPr="00E320CE">
        <w:rPr>
          <w:bCs/>
          <w:sz w:val="28"/>
          <w:szCs w:val="28"/>
          <w:lang w:val="es-CO"/>
        </w:rPr>
        <w:t xml:space="preserve">. Su vinculación se realizó </w:t>
      </w:r>
      <w:r w:rsidRPr="00E320CE">
        <w:rPr>
          <w:bCs/>
          <w:sz w:val="28"/>
          <w:szCs w:val="28"/>
          <w:lang w:val="es-CO"/>
        </w:rPr>
        <w:t>mediante sucesivos contratos de prestación de servicios a través de diferentes operadores. Su últim</w:t>
      </w:r>
      <w:r w:rsidR="002A0B74" w:rsidRPr="00E320CE">
        <w:rPr>
          <w:bCs/>
          <w:sz w:val="28"/>
          <w:szCs w:val="28"/>
          <w:lang w:val="es-CO"/>
        </w:rPr>
        <w:t>o</w:t>
      </w:r>
      <w:r w:rsidRPr="00E320CE">
        <w:rPr>
          <w:bCs/>
          <w:sz w:val="28"/>
          <w:szCs w:val="28"/>
          <w:lang w:val="es-CO"/>
        </w:rPr>
        <w:t xml:space="preserve"> </w:t>
      </w:r>
      <w:r w:rsidR="002A0B74" w:rsidRPr="00E320CE">
        <w:rPr>
          <w:bCs/>
          <w:sz w:val="28"/>
          <w:szCs w:val="28"/>
          <w:lang w:val="es-CO"/>
        </w:rPr>
        <w:t xml:space="preserve">contrato fue </w:t>
      </w:r>
      <w:r w:rsidRPr="00E320CE">
        <w:rPr>
          <w:bCs/>
          <w:sz w:val="28"/>
          <w:szCs w:val="28"/>
          <w:lang w:val="es-CO"/>
        </w:rPr>
        <w:t xml:space="preserve">con la Unión Temporal Salud Integral PPL, </w:t>
      </w:r>
      <w:r w:rsidR="002A0B74" w:rsidRPr="00E320CE">
        <w:rPr>
          <w:bCs/>
          <w:sz w:val="28"/>
          <w:szCs w:val="28"/>
          <w:lang w:val="es-CO"/>
        </w:rPr>
        <w:t xml:space="preserve">la cual </w:t>
      </w:r>
      <w:r w:rsidRPr="00E320CE">
        <w:rPr>
          <w:bCs/>
          <w:sz w:val="28"/>
          <w:szCs w:val="28"/>
          <w:lang w:val="es-CO"/>
        </w:rPr>
        <w:t xml:space="preserve">decidió </w:t>
      </w:r>
      <w:r w:rsidR="002A0B74" w:rsidRPr="00E320CE">
        <w:rPr>
          <w:bCs/>
          <w:sz w:val="28"/>
          <w:szCs w:val="28"/>
          <w:lang w:val="es-CO"/>
        </w:rPr>
        <w:t xml:space="preserve">darlo por terminado bajo el argumento de que </w:t>
      </w:r>
      <w:r w:rsidRPr="00E320CE">
        <w:rPr>
          <w:bCs/>
          <w:sz w:val="28"/>
          <w:szCs w:val="28"/>
          <w:lang w:val="es-CO"/>
        </w:rPr>
        <w:t xml:space="preserve">entró en liquidación </w:t>
      </w:r>
      <w:r w:rsidR="002A0B74" w:rsidRPr="00E320CE">
        <w:rPr>
          <w:bCs/>
          <w:sz w:val="28"/>
          <w:szCs w:val="28"/>
          <w:lang w:val="es-CO"/>
        </w:rPr>
        <w:t xml:space="preserve">debido a </w:t>
      </w:r>
      <w:r w:rsidRPr="00E320CE">
        <w:rPr>
          <w:bCs/>
          <w:sz w:val="28"/>
          <w:szCs w:val="28"/>
          <w:lang w:val="es-CO"/>
        </w:rPr>
        <w:t xml:space="preserve">la finalización de </w:t>
      </w:r>
      <w:r w:rsidR="002A0B74" w:rsidRPr="00E320CE">
        <w:rPr>
          <w:bCs/>
          <w:sz w:val="28"/>
          <w:szCs w:val="28"/>
          <w:lang w:val="es-CO"/>
        </w:rPr>
        <w:t>su</w:t>
      </w:r>
      <w:r w:rsidRPr="00E320CE">
        <w:rPr>
          <w:bCs/>
          <w:sz w:val="28"/>
          <w:szCs w:val="28"/>
          <w:lang w:val="es-CO"/>
        </w:rPr>
        <w:t xml:space="preserve"> operación como prestador</w:t>
      </w:r>
      <w:r w:rsidR="002A0B74" w:rsidRPr="00E320CE">
        <w:rPr>
          <w:bCs/>
          <w:sz w:val="28"/>
          <w:szCs w:val="28"/>
          <w:lang w:val="es-CO"/>
        </w:rPr>
        <w:t>a</w:t>
      </w:r>
      <w:r w:rsidRPr="00E320CE">
        <w:rPr>
          <w:bCs/>
          <w:sz w:val="28"/>
          <w:szCs w:val="28"/>
          <w:lang w:val="es-CO"/>
        </w:rPr>
        <w:t xml:space="preserve"> de servicios de salud en el establecimiento penitenciario</w:t>
      </w:r>
      <w:r w:rsidR="002A0B74" w:rsidRPr="00E320CE">
        <w:rPr>
          <w:bCs/>
          <w:sz w:val="28"/>
          <w:szCs w:val="28"/>
          <w:lang w:val="es-CO"/>
        </w:rPr>
        <w:t xml:space="preserve">. En su lugar, </w:t>
      </w:r>
      <w:r w:rsidRPr="00E320CE">
        <w:rPr>
          <w:bCs/>
          <w:sz w:val="28"/>
          <w:szCs w:val="28"/>
          <w:lang w:val="es-CO"/>
        </w:rPr>
        <w:t xml:space="preserve">la operación fue adjudicada a la UT </w:t>
      </w:r>
      <w:proofErr w:type="spellStart"/>
      <w:r w:rsidRPr="00E320CE">
        <w:rPr>
          <w:bCs/>
          <w:sz w:val="28"/>
          <w:szCs w:val="28"/>
          <w:lang w:val="es-CO"/>
        </w:rPr>
        <w:t>Norsalud</w:t>
      </w:r>
      <w:proofErr w:type="spellEnd"/>
      <w:r w:rsidRPr="00E320CE">
        <w:rPr>
          <w:bCs/>
          <w:sz w:val="28"/>
          <w:szCs w:val="28"/>
          <w:lang w:val="es-CO"/>
        </w:rPr>
        <w:t xml:space="preserve"> PPL.</w:t>
      </w:r>
    </w:p>
    <w:p w14:paraId="39D2FD03" w14:textId="77777777" w:rsidR="0026097D" w:rsidRPr="00E320CE" w:rsidRDefault="0026097D" w:rsidP="0026097D">
      <w:pPr>
        <w:autoSpaceDE/>
        <w:autoSpaceDN/>
        <w:ind w:right="57"/>
        <w:jc w:val="both"/>
        <w:rPr>
          <w:bCs/>
          <w:sz w:val="28"/>
          <w:szCs w:val="28"/>
          <w:lang w:val="es-CO"/>
        </w:rPr>
      </w:pPr>
      <w:r w:rsidRPr="00E320CE">
        <w:rPr>
          <w:bCs/>
          <w:sz w:val="28"/>
          <w:szCs w:val="28"/>
          <w:lang w:val="es-CO"/>
        </w:rPr>
        <w:t> </w:t>
      </w:r>
    </w:p>
    <w:p w14:paraId="6E41370D" w14:textId="42C3E8E6" w:rsidR="0026097D" w:rsidRPr="00E320CE" w:rsidRDefault="0026097D" w:rsidP="0026097D">
      <w:pPr>
        <w:autoSpaceDE/>
        <w:autoSpaceDN/>
        <w:ind w:right="57"/>
        <w:jc w:val="both"/>
        <w:rPr>
          <w:bCs/>
          <w:sz w:val="28"/>
          <w:szCs w:val="28"/>
          <w:lang w:val="es-CO"/>
        </w:rPr>
      </w:pPr>
      <w:r w:rsidRPr="00E320CE">
        <w:rPr>
          <w:bCs/>
          <w:sz w:val="28"/>
          <w:szCs w:val="28"/>
          <w:lang w:val="es-CO"/>
        </w:rPr>
        <w:t xml:space="preserve">La accionante </w:t>
      </w:r>
      <w:r w:rsidR="00E11750" w:rsidRPr="00E320CE">
        <w:rPr>
          <w:bCs/>
          <w:sz w:val="28"/>
          <w:szCs w:val="28"/>
          <w:lang w:val="es-CO"/>
        </w:rPr>
        <w:t>sostuvo que se vulneró</w:t>
      </w:r>
      <w:r w:rsidRPr="00E320CE">
        <w:rPr>
          <w:bCs/>
          <w:sz w:val="28"/>
          <w:szCs w:val="28"/>
          <w:lang w:val="es-CO"/>
        </w:rPr>
        <w:t xml:space="preserve"> su derecho a la estabilidad laboral reforzada, ya que tiene </w:t>
      </w:r>
      <w:r w:rsidR="00E11750" w:rsidRPr="00E320CE">
        <w:rPr>
          <w:bCs/>
          <w:sz w:val="28"/>
          <w:szCs w:val="28"/>
          <w:lang w:val="es-CO"/>
        </w:rPr>
        <w:t xml:space="preserve">un </w:t>
      </w:r>
      <w:r w:rsidRPr="00E320CE">
        <w:rPr>
          <w:bCs/>
          <w:sz w:val="28"/>
          <w:szCs w:val="28"/>
          <w:lang w:val="es-CO"/>
        </w:rPr>
        <w:t xml:space="preserve">concepto desfavorable de rehabilitación, requiere tratamiento psiquiátrico y </w:t>
      </w:r>
      <w:r w:rsidR="00E11750" w:rsidRPr="00E320CE">
        <w:rPr>
          <w:bCs/>
          <w:sz w:val="28"/>
          <w:szCs w:val="28"/>
          <w:lang w:val="es-CO"/>
        </w:rPr>
        <w:t>continua en</w:t>
      </w:r>
      <w:r w:rsidRPr="00E320CE">
        <w:rPr>
          <w:bCs/>
          <w:sz w:val="28"/>
          <w:szCs w:val="28"/>
          <w:lang w:val="es-CO"/>
        </w:rPr>
        <w:t xml:space="preserve"> controles por </w:t>
      </w:r>
      <w:r w:rsidR="00E11750" w:rsidRPr="00E320CE">
        <w:rPr>
          <w:bCs/>
          <w:sz w:val="28"/>
          <w:szCs w:val="28"/>
          <w:lang w:val="es-CO"/>
        </w:rPr>
        <w:t>un</w:t>
      </w:r>
      <w:r w:rsidRPr="00E320CE">
        <w:rPr>
          <w:bCs/>
          <w:sz w:val="28"/>
          <w:szCs w:val="28"/>
          <w:lang w:val="es-CO"/>
        </w:rPr>
        <w:t xml:space="preserve"> diagnóstico de cáncer. Además, la actora señaló que entre la Unión Temporal Salud Integral PPL y la Unión Temporal </w:t>
      </w:r>
      <w:proofErr w:type="spellStart"/>
      <w:r w:rsidRPr="00E320CE">
        <w:rPr>
          <w:bCs/>
          <w:sz w:val="28"/>
          <w:szCs w:val="28"/>
          <w:lang w:val="es-CO"/>
        </w:rPr>
        <w:t>Norsalud</w:t>
      </w:r>
      <w:proofErr w:type="spellEnd"/>
      <w:r w:rsidRPr="00E320CE">
        <w:rPr>
          <w:bCs/>
          <w:sz w:val="28"/>
          <w:szCs w:val="28"/>
          <w:lang w:val="es-CO"/>
        </w:rPr>
        <w:t xml:space="preserve"> PPL </w:t>
      </w:r>
      <w:r w:rsidR="00E11750" w:rsidRPr="00E320CE">
        <w:rPr>
          <w:bCs/>
          <w:sz w:val="28"/>
          <w:szCs w:val="28"/>
          <w:lang w:val="es-CO"/>
        </w:rPr>
        <w:t xml:space="preserve">se configuró </w:t>
      </w:r>
      <w:r w:rsidRPr="00E320CE">
        <w:rPr>
          <w:bCs/>
          <w:sz w:val="28"/>
          <w:szCs w:val="28"/>
          <w:lang w:val="es-CO"/>
        </w:rPr>
        <w:t xml:space="preserve">una sustitución patronal, dado que </w:t>
      </w:r>
      <w:r w:rsidR="00E11750" w:rsidRPr="00E320CE">
        <w:rPr>
          <w:bCs/>
          <w:sz w:val="28"/>
          <w:szCs w:val="28"/>
          <w:lang w:val="es-CO"/>
        </w:rPr>
        <w:t>esta</w:t>
      </w:r>
      <w:r w:rsidRPr="00E320CE">
        <w:rPr>
          <w:bCs/>
          <w:sz w:val="28"/>
          <w:szCs w:val="28"/>
          <w:lang w:val="es-CO"/>
        </w:rPr>
        <w:t xml:space="preserve"> última asumió las funciones de la primera, con la misma planta de personal contratada, y ambas</w:t>
      </w:r>
      <w:r w:rsidR="00E11750" w:rsidRPr="00E320CE">
        <w:rPr>
          <w:bCs/>
          <w:sz w:val="28"/>
          <w:szCs w:val="28"/>
          <w:lang w:val="es-CO"/>
        </w:rPr>
        <w:t xml:space="preserve"> entidades</w:t>
      </w:r>
      <w:r w:rsidRPr="00E320CE">
        <w:rPr>
          <w:bCs/>
          <w:sz w:val="28"/>
          <w:szCs w:val="28"/>
          <w:lang w:val="es-CO"/>
        </w:rPr>
        <w:t xml:space="preserve"> comparten el mismo socio mayoritario, la misma representante legal e, incluso, la misma oficina.</w:t>
      </w:r>
    </w:p>
    <w:p w14:paraId="2A63E624" w14:textId="786131A8" w:rsidR="0026097D" w:rsidRPr="00E320CE" w:rsidRDefault="0026097D" w:rsidP="0026097D">
      <w:pPr>
        <w:autoSpaceDE/>
        <w:autoSpaceDN/>
        <w:ind w:right="57"/>
        <w:jc w:val="both"/>
        <w:rPr>
          <w:bCs/>
          <w:sz w:val="28"/>
          <w:szCs w:val="28"/>
          <w:lang w:val="es-CO"/>
        </w:rPr>
      </w:pPr>
    </w:p>
    <w:p w14:paraId="3D5D722A" w14:textId="5CB727DC" w:rsidR="0026097D" w:rsidRPr="00E320CE" w:rsidRDefault="0026097D" w:rsidP="0026097D">
      <w:pPr>
        <w:autoSpaceDE/>
        <w:autoSpaceDN/>
        <w:ind w:right="57"/>
        <w:jc w:val="both"/>
        <w:rPr>
          <w:bCs/>
          <w:sz w:val="28"/>
          <w:szCs w:val="28"/>
          <w:lang w:val="es-CO"/>
        </w:rPr>
      </w:pPr>
      <w:r w:rsidRPr="00E320CE">
        <w:rPr>
          <w:bCs/>
          <w:sz w:val="28"/>
          <w:szCs w:val="28"/>
          <w:lang w:val="es-CO"/>
        </w:rPr>
        <w:t xml:space="preserve">Al analizar el caso concreto, esta Corporación </w:t>
      </w:r>
      <w:r w:rsidR="00E11750" w:rsidRPr="00E320CE">
        <w:rPr>
          <w:bCs/>
          <w:sz w:val="28"/>
          <w:szCs w:val="28"/>
          <w:lang w:val="es-CO"/>
        </w:rPr>
        <w:t>determinó</w:t>
      </w:r>
      <w:r w:rsidRPr="00E320CE">
        <w:rPr>
          <w:bCs/>
          <w:sz w:val="28"/>
          <w:szCs w:val="28"/>
          <w:lang w:val="es-CO"/>
        </w:rPr>
        <w:t xml:space="preserve">, en primer lugar, que </w:t>
      </w:r>
      <w:r w:rsidRPr="00E320CE">
        <w:rPr>
          <w:rFonts w:eastAsia="SimSun"/>
          <w:sz w:val="28"/>
          <w:szCs w:val="28"/>
          <w:lang w:val="es-MX"/>
        </w:rPr>
        <w:t xml:space="preserve">entre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lang w:val="es-CO"/>
        </w:rPr>
        <w:t xml:space="preserve">y la Unión Temporal Salud Integral PPL </w:t>
      </w:r>
      <w:r w:rsidRPr="00E320CE">
        <w:rPr>
          <w:sz w:val="28"/>
          <w:szCs w:val="28"/>
          <w:shd w:val="clear" w:color="auto" w:fill="FFFFFF"/>
        </w:rPr>
        <w:t xml:space="preserve">existió una verdadera relación laboral a término indefinido. </w:t>
      </w:r>
      <w:r w:rsidR="00222611" w:rsidRPr="00E320CE">
        <w:rPr>
          <w:sz w:val="28"/>
          <w:szCs w:val="28"/>
          <w:shd w:val="clear" w:color="auto" w:fill="FFFFFF"/>
        </w:rPr>
        <w:t>En particular</w:t>
      </w:r>
      <w:r w:rsidRPr="00E320CE">
        <w:rPr>
          <w:sz w:val="28"/>
          <w:szCs w:val="28"/>
          <w:shd w:val="clear" w:color="auto" w:fill="FFFFFF"/>
        </w:rPr>
        <w:t xml:space="preserve">, la Corte </w:t>
      </w:r>
      <w:r w:rsidR="00222611" w:rsidRPr="00E320CE">
        <w:rPr>
          <w:sz w:val="28"/>
          <w:szCs w:val="28"/>
          <w:shd w:val="clear" w:color="auto" w:fill="FFFFFF"/>
        </w:rPr>
        <w:t xml:space="preserve">concluyó </w:t>
      </w:r>
      <w:r w:rsidRPr="00E320CE">
        <w:rPr>
          <w:sz w:val="28"/>
          <w:szCs w:val="28"/>
          <w:shd w:val="clear" w:color="auto" w:fill="FFFFFF"/>
        </w:rPr>
        <w:t xml:space="preserve">que en este caso se </w:t>
      </w:r>
      <w:r w:rsidR="00222611" w:rsidRPr="00E320CE">
        <w:rPr>
          <w:sz w:val="28"/>
          <w:szCs w:val="28"/>
          <w:shd w:val="clear" w:color="auto" w:fill="FFFFFF"/>
        </w:rPr>
        <w:t xml:space="preserve">acreditaron </w:t>
      </w:r>
      <w:r w:rsidRPr="00E320CE">
        <w:rPr>
          <w:sz w:val="28"/>
          <w:szCs w:val="28"/>
          <w:shd w:val="clear" w:color="auto" w:fill="FFFFFF"/>
        </w:rPr>
        <w:t>elementos propios de una relación</w:t>
      </w:r>
      <w:r w:rsidR="00222611" w:rsidRPr="00E320CE">
        <w:rPr>
          <w:sz w:val="28"/>
          <w:szCs w:val="28"/>
          <w:shd w:val="clear" w:color="auto" w:fill="FFFFFF"/>
        </w:rPr>
        <w:t xml:space="preserve"> laboral subordinada, tales </w:t>
      </w:r>
      <w:r w:rsidRPr="00E320CE">
        <w:rPr>
          <w:sz w:val="28"/>
          <w:szCs w:val="28"/>
          <w:shd w:val="clear" w:color="auto" w:fill="FFFFFF"/>
        </w:rPr>
        <w:t>como</w:t>
      </w:r>
      <w:r w:rsidRPr="00E320CE">
        <w:rPr>
          <w:rFonts w:eastAsia="SimSun"/>
          <w:sz w:val="28"/>
          <w:szCs w:val="28"/>
          <w:lang w:val="es-MX"/>
        </w:rPr>
        <w:t xml:space="preserve"> la existencia de un horario y un lugar de trabajo determinado</w:t>
      </w:r>
      <w:r w:rsidR="00222611" w:rsidRPr="00E320CE">
        <w:rPr>
          <w:rFonts w:eastAsia="SimSun"/>
          <w:sz w:val="28"/>
          <w:szCs w:val="28"/>
          <w:lang w:val="es-MX"/>
        </w:rPr>
        <w:t>s</w:t>
      </w:r>
      <w:r w:rsidRPr="00E320CE">
        <w:rPr>
          <w:rFonts w:eastAsia="SimSun"/>
          <w:sz w:val="28"/>
          <w:szCs w:val="28"/>
          <w:lang w:val="es-MX"/>
        </w:rPr>
        <w:t>, la</w:t>
      </w:r>
      <w:r w:rsidR="00222611" w:rsidRPr="00E320CE">
        <w:rPr>
          <w:rFonts w:eastAsia="SimSun"/>
          <w:sz w:val="28"/>
          <w:szCs w:val="28"/>
          <w:lang w:val="es-MX"/>
        </w:rPr>
        <w:t xml:space="preserve"> continuidad </w:t>
      </w:r>
      <w:r w:rsidRPr="00E320CE">
        <w:rPr>
          <w:rFonts w:eastAsia="SimSun"/>
          <w:sz w:val="28"/>
          <w:szCs w:val="28"/>
          <w:lang w:val="es-MX"/>
        </w:rPr>
        <w:t>de la función por ser</w:t>
      </w:r>
      <w:r w:rsidR="00222611" w:rsidRPr="00E320CE">
        <w:rPr>
          <w:rFonts w:eastAsia="SimSun"/>
          <w:sz w:val="28"/>
          <w:szCs w:val="28"/>
          <w:lang w:val="es-MX"/>
        </w:rPr>
        <w:t xml:space="preserve"> inherente a</w:t>
      </w:r>
      <w:r w:rsidRPr="00E320CE">
        <w:rPr>
          <w:rFonts w:eastAsia="SimSun"/>
          <w:sz w:val="28"/>
          <w:szCs w:val="28"/>
          <w:lang w:val="es-MX"/>
        </w:rPr>
        <w:t>l giro ordinario de</w:t>
      </w:r>
      <w:r w:rsidR="00222611" w:rsidRPr="00E320CE">
        <w:rPr>
          <w:rFonts w:eastAsia="SimSun"/>
          <w:sz w:val="28"/>
          <w:szCs w:val="28"/>
          <w:lang w:val="es-MX"/>
        </w:rPr>
        <w:t>l</w:t>
      </w:r>
      <w:r w:rsidRPr="00E320CE">
        <w:rPr>
          <w:rFonts w:eastAsia="SimSun"/>
          <w:sz w:val="28"/>
          <w:szCs w:val="28"/>
          <w:lang w:val="es-MX"/>
        </w:rPr>
        <w:t xml:space="preserve"> negocio de la empresa, la celebración de sucesivos contratos </w:t>
      </w:r>
      <w:r w:rsidR="00222611" w:rsidRPr="00E320CE">
        <w:rPr>
          <w:rFonts w:eastAsia="SimSun"/>
          <w:sz w:val="28"/>
          <w:szCs w:val="28"/>
          <w:lang w:val="es-MX"/>
        </w:rPr>
        <w:t xml:space="preserve">de </w:t>
      </w:r>
      <w:r w:rsidRPr="00E320CE">
        <w:rPr>
          <w:rFonts w:eastAsia="SimSun"/>
          <w:sz w:val="28"/>
          <w:szCs w:val="28"/>
          <w:lang w:val="es-MX"/>
        </w:rPr>
        <w:t xml:space="preserve">prestación de servicios </w:t>
      </w:r>
      <w:r w:rsidR="00222611" w:rsidRPr="00E320CE">
        <w:rPr>
          <w:rFonts w:eastAsia="SimSun"/>
          <w:sz w:val="28"/>
          <w:szCs w:val="28"/>
          <w:lang w:val="es-MX"/>
        </w:rPr>
        <w:t>durante</w:t>
      </w:r>
      <w:r w:rsidRPr="00E320CE">
        <w:rPr>
          <w:rFonts w:eastAsia="SimSun"/>
          <w:sz w:val="28"/>
          <w:szCs w:val="28"/>
          <w:lang w:val="es-MX"/>
        </w:rPr>
        <w:t xml:space="preserve"> varios años y la imposición de instrucciones y reglamentos al contratista.</w:t>
      </w:r>
    </w:p>
    <w:p w14:paraId="2AC15FDA" w14:textId="2947AA4F" w:rsidR="0026097D" w:rsidRPr="00E320CE" w:rsidRDefault="0026097D" w:rsidP="0026097D">
      <w:pPr>
        <w:autoSpaceDE/>
        <w:autoSpaceDN/>
        <w:ind w:right="57"/>
        <w:jc w:val="both"/>
        <w:rPr>
          <w:bCs/>
          <w:sz w:val="28"/>
          <w:szCs w:val="28"/>
          <w:lang w:val="es-CO"/>
        </w:rPr>
      </w:pPr>
      <w:r w:rsidRPr="00E320CE">
        <w:rPr>
          <w:bCs/>
          <w:sz w:val="28"/>
          <w:szCs w:val="28"/>
          <w:lang w:val="es-CO"/>
        </w:rPr>
        <w:t xml:space="preserve"> </w:t>
      </w:r>
    </w:p>
    <w:p w14:paraId="3FBED180" w14:textId="0487178B" w:rsidR="008F1434" w:rsidRPr="00E320CE" w:rsidRDefault="00222611" w:rsidP="0026097D">
      <w:pPr>
        <w:autoSpaceDE/>
        <w:autoSpaceDN/>
        <w:ind w:right="57"/>
        <w:jc w:val="both"/>
        <w:rPr>
          <w:rFonts w:eastAsia="SimSun"/>
          <w:sz w:val="28"/>
          <w:szCs w:val="28"/>
          <w:lang w:val="es-MX"/>
        </w:rPr>
      </w:pPr>
      <w:r w:rsidRPr="00E320CE">
        <w:rPr>
          <w:bCs/>
          <w:sz w:val="28"/>
          <w:szCs w:val="28"/>
          <w:lang w:val="es-MX"/>
        </w:rPr>
        <w:t>En segundo lugar</w:t>
      </w:r>
      <w:r w:rsidR="0026097D" w:rsidRPr="00E320CE">
        <w:rPr>
          <w:bCs/>
          <w:sz w:val="28"/>
          <w:szCs w:val="28"/>
          <w:lang w:val="es-MX"/>
        </w:rPr>
        <w:t xml:space="preserve">, la Corte concluyó que la Unión Temporal Salud Integral PPL no logró desvirtuar la presunción de discriminación </w:t>
      </w:r>
      <w:r w:rsidRPr="00E320CE">
        <w:rPr>
          <w:bCs/>
          <w:sz w:val="28"/>
          <w:szCs w:val="28"/>
          <w:lang w:val="es-MX"/>
        </w:rPr>
        <w:t>en</w:t>
      </w:r>
      <w:r w:rsidR="0026097D" w:rsidRPr="00E320CE">
        <w:rPr>
          <w:bCs/>
          <w:sz w:val="28"/>
          <w:szCs w:val="28"/>
          <w:lang w:val="es-MX"/>
        </w:rPr>
        <w:t xml:space="preserve"> la terminación del contrato de prestación de servicios de </w:t>
      </w:r>
      <w:r w:rsidR="00E320CE" w:rsidRPr="00E320CE">
        <w:rPr>
          <w:bCs/>
          <w:i/>
          <w:iCs/>
          <w:sz w:val="28"/>
          <w:szCs w:val="28"/>
          <w:lang w:val="es-CO"/>
        </w:rPr>
        <w:t>Greta</w:t>
      </w:r>
      <w:r w:rsidR="00E320CE" w:rsidRPr="00E320CE">
        <w:rPr>
          <w:bCs/>
          <w:sz w:val="28"/>
          <w:szCs w:val="28"/>
          <w:lang w:val="es-CO"/>
        </w:rPr>
        <w:t>.</w:t>
      </w:r>
      <w:r w:rsidR="0026097D" w:rsidRPr="00E320CE">
        <w:rPr>
          <w:bCs/>
          <w:sz w:val="28"/>
          <w:szCs w:val="28"/>
          <w:lang w:val="es-MX"/>
        </w:rPr>
        <w:t xml:space="preserve"> </w:t>
      </w:r>
      <w:r w:rsidRPr="00E320CE">
        <w:rPr>
          <w:bCs/>
          <w:sz w:val="28"/>
          <w:szCs w:val="28"/>
          <w:lang w:val="es-MX"/>
        </w:rPr>
        <w:t xml:space="preserve">Aunque dicha unión temporal tenía conocimiento </w:t>
      </w:r>
      <w:r w:rsidR="0026097D" w:rsidRPr="00E320CE">
        <w:rPr>
          <w:bCs/>
          <w:sz w:val="28"/>
          <w:szCs w:val="28"/>
          <w:lang w:val="es-MX"/>
        </w:rPr>
        <w:t>de</w:t>
      </w:r>
      <w:r w:rsidRPr="00E320CE">
        <w:rPr>
          <w:bCs/>
          <w:sz w:val="28"/>
          <w:szCs w:val="28"/>
          <w:lang w:val="es-MX"/>
        </w:rPr>
        <w:t xml:space="preserve"> la condición de salud de la trabajadora, en particular, conocía</w:t>
      </w:r>
      <w:r w:rsidR="0026097D" w:rsidRPr="00E320CE">
        <w:rPr>
          <w:bCs/>
          <w:sz w:val="28"/>
          <w:szCs w:val="28"/>
          <w:lang w:val="es-MX"/>
        </w:rPr>
        <w:t xml:space="preserve"> su trastorno mixto de ansiedad y depresión, no acudió al Ministerio del Trabajo </w:t>
      </w:r>
      <w:r w:rsidR="00E87F7A" w:rsidRPr="00E320CE">
        <w:rPr>
          <w:bCs/>
          <w:sz w:val="28"/>
          <w:szCs w:val="28"/>
          <w:lang w:val="es-MX"/>
        </w:rPr>
        <w:t>para</w:t>
      </w:r>
      <w:r w:rsidR="0026097D" w:rsidRPr="00E320CE">
        <w:rPr>
          <w:bCs/>
          <w:sz w:val="28"/>
          <w:szCs w:val="28"/>
          <w:lang w:val="es-MX"/>
        </w:rPr>
        <w:t xml:space="preserve"> obtener </w:t>
      </w:r>
      <w:r w:rsidR="00E87F7A" w:rsidRPr="00E320CE">
        <w:rPr>
          <w:bCs/>
          <w:sz w:val="28"/>
          <w:szCs w:val="28"/>
          <w:lang w:val="es-MX"/>
        </w:rPr>
        <w:t>la</w:t>
      </w:r>
      <w:r w:rsidR="0026097D" w:rsidRPr="00E320CE">
        <w:rPr>
          <w:bCs/>
          <w:sz w:val="28"/>
          <w:szCs w:val="28"/>
          <w:lang w:val="es-MX"/>
        </w:rPr>
        <w:t xml:space="preserve"> autorización</w:t>
      </w:r>
      <w:r w:rsidR="00E87F7A" w:rsidRPr="00E320CE">
        <w:rPr>
          <w:bCs/>
          <w:sz w:val="28"/>
          <w:szCs w:val="28"/>
          <w:lang w:val="es-MX"/>
        </w:rPr>
        <w:t xml:space="preserve"> requerida</w:t>
      </w:r>
      <w:r w:rsidR="0026097D" w:rsidRPr="00E320CE">
        <w:rPr>
          <w:bCs/>
          <w:sz w:val="28"/>
          <w:szCs w:val="28"/>
          <w:lang w:val="es-MX"/>
        </w:rPr>
        <w:t xml:space="preserve"> para</w:t>
      </w:r>
      <w:r w:rsidR="00E87F7A" w:rsidRPr="00E320CE">
        <w:rPr>
          <w:bCs/>
          <w:sz w:val="28"/>
          <w:szCs w:val="28"/>
          <w:lang w:val="es-MX"/>
        </w:rPr>
        <w:t xml:space="preserve"> terminar su vinculación. En su lugar</w:t>
      </w:r>
      <w:r w:rsidR="0026097D" w:rsidRPr="00E320CE">
        <w:rPr>
          <w:bCs/>
          <w:sz w:val="28"/>
          <w:szCs w:val="28"/>
          <w:lang w:val="es-MX"/>
        </w:rPr>
        <w:t>, se limitó a invocar la finalización de sus operaciones como causa objetiva</w:t>
      </w:r>
      <w:r w:rsidRPr="00E320CE">
        <w:rPr>
          <w:bCs/>
          <w:sz w:val="28"/>
          <w:szCs w:val="28"/>
          <w:lang w:val="es-MX"/>
        </w:rPr>
        <w:t xml:space="preserve"> para justificar </w:t>
      </w:r>
      <w:r w:rsidR="0026097D" w:rsidRPr="00E320CE">
        <w:rPr>
          <w:bCs/>
          <w:sz w:val="28"/>
          <w:szCs w:val="28"/>
          <w:lang w:val="es-MX"/>
        </w:rPr>
        <w:t>la</w:t>
      </w:r>
      <w:r w:rsidR="00E87F7A" w:rsidRPr="00E320CE">
        <w:rPr>
          <w:bCs/>
          <w:sz w:val="28"/>
          <w:szCs w:val="28"/>
          <w:lang w:val="es-MX"/>
        </w:rPr>
        <w:t xml:space="preserve"> terminación del contrato de la accionante</w:t>
      </w:r>
      <w:r w:rsidR="0026097D" w:rsidRPr="00E320CE">
        <w:rPr>
          <w:bCs/>
          <w:sz w:val="28"/>
          <w:szCs w:val="28"/>
          <w:lang w:val="es-MX"/>
        </w:rPr>
        <w:t xml:space="preserve">, </w:t>
      </w:r>
      <w:r w:rsidR="00E87F7A" w:rsidRPr="00E320CE">
        <w:rPr>
          <w:bCs/>
          <w:sz w:val="28"/>
          <w:szCs w:val="28"/>
          <w:lang w:val="es-MX"/>
        </w:rPr>
        <w:t xml:space="preserve">argumento que resultó </w:t>
      </w:r>
      <w:r w:rsidR="0026097D" w:rsidRPr="00E320CE">
        <w:rPr>
          <w:rFonts w:eastAsia="SimSun"/>
          <w:sz w:val="28"/>
          <w:szCs w:val="28"/>
          <w:lang w:val="es-MX"/>
        </w:rPr>
        <w:t xml:space="preserve">insuficiente para desvirtuar la presunción de discriminación. </w:t>
      </w:r>
    </w:p>
    <w:p w14:paraId="6B8D2527" w14:textId="77777777" w:rsidR="008F1434" w:rsidRPr="00E320CE" w:rsidRDefault="008F1434" w:rsidP="0026097D">
      <w:pPr>
        <w:autoSpaceDE/>
        <w:autoSpaceDN/>
        <w:ind w:right="57"/>
        <w:jc w:val="both"/>
        <w:rPr>
          <w:rFonts w:eastAsia="SimSun"/>
          <w:sz w:val="28"/>
          <w:szCs w:val="28"/>
          <w:lang w:val="es-MX"/>
        </w:rPr>
      </w:pPr>
    </w:p>
    <w:p w14:paraId="7DBC37F7" w14:textId="0EBC5922" w:rsidR="008F1434" w:rsidRPr="00E320CE" w:rsidRDefault="008F1434" w:rsidP="0026097D">
      <w:pPr>
        <w:autoSpaceDE/>
        <w:autoSpaceDN/>
        <w:ind w:right="57"/>
        <w:jc w:val="both"/>
        <w:rPr>
          <w:rFonts w:eastAsia="SimSun"/>
          <w:sz w:val="28"/>
          <w:szCs w:val="28"/>
          <w:lang w:val="es-MX"/>
        </w:rPr>
      </w:pPr>
      <w:r w:rsidRPr="00E320CE">
        <w:rPr>
          <w:rFonts w:eastAsia="SimSun"/>
          <w:sz w:val="28"/>
          <w:szCs w:val="28"/>
          <w:lang w:val="es-MX"/>
        </w:rPr>
        <w:lastRenderedPageBreak/>
        <w:t xml:space="preserve">Finalmente, esta Corporación determinó que, entre la </w:t>
      </w:r>
      <w:r w:rsidRPr="00E320CE">
        <w:rPr>
          <w:bCs/>
          <w:sz w:val="28"/>
          <w:szCs w:val="28"/>
          <w:lang w:val="es-CO"/>
        </w:rPr>
        <w:t xml:space="preserve">Unión Temporal Salud Integral PPL y la Unión Temporal </w:t>
      </w:r>
      <w:proofErr w:type="spellStart"/>
      <w:r w:rsidRPr="00E320CE">
        <w:rPr>
          <w:bCs/>
          <w:sz w:val="28"/>
          <w:szCs w:val="28"/>
          <w:lang w:val="es-CO"/>
        </w:rPr>
        <w:t>Norsalud</w:t>
      </w:r>
      <w:proofErr w:type="spellEnd"/>
      <w:r w:rsidRPr="00E320CE">
        <w:rPr>
          <w:bCs/>
          <w:sz w:val="28"/>
          <w:szCs w:val="28"/>
          <w:lang w:val="es-CO"/>
        </w:rPr>
        <w:t xml:space="preserve"> PPL operó una sustitución patronal. Esto se</w:t>
      </w:r>
      <w:r w:rsidR="00660193" w:rsidRPr="00E320CE">
        <w:rPr>
          <w:bCs/>
          <w:sz w:val="28"/>
          <w:szCs w:val="28"/>
          <w:lang w:val="es-CO"/>
        </w:rPr>
        <w:t xml:space="preserve"> fundamenta en la existencia de </w:t>
      </w:r>
      <w:r w:rsidRPr="00E320CE">
        <w:rPr>
          <w:rFonts w:eastAsia="SimSun"/>
          <w:sz w:val="28"/>
          <w:szCs w:val="28"/>
          <w:lang w:val="es-MX"/>
        </w:rPr>
        <w:t xml:space="preserve">un cambio de empleador, </w:t>
      </w:r>
      <w:r w:rsidR="00660193" w:rsidRPr="00E320CE">
        <w:rPr>
          <w:rFonts w:eastAsia="SimSun"/>
          <w:sz w:val="28"/>
          <w:szCs w:val="28"/>
          <w:lang w:val="es-MX"/>
        </w:rPr>
        <w:t>la permanencia</w:t>
      </w:r>
      <w:r w:rsidRPr="00E320CE">
        <w:rPr>
          <w:rFonts w:eastAsia="SimSun"/>
          <w:sz w:val="28"/>
          <w:szCs w:val="28"/>
          <w:lang w:val="es-MX"/>
        </w:rPr>
        <w:t xml:space="preserve"> de la </w:t>
      </w:r>
      <w:r w:rsidR="00C24905" w:rsidRPr="00E320CE">
        <w:rPr>
          <w:rFonts w:eastAsia="SimSun"/>
          <w:sz w:val="28"/>
          <w:szCs w:val="28"/>
          <w:lang w:val="es-MX"/>
        </w:rPr>
        <w:t xml:space="preserve">actividad </w:t>
      </w:r>
      <w:r w:rsidRPr="00E320CE">
        <w:rPr>
          <w:rFonts w:eastAsia="SimSun"/>
          <w:sz w:val="28"/>
          <w:szCs w:val="28"/>
          <w:lang w:val="es-MX"/>
        </w:rPr>
        <w:t>empresa</w:t>
      </w:r>
      <w:r w:rsidR="00C24905" w:rsidRPr="00E320CE">
        <w:rPr>
          <w:rFonts w:eastAsia="SimSun"/>
          <w:sz w:val="28"/>
          <w:szCs w:val="28"/>
          <w:lang w:val="es-MX"/>
        </w:rPr>
        <w:t>rial</w:t>
      </w:r>
      <w:r w:rsidRPr="00E320CE">
        <w:rPr>
          <w:rFonts w:eastAsia="SimSun"/>
          <w:sz w:val="28"/>
          <w:szCs w:val="28"/>
          <w:lang w:val="es-MX"/>
        </w:rPr>
        <w:t xml:space="preserve"> y de </w:t>
      </w:r>
      <w:r w:rsidR="00660193" w:rsidRPr="00E320CE">
        <w:rPr>
          <w:rFonts w:eastAsia="SimSun"/>
          <w:sz w:val="28"/>
          <w:szCs w:val="28"/>
          <w:lang w:val="es-MX"/>
        </w:rPr>
        <w:t>las</w:t>
      </w:r>
      <w:r w:rsidRPr="00E320CE">
        <w:rPr>
          <w:rFonts w:eastAsia="SimSun"/>
          <w:sz w:val="28"/>
          <w:szCs w:val="28"/>
          <w:lang w:val="es-MX"/>
        </w:rPr>
        <w:t xml:space="preserve"> operaciones</w:t>
      </w:r>
      <w:r w:rsidR="00660193" w:rsidRPr="00E320CE">
        <w:rPr>
          <w:rFonts w:eastAsia="SimSun"/>
          <w:sz w:val="28"/>
          <w:szCs w:val="28"/>
          <w:lang w:val="es-MX"/>
        </w:rPr>
        <w:t xml:space="preserve"> entre ambas uniones temporales</w:t>
      </w:r>
      <w:r w:rsidRPr="00E320CE">
        <w:rPr>
          <w:rFonts w:eastAsia="SimSun"/>
          <w:sz w:val="28"/>
          <w:szCs w:val="28"/>
          <w:lang w:val="es-MX"/>
        </w:rPr>
        <w:t xml:space="preserve">, </w:t>
      </w:r>
      <w:r w:rsidR="00660193" w:rsidRPr="00E320CE">
        <w:rPr>
          <w:rFonts w:eastAsia="SimSun"/>
          <w:sz w:val="28"/>
          <w:szCs w:val="28"/>
          <w:lang w:val="es-MX"/>
        </w:rPr>
        <w:t xml:space="preserve">así como la </w:t>
      </w:r>
      <w:r w:rsidRPr="00E320CE">
        <w:rPr>
          <w:rFonts w:eastAsia="SimSun"/>
          <w:sz w:val="28"/>
          <w:szCs w:val="28"/>
          <w:lang w:val="es-MX"/>
        </w:rPr>
        <w:t xml:space="preserve">continuidad de la trabajadora. </w:t>
      </w:r>
      <w:r w:rsidR="00660193" w:rsidRPr="00E320CE">
        <w:rPr>
          <w:rFonts w:eastAsia="SimSun"/>
          <w:sz w:val="28"/>
          <w:szCs w:val="28"/>
          <w:lang w:val="es-MX"/>
        </w:rPr>
        <w:t xml:space="preserve">Sobre este </w:t>
      </w:r>
      <w:r w:rsidRPr="00E320CE">
        <w:rPr>
          <w:rFonts w:eastAsia="SimSun"/>
          <w:sz w:val="28"/>
          <w:szCs w:val="28"/>
          <w:lang w:val="es-MX"/>
        </w:rPr>
        <w:t>último punto, la Corte indicó que</w:t>
      </w:r>
      <w:r w:rsidR="00660193" w:rsidRPr="00E320CE">
        <w:rPr>
          <w:rFonts w:eastAsia="SimSun"/>
          <w:sz w:val="28"/>
          <w:szCs w:val="28"/>
          <w:lang w:val="es-MX"/>
        </w:rPr>
        <w:t xml:space="preserve"> dicha </w:t>
      </w:r>
      <w:r w:rsidRPr="00E320CE">
        <w:rPr>
          <w:rFonts w:eastAsia="SimSun"/>
          <w:sz w:val="28"/>
          <w:szCs w:val="28"/>
          <w:lang w:val="es-MX"/>
        </w:rPr>
        <w:t xml:space="preserve">continuidad </w:t>
      </w:r>
      <w:r w:rsidR="00660193" w:rsidRPr="00E320CE">
        <w:rPr>
          <w:rFonts w:eastAsia="SimSun"/>
          <w:sz w:val="28"/>
          <w:szCs w:val="28"/>
          <w:lang w:val="es-MX"/>
        </w:rPr>
        <w:t xml:space="preserve">se evidenció en el hecho de que </w:t>
      </w:r>
      <w:r w:rsidRPr="00E320CE">
        <w:rPr>
          <w:sz w:val="28"/>
          <w:szCs w:val="28"/>
        </w:rPr>
        <w:t xml:space="preserve">la Unión Temporal </w:t>
      </w:r>
      <w:proofErr w:type="spellStart"/>
      <w:r w:rsidRPr="00E320CE">
        <w:rPr>
          <w:sz w:val="28"/>
          <w:szCs w:val="28"/>
        </w:rPr>
        <w:t>Norsalud</w:t>
      </w:r>
      <w:proofErr w:type="spellEnd"/>
      <w:r w:rsidRPr="00E320CE">
        <w:rPr>
          <w:sz w:val="28"/>
          <w:szCs w:val="28"/>
        </w:rPr>
        <w:t xml:space="preserve"> PPL </w:t>
      </w:r>
      <w:r w:rsidR="00660193" w:rsidRPr="00E320CE">
        <w:rPr>
          <w:sz w:val="28"/>
          <w:szCs w:val="28"/>
        </w:rPr>
        <w:t xml:space="preserve">inició operaciones </w:t>
      </w:r>
      <w:r w:rsidRPr="00E320CE">
        <w:rPr>
          <w:sz w:val="28"/>
          <w:szCs w:val="28"/>
        </w:rPr>
        <w:t>antes de</w:t>
      </w:r>
      <w:r w:rsidR="00660193" w:rsidRPr="00E320CE">
        <w:rPr>
          <w:sz w:val="28"/>
          <w:szCs w:val="28"/>
        </w:rPr>
        <w:t xml:space="preserve"> la terminación d</w:t>
      </w:r>
      <w:r w:rsidRPr="00E320CE">
        <w:rPr>
          <w:sz w:val="28"/>
          <w:szCs w:val="28"/>
        </w:rPr>
        <w:t xml:space="preserve">el contrato de prestación de servicios de la accionante y porque </w:t>
      </w:r>
      <w:r w:rsidRPr="00E320CE">
        <w:rPr>
          <w:rFonts w:eastAsia="SimSun"/>
          <w:sz w:val="28"/>
          <w:szCs w:val="28"/>
        </w:rPr>
        <w:t>no</w:t>
      </w:r>
      <w:r w:rsidRPr="00E320CE">
        <w:rPr>
          <w:rFonts w:eastAsia="SimSun"/>
          <w:sz w:val="28"/>
          <w:szCs w:val="28"/>
          <w:lang w:val="es-MX"/>
        </w:rPr>
        <w:t xml:space="preserve"> es posible excluir a un trabajador o a un grupo específico</w:t>
      </w:r>
      <w:r w:rsidR="00660193" w:rsidRPr="00E320CE">
        <w:rPr>
          <w:rFonts w:eastAsia="SimSun"/>
          <w:sz w:val="28"/>
          <w:szCs w:val="28"/>
          <w:lang w:val="es-MX"/>
        </w:rPr>
        <w:t xml:space="preserve"> de trabajadores</w:t>
      </w:r>
      <w:r w:rsidRPr="00E320CE">
        <w:rPr>
          <w:rFonts w:eastAsia="SimSun"/>
          <w:sz w:val="28"/>
          <w:szCs w:val="28"/>
          <w:lang w:val="es-MX"/>
        </w:rPr>
        <w:t xml:space="preserve"> de una sustitución patronal.</w:t>
      </w:r>
    </w:p>
    <w:p w14:paraId="483F70AF" w14:textId="77777777" w:rsidR="0026097D" w:rsidRPr="00E320CE" w:rsidRDefault="0026097D" w:rsidP="0026097D">
      <w:pPr>
        <w:autoSpaceDE/>
        <w:autoSpaceDN/>
        <w:ind w:right="57"/>
        <w:jc w:val="both"/>
        <w:rPr>
          <w:bCs/>
          <w:sz w:val="28"/>
          <w:szCs w:val="28"/>
          <w:lang w:val="es-CO"/>
        </w:rPr>
      </w:pPr>
      <w:r w:rsidRPr="00E320CE">
        <w:rPr>
          <w:bCs/>
          <w:sz w:val="28"/>
          <w:szCs w:val="28"/>
          <w:lang w:val="es-CO"/>
        </w:rPr>
        <w:t> </w:t>
      </w:r>
    </w:p>
    <w:p w14:paraId="6AA2EB08" w14:textId="45E6FD18" w:rsidR="0026097D" w:rsidRPr="00E320CE" w:rsidRDefault="00AC41CF" w:rsidP="008F1434">
      <w:pPr>
        <w:pStyle w:val="Prrafodelista"/>
        <w:autoSpaceDE/>
        <w:autoSpaceDN/>
        <w:ind w:left="0"/>
        <w:contextualSpacing w:val="0"/>
        <w:jc w:val="both"/>
        <w:rPr>
          <w:bCs/>
          <w:sz w:val="28"/>
          <w:szCs w:val="28"/>
          <w:lang w:val="es-ES"/>
        </w:rPr>
      </w:pPr>
      <w:r w:rsidRPr="00E320CE">
        <w:rPr>
          <w:bCs/>
          <w:sz w:val="28"/>
          <w:szCs w:val="28"/>
          <w:lang w:val="es-CO"/>
        </w:rPr>
        <w:t xml:space="preserve">La Corte Constitucional concedió el amparo de los derechos fundamentales invocados por la </w:t>
      </w:r>
      <w:proofErr w:type="spellStart"/>
      <w:r w:rsidRPr="00E320CE">
        <w:rPr>
          <w:bCs/>
          <w:sz w:val="28"/>
          <w:szCs w:val="28"/>
          <w:lang w:val="es-CO"/>
        </w:rPr>
        <w:t>accinante</w:t>
      </w:r>
      <w:proofErr w:type="spellEnd"/>
      <w:r w:rsidRPr="00E320CE">
        <w:rPr>
          <w:bCs/>
          <w:sz w:val="28"/>
          <w:szCs w:val="28"/>
          <w:lang w:val="es-CO"/>
        </w:rPr>
        <w:t xml:space="preserve">. </w:t>
      </w:r>
      <w:r w:rsidR="008F1434" w:rsidRPr="00E320CE">
        <w:rPr>
          <w:bCs/>
          <w:sz w:val="28"/>
          <w:szCs w:val="28"/>
          <w:lang w:val="es-CO"/>
        </w:rPr>
        <w:t xml:space="preserve">En </w:t>
      </w:r>
      <w:r w:rsidRPr="00E320CE">
        <w:rPr>
          <w:bCs/>
          <w:sz w:val="28"/>
          <w:szCs w:val="28"/>
          <w:lang w:val="es-CO"/>
        </w:rPr>
        <w:t>consecuencia, esta Corporación</w:t>
      </w:r>
      <w:r w:rsidR="008F1434" w:rsidRPr="00E320CE">
        <w:rPr>
          <w:bCs/>
          <w:sz w:val="28"/>
          <w:szCs w:val="28"/>
          <w:lang w:val="es-CO"/>
        </w:rPr>
        <w:t xml:space="preserve"> declaró </w:t>
      </w:r>
      <w:r w:rsidR="008F1434" w:rsidRPr="00E320CE">
        <w:rPr>
          <w:sz w:val="28"/>
          <w:szCs w:val="28"/>
        </w:rPr>
        <w:t xml:space="preserve">la existencia de un contrato </w:t>
      </w:r>
      <w:r w:rsidR="00C24905" w:rsidRPr="00E320CE">
        <w:rPr>
          <w:sz w:val="28"/>
          <w:szCs w:val="28"/>
        </w:rPr>
        <w:t>realidad</w:t>
      </w:r>
      <w:r w:rsidR="008F1434" w:rsidRPr="00E320CE">
        <w:rPr>
          <w:sz w:val="28"/>
          <w:szCs w:val="28"/>
        </w:rPr>
        <w:t xml:space="preserve"> a término indefinido entre la Unión Temporal</w:t>
      </w:r>
      <w:r w:rsidRPr="00E320CE">
        <w:rPr>
          <w:sz w:val="28"/>
          <w:szCs w:val="28"/>
        </w:rPr>
        <w:t xml:space="preserve"> Salud Integral PPL</w:t>
      </w:r>
      <w:r w:rsidR="008F1434" w:rsidRPr="00E320CE">
        <w:rPr>
          <w:sz w:val="28"/>
          <w:szCs w:val="28"/>
        </w:rPr>
        <w:t xml:space="preserve"> y </w:t>
      </w:r>
      <w:r w:rsidR="00E320CE" w:rsidRPr="00E320CE">
        <w:rPr>
          <w:i/>
          <w:iCs/>
          <w:sz w:val="28"/>
          <w:szCs w:val="28"/>
          <w:lang w:val="es-CO"/>
        </w:rPr>
        <w:t>Greta</w:t>
      </w:r>
      <w:r w:rsidR="008F1434" w:rsidRPr="00E320CE">
        <w:rPr>
          <w:sz w:val="28"/>
          <w:szCs w:val="28"/>
        </w:rPr>
        <w:t xml:space="preserve">, </w:t>
      </w:r>
      <w:r w:rsidRPr="00E320CE">
        <w:rPr>
          <w:sz w:val="28"/>
          <w:szCs w:val="28"/>
        </w:rPr>
        <w:t xml:space="preserve">frente al cual operó la sustitución patronal con el empleador Unión Temporal </w:t>
      </w:r>
      <w:proofErr w:type="spellStart"/>
      <w:r w:rsidRPr="00E320CE">
        <w:rPr>
          <w:sz w:val="28"/>
          <w:szCs w:val="28"/>
        </w:rPr>
        <w:t>Norsalud</w:t>
      </w:r>
      <w:proofErr w:type="spellEnd"/>
      <w:r w:rsidRPr="00E320CE">
        <w:rPr>
          <w:sz w:val="28"/>
          <w:szCs w:val="28"/>
        </w:rPr>
        <w:t xml:space="preserve"> PPL, </w:t>
      </w:r>
      <w:r w:rsidR="008F1434" w:rsidRPr="00E320CE">
        <w:rPr>
          <w:sz w:val="28"/>
          <w:szCs w:val="28"/>
        </w:rPr>
        <w:t xml:space="preserve">y la ineficacia de la terminación de la relación laboral. Asimismo, ordenó a la Unión Temporal </w:t>
      </w:r>
      <w:proofErr w:type="spellStart"/>
      <w:r w:rsidR="008F1434" w:rsidRPr="00E320CE">
        <w:rPr>
          <w:sz w:val="28"/>
          <w:szCs w:val="28"/>
        </w:rPr>
        <w:t>Norsalud</w:t>
      </w:r>
      <w:proofErr w:type="spellEnd"/>
      <w:r w:rsidR="008F1434" w:rsidRPr="00E320CE">
        <w:rPr>
          <w:sz w:val="28"/>
          <w:szCs w:val="28"/>
        </w:rPr>
        <w:t xml:space="preserve"> PPL que</w:t>
      </w:r>
      <w:r w:rsidR="00DC6D08" w:rsidRPr="00E320CE">
        <w:rPr>
          <w:sz w:val="28"/>
          <w:szCs w:val="28"/>
        </w:rPr>
        <w:t>: (i)</w:t>
      </w:r>
      <w:r w:rsidR="008F1434" w:rsidRPr="00E320CE">
        <w:rPr>
          <w:sz w:val="28"/>
          <w:szCs w:val="28"/>
        </w:rPr>
        <w:t xml:space="preserve"> proceda a reintegr</w:t>
      </w:r>
      <w:r w:rsidRPr="00E320CE">
        <w:rPr>
          <w:sz w:val="28"/>
          <w:szCs w:val="28"/>
        </w:rPr>
        <w:t>ar</w:t>
      </w:r>
      <w:r w:rsidR="008F1434" w:rsidRPr="00E320CE">
        <w:rPr>
          <w:sz w:val="28"/>
          <w:szCs w:val="28"/>
        </w:rPr>
        <w:t xml:space="preserve"> </w:t>
      </w:r>
      <w:r w:rsidRPr="00E320CE">
        <w:rPr>
          <w:sz w:val="28"/>
          <w:szCs w:val="28"/>
        </w:rPr>
        <w:t>a</w:t>
      </w:r>
      <w:r w:rsidR="008F1434" w:rsidRPr="00E320CE">
        <w:rPr>
          <w:sz w:val="28"/>
          <w:szCs w:val="28"/>
        </w:rPr>
        <w:t xml:space="preserve"> la </w:t>
      </w:r>
      <w:r w:rsidRPr="00E320CE">
        <w:rPr>
          <w:sz w:val="28"/>
          <w:szCs w:val="28"/>
        </w:rPr>
        <w:t xml:space="preserve">trabajadora </w:t>
      </w:r>
      <w:r w:rsidR="008F1434" w:rsidRPr="00E320CE">
        <w:rPr>
          <w:sz w:val="28"/>
          <w:szCs w:val="28"/>
        </w:rPr>
        <w:t xml:space="preserve">a sus labores, en un puesto igual o mejor al que venía desempeñando, </w:t>
      </w:r>
      <w:r w:rsidRPr="00E320CE">
        <w:rPr>
          <w:sz w:val="28"/>
          <w:szCs w:val="28"/>
        </w:rPr>
        <w:t xml:space="preserve">en atención </w:t>
      </w:r>
      <w:r w:rsidR="008F1434" w:rsidRPr="00E320CE">
        <w:rPr>
          <w:sz w:val="28"/>
          <w:szCs w:val="28"/>
        </w:rPr>
        <w:t xml:space="preserve">a su situación de salud y </w:t>
      </w:r>
      <w:r w:rsidR="00D27DE1" w:rsidRPr="00E320CE">
        <w:rPr>
          <w:sz w:val="28"/>
          <w:szCs w:val="28"/>
        </w:rPr>
        <w:t xml:space="preserve">a través </w:t>
      </w:r>
      <w:r w:rsidR="008F1434" w:rsidRPr="00E320CE">
        <w:rPr>
          <w:sz w:val="28"/>
          <w:szCs w:val="28"/>
        </w:rPr>
        <w:t>de un contrato laboral</w:t>
      </w:r>
      <w:r w:rsidR="00DC6D08" w:rsidRPr="00E320CE">
        <w:rPr>
          <w:sz w:val="28"/>
          <w:szCs w:val="28"/>
        </w:rPr>
        <w:t>; y (</w:t>
      </w:r>
      <w:proofErr w:type="spellStart"/>
      <w:r w:rsidR="00DC6D08" w:rsidRPr="00E320CE">
        <w:rPr>
          <w:sz w:val="28"/>
          <w:szCs w:val="28"/>
        </w:rPr>
        <w:t>ii</w:t>
      </w:r>
      <w:proofErr w:type="spellEnd"/>
      <w:r w:rsidR="00DC6D08" w:rsidRPr="00E320CE">
        <w:rPr>
          <w:sz w:val="28"/>
          <w:szCs w:val="28"/>
        </w:rPr>
        <w:t xml:space="preserve">) pague los salarios y prestaciones sociales dejados de percibir por </w:t>
      </w:r>
      <w:r w:rsidR="00E320CE" w:rsidRPr="00E320CE">
        <w:rPr>
          <w:i/>
          <w:iCs/>
          <w:sz w:val="28"/>
          <w:szCs w:val="28"/>
          <w:lang w:val="es-CO"/>
        </w:rPr>
        <w:t>Greta</w:t>
      </w:r>
      <w:r w:rsidR="00E320CE" w:rsidRPr="00E320CE" w:rsidDel="006E6781">
        <w:rPr>
          <w:sz w:val="28"/>
          <w:szCs w:val="28"/>
          <w:lang w:val="es-CO"/>
        </w:rPr>
        <w:t xml:space="preserve"> </w:t>
      </w:r>
      <w:r w:rsidR="00DC6D08" w:rsidRPr="00E320CE">
        <w:rPr>
          <w:sz w:val="28"/>
          <w:szCs w:val="28"/>
        </w:rPr>
        <w:t>desde la terminación de su contrato laboral hasta que se haga efectivo el reintegro</w:t>
      </w:r>
      <w:r w:rsidR="008F1434" w:rsidRPr="00E320CE">
        <w:rPr>
          <w:sz w:val="28"/>
          <w:szCs w:val="28"/>
        </w:rPr>
        <w:t xml:space="preserve">. Por último, ordenó a ambas uniones temporales a responder solidariamente por el pago de la sanción establecida </w:t>
      </w:r>
      <w:r w:rsidR="00D27DE1" w:rsidRPr="00E320CE">
        <w:rPr>
          <w:sz w:val="28"/>
          <w:szCs w:val="28"/>
        </w:rPr>
        <w:t>en</w:t>
      </w:r>
      <w:r w:rsidR="008F1434" w:rsidRPr="00E320CE">
        <w:rPr>
          <w:sz w:val="28"/>
          <w:szCs w:val="28"/>
        </w:rPr>
        <w:t xml:space="preserve"> el inciso segundo del artículo 26 de la Ley 361 de 1997</w:t>
      </w:r>
      <w:r w:rsidR="00D27DE1" w:rsidRPr="00E320CE">
        <w:rPr>
          <w:sz w:val="28"/>
          <w:szCs w:val="28"/>
        </w:rPr>
        <w:t xml:space="preserve">, que corresponde al pago de </w:t>
      </w:r>
      <w:r w:rsidR="008F1434" w:rsidRPr="00E320CE">
        <w:rPr>
          <w:sz w:val="28"/>
          <w:szCs w:val="28"/>
        </w:rPr>
        <w:t>180 días de salario.</w:t>
      </w:r>
    </w:p>
    <w:p w14:paraId="07427059" w14:textId="77777777" w:rsidR="0026097D" w:rsidRPr="00E320CE" w:rsidRDefault="0026097D" w:rsidP="0026097D">
      <w:pPr>
        <w:autoSpaceDE/>
        <w:autoSpaceDN/>
        <w:ind w:right="57"/>
        <w:jc w:val="both"/>
        <w:rPr>
          <w:b/>
          <w:sz w:val="28"/>
          <w:szCs w:val="28"/>
          <w:lang w:val="es-CO"/>
        </w:rPr>
      </w:pPr>
    </w:p>
    <w:p w14:paraId="446A8D2A" w14:textId="49AE25F1" w:rsidR="00B33234" w:rsidRPr="00E320CE" w:rsidRDefault="00B33234" w:rsidP="0099734A">
      <w:pPr>
        <w:pStyle w:val="Prrafodelista"/>
        <w:numPr>
          <w:ilvl w:val="0"/>
          <w:numId w:val="14"/>
        </w:numPr>
        <w:adjustRightInd w:val="0"/>
        <w:ind w:left="567" w:right="-234" w:hanging="567"/>
        <w:rPr>
          <w:b/>
          <w:sz w:val="28"/>
          <w:szCs w:val="28"/>
          <w:lang w:val="es-CO"/>
        </w:rPr>
      </w:pPr>
      <w:r w:rsidRPr="00E320CE">
        <w:rPr>
          <w:b/>
          <w:sz w:val="28"/>
          <w:szCs w:val="28"/>
          <w:lang w:val="es-CO"/>
        </w:rPr>
        <w:t>ANTECEDENTES</w:t>
      </w:r>
    </w:p>
    <w:p w14:paraId="2FC17B59" w14:textId="77777777" w:rsidR="00013B53" w:rsidRPr="00E320CE" w:rsidRDefault="00013B53" w:rsidP="003609D2">
      <w:pPr>
        <w:pStyle w:val="Prrafodelista"/>
        <w:ind w:left="0"/>
        <w:jc w:val="both"/>
        <w:rPr>
          <w:sz w:val="28"/>
          <w:szCs w:val="28"/>
          <w:lang w:val="es-CO"/>
        </w:rPr>
      </w:pPr>
    </w:p>
    <w:p w14:paraId="5EC8E1CD" w14:textId="67A35DE0" w:rsidR="00022A41" w:rsidRPr="00E320CE" w:rsidRDefault="00E320CE" w:rsidP="00022A41">
      <w:pPr>
        <w:pStyle w:val="Prrafodelista"/>
        <w:numPr>
          <w:ilvl w:val="0"/>
          <w:numId w:val="1"/>
        </w:numPr>
        <w:autoSpaceDE/>
        <w:autoSpaceDN/>
        <w:ind w:left="0" w:right="57" w:firstLine="0"/>
        <w:jc w:val="both"/>
        <w:rPr>
          <w:sz w:val="28"/>
          <w:szCs w:val="28"/>
        </w:rPr>
      </w:pPr>
      <w:r w:rsidRPr="00E320CE">
        <w:rPr>
          <w:i/>
          <w:iCs/>
          <w:sz w:val="28"/>
          <w:szCs w:val="28"/>
          <w:lang w:val="es-CO"/>
        </w:rPr>
        <w:t>Greta</w:t>
      </w:r>
      <w:r w:rsidRPr="00E320CE" w:rsidDel="006E6781">
        <w:rPr>
          <w:sz w:val="28"/>
          <w:szCs w:val="28"/>
          <w:lang w:val="es-CO"/>
        </w:rPr>
        <w:t xml:space="preserve"> </w:t>
      </w:r>
      <w:r w:rsidR="00022A41" w:rsidRPr="00E320CE">
        <w:rPr>
          <w:sz w:val="28"/>
          <w:szCs w:val="28"/>
        </w:rPr>
        <w:t xml:space="preserve">presentó acción de tutela contra </w:t>
      </w:r>
      <w:r w:rsidR="00022A41" w:rsidRPr="00E320CE">
        <w:rPr>
          <w:sz w:val="28"/>
          <w:szCs w:val="28"/>
          <w:lang w:val="es-CO"/>
        </w:rPr>
        <w:t>la Unión Temporal</w:t>
      </w:r>
      <w:r w:rsidR="00022A41" w:rsidRPr="00E320CE" w:rsidDel="00A0780B">
        <w:rPr>
          <w:sz w:val="28"/>
          <w:szCs w:val="28"/>
          <w:lang w:val="es-CO"/>
        </w:rPr>
        <w:t xml:space="preserve"> </w:t>
      </w:r>
      <w:proofErr w:type="spellStart"/>
      <w:r w:rsidR="00022A41" w:rsidRPr="00E320CE">
        <w:rPr>
          <w:sz w:val="28"/>
          <w:szCs w:val="28"/>
          <w:lang w:val="es-CO"/>
        </w:rPr>
        <w:t>Norsalud</w:t>
      </w:r>
      <w:proofErr w:type="spellEnd"/>
      <w:r w:rsidR="00022A41" w:rsidRPr="00E320CE">
        <w:rPr>
          <w:sz w:val="28"/>
          <w:szCs w:val="28"/>
          <w:lang w:val="es-CO"/>
        </w:rPr>
        <w:t xml:space="preserve"> PPL, la Unión Temporal de Salud Integral PPL y el Establecimiento Penitenciario de Mediana Seguridad y Carcelario de Cartagena “Cárcel San Sebastián de Ternera”</w:t>
      </w:r>
      <w:r w:rsidR="00022A41" w:rsidRPr="00E320CE">
        <w:rPr>
          <w:sz w:val="28"/>
          <w:szCs w:val="28"/>
        </w:rPr>
        <w:t xml:space="preserve">, con el propósito de exigir la protección de sus derechos fundamentales a la vida digna, al mínimo vital, a la seguridad social y a la estabilidad laboral reforzada. La accionante señaló que las entidades accionadas vulneraron estos derechos al dar por terminada su </w:t>
      </w:r>
      <w:r w:rsidR="001525AF" w:rsidRPr="00E320CE">
        <w:rPr>
          <w:sz w:val="28"/>
          <w:szCs w:val="28"/>
        </w:rPr>
        <w:t>vinculación como auxiliar de enfermería</w:t>
      </w:r>
      <w:r w:rsidR="00022A41" w:rsidRPr="00E320CE">
        <w:rPr>
          <w:sz w:val="28"/>
          <w:szCs w:val="28"/>
        </w:rPr>
        <w:t xml:space="preserve">, pese a que se encontraba amparada por el fuero de estabilidad laboral reforzada </w:t>
      </w:r>
      <w:r w:rsidR="00B22E4E" w:rsidRPr="00E320CE">
        <w:rPr>
          <w:sz w:val="28"/>
          <w:szCs w:val="28"/>
        </w:rPr>
        <w:t xml:space="preserve">con tratamientos médicos en curso. </w:t>
      </w:r>
    </w:p>
    <w:p w14:paraId="5B8B6AF5" w14:textId="77777777" w:rsidR="00022A41" w:rsidRPr="00E320CE" w:rsidRDefault="00022A41" w:rsidP="00022A41">
      <w:pPr>
        <w:pStyle w:val="Prrafodelista"/>
        <w:ind w:left="0"/>
        <w:jc w:val="both"/>
        <w:rPr>
          <w:sz w:val="28"/>
          <w:szCs w:val="28"/>
        </w:rPr>
      </w:pPr>
    </w:p>
    <w:p w14:paraId="0E933204" w14:textId="53610F5C" w:rsidR="00022A41" w:rsidRPr="00E320CE" w:rsidRDefault="00022A41" w:rsidP="00022A41">
      <w:pPr>
        <w:pStyle w:val="Prrafodelista"/>
        <w:ind w:left="708"/>
        <w:jc w:val="both"/>
        <w:rPr>
          <w:b/>
          <w:bCs/>
          <w:sz w:val="28"/>
          <w:szCs w:val="28"/>
          <w:lang w:val="es-CO"/>
        </w:rPr>
      </w:pPr>
      <w:r w:rsidRPr="00E320CE">
        <w:t xml:space="preserve"> </w:t>
      </w:r>
      <w:r w:rsidRPr="00E320CE">
        <w:rPr>
          <w:b/>
          <w:bCs/>
          <w:sz w:val="28"/>
          <w:szCs w:val="28"/>
          <w:lang w:val="es-CO"/>
        </w:rPr>
        <w:t>1.</w:t>
      </w:r>
      <w:r w:rsidRPr="00E320CE">
        <w:rPr>
          <w:b/>
          <w:bCs/>
          <w:sz w:val="28"/>
          <w:szCs w:val="28"/>
          <w:lang w:val="es-CO"/>
        </w:rPr>
        <w:tab/>
        <w:t>Hechos relevantes</w:t>
      </w:r>
      <w:r w:rsidR="00AD7EE0" w:rsidRPr="00E320CE">
        <w:rPr>
          <w:rStyle w:val="Refdenotaalpie"/>
          <w:b/>
          <w:bCs/>
          <w:sz w:val="28"/>
          <w:szCs w:val="28"/>
          <w:lang w:val="es-CO"/>
        </w:rPr>
        <w:footnoteReference w:id="3"/>
      </w:r>
    </w:p>
    <w:p w14:paraId="3FF28457" w14:textId="77777777" w:rsidR="00022A41" w:rsidRPr="00E320CE" w:rsidRDefault="00022A41" w:rsidP="00022A41">
      <w:pPr>
        <w:autoSpaceDE/>
        <w:autoSpaceDN/>
        <w:ind w:right="57"/>
        <w:jc w:val="both"/>
        <w:rPr>
          <w:sz w:val="28"/>
          <w:szCs w:val="28"/>
        </w:rPr>
      </w:pPr>
    </w:p>
    <w:p w14:paraId="55CBE2FC" w14:textId="3E2283BF" w:rsidR="00022A41" w:rsidRPr="00E320CE" w:rsidRDefault="00E320CE" w:rsidP="00022A41">
      <w:pPr>
        <w:pStyle w:val="Prrafodelista"/>
        <w:numPr>
          <w:ilvl w:val="0"/>
          <w:numId w:val="1"/>
        </w:numPr>
        <w:autoSpaceDE/>
        <w:autoSpaceDN/>
        <w:ind w:left="0" w:right="57" w:firstLine="0"/>
        <w:jc w:val="both"/>
        <w:rPr>
          <w:sz w:val="28"/>
          <w:szCs w:val="28"/>
        </w:rPr>
      </w:pPr>
      <w:r w:rsidRPr="00E320CE">
        <w:rPr>
          <w:i/>
          <w:iCs/>
          <w:sz w:val="28"/>
          <w:szCs w:val="28"/>
          <w:lang w:val="es-CO"/>
        </w:rPr>
        <w:t>Greta</w:t>
      </w:r>
      <w:r w:rsidRPr="00E320CE" w:rsidDel="006E6781">
        <w:rPr>
          <w:sz w:val="28"/>
          <w:szCs w:val="28"/>
          <w:lang w:val="es-CO"/>
        </w:rPr>
        <w:t xml:space="preserve"> </w:t>
      </w:r>
      <w:r w:rsidR="00022A41" w:rsidRPr="00E320CE">
        <w:rPr>
          <w:sz w:val="28"/>
          <w:szCs w:val="28"/>
        </w:rPr>
        <w:t>es una mujer afrocolombiana, madre cabeza de familia de dos menores de edad</w:t>
      </w:r>
      <w:r w:rsidR="00022A41" w:rsidRPr="00E320CE">
        <w:rPr>
          <w:rStyle w:val="Refdenotaalpie"/>
          <w:sz w:val="28"/>
          <w:szCs w:val="28"/>
        </w:rPr>
        <w:footnoteReference w:id="4"/>
      </w:r>
      <w:r w:rsidR="00022A41" w:rsidRPr="00E320CE">
        <w:rPr>
          <w:sz w:val="28"/>
          <w:szCs w:val="28"/>
        </w:rPr>
        <w:t>. En el año 2018, la accionante fue diagnosticada con cáncer de cuello uterino, por lo que asistió a sesiones de quimioterapia y radioterapia</w:t>
      </w:r>
      <w:r w:rsidR="00022A41" w:rsidRPr="00E320CE">
        <w:rPr>
          <w:rStyle w:val="Refdenotaalpie"/>
          <w:sz w:val="28"/>
          <w:szCs w:val="28"/>
        </w:rPr>
        <w:footnoteReference w:id="5"/>
      </w:r>
      <w:r w:rsidR="000B4CEA" w:rsidRPr="00E320CE">
        <w:rPr>
          <w:sz w:val="28"/>
          <w:szCs w:val="28"/>
        </w:rPr>
        <w:t>, y</w:t>
      </w:r>
      <w:r w:rsidR="00022A41" w:rsidRPr="00E320CE" w:rsidDel="000B4CEA">
        <w:rPr>
          <w:sz w:val="28"/>
          <w:szCs w:val="28"/>
        </w:rPr>
        <w:t xml:space="preserve"> </w:t>
      </w:r>
      <w:r w:rsidR="00022A41" w:rsidRPr="00E320CE">
        <w:rPr>
          <w:sz w:val="28"/>
          <w:szCs w:val="28"/>
        </w:rPr>
        <w:t xml:space="preserve">tuvo un infarto agudo </w:t>
      </w:r>
      <w:proofErr w:type="spellStart"/>
      <w:r w:rsidR="00022A41" w:rsidRPr="00E320CE">
        <w:rPr>
          <w:sz w:val="28"/>
          <w:szCs w:val="28"/>
        </w:rPr>
        <w:t>del</w:t>
      </w:r>
      <w:proofErr w:type="spellEnd"/>
      <w:r w:rsidR="00022A41" w:rsidRPr="00E320CE">
        <w:rPr>
          <w:sz w:val="28"/>
          <w:szCs w:val="28"/>
        </w:rPr>
        <w:t xml:space="preserve"> miocardio</w:t>
      </w:r>
      <w:r w:rsidR="00022A41" w:rsidRPr="00E320CE">
        <w:rPr>
          <w:rStyle w:val="Refdenotaalpie"/>
          <w:sz w:val="28"/>
          <w:szCs w:val="28"/>
        </w:rPr>
        <w:footnoteReference w:id="6"/>
      </w:r>
      <w:r w:rsidR="00022A41" w:rsidRPr="00E320CE">
        <w:rPr>
          <w:sz w:val="28"/>
          <w:szCs w:val="28"/>
        </w:rPr>
        <w:t>. En el año 2019, la accionante finalizó la quimioterapia y la radioterapia</w:t>
      </w:r>
      <w:r w:rsidR="00266D24" w:rsidRPr="00E320CE">
        <w:rPr>
          <w:sz w:val="28"/>
          <w:szCs w:val="28"/>
        </w:rPr>
        <w:t>;</w:t>
      </w:r>
      <w:r w:rsidR="00022A41" w:rsidRPr="00E320CE">
        <w:rPr>
          <w:sz w:val="28"/>
          <w:szCs w:val="28"/>
        </w:rPr>
        <w:t xml:space="preserve"> sin embargo, continuó asistiendo a controles en ginecología</w:t>
      </w:r>
      <w:r w:rsidR="00022A41" w:rsidRPr="00E320CE">
        <w:rPr>
          <w:rStyle w:val="Refdenotaalpie"/>
          <w:sz w:val="28"/>
          <w:szCs w:val="28"/>
        </w:rPr>
        <w:footnoteReference w:id="7"/>
      </w:r>
      <w:r w:rsidR="00022A41" w:rsidRPr="00E320CE">
        <w:rPr>
          <w:sz w:val="28"/>
          <w:szCs w:val="28"/>
        </w:rPr>
        <w:t xml:space="preserve">. Posteriormente, el 25 de agosto de 2021, </w:t>
      </w:r>
      <w:r w:rsidR="00540E8B" w:rsidRPr="00E320CE">
        <w:rPr>
          <w:sz w:val="28"/>
          <w:szCs w:val="28"/>
        </w:rPr>
        <w:t>el médico psi</w:t>
      </w:r>
      <w:r w:rsidR="009921A4" w:rsidRPr="00E320CE">
        <w:rPr>
          <w:sz w:val="28"/>
          <w:szCs w:val="28"/>
        </w:rPr>
        <w:t xml:space="preserve">quiatra diagnosticó a la actora </w:t>
      </w:r>
      <w:r w:rsidR="00022A41" w:rsidRPr="00E320CE">
        <w:rPr>
          <w:sz w:val="28"/>
          <w:szCs w:val="28"/>
        </w:rPr>
        <w:t xml:space="preserve">con trastorno mixto </w:t>
      </w:r>
      <w:r w:rsidR="00B4286C" w:rsidRPr="00E320CE">
        <w:rPr>
          <w:sz w:val="28"/>
          <w:szCs w:val="28"/>
        </w:rPr>
        <w:t>de ansiedad</w:t>
      </w:r>
      <w:r w:rsidR="005C2B38" w:rsidRPr="00E320CE">
        <w:rPr>
          <w:sz w:val="28"/>
          <w:szCs w:val="28"/>
        </w:rPr>
        <w:t>,</w:t>
      </w:r>
      <w:r w:rsidR="00B4286C" w:rsidRPr="00E320CE" w:rsidDel="005C2B38">
        <w:rPr>
          <w:sz w:val="28"/>
          <w:szCs w:val="28"/>
        </w:rPr>
        <w:t xml:space="preserve"> </w:t>
      </w:r>
      <w:r w:rsidR="746D882E" w:rsidRPr="00E320CE">
        <w:rPr>
          <w:sz w:val="28"/>
          <w:szCs w:val="28"/>
        </w:rPr>
        <w:t>depresión e</w:t>
      </w:r>
      <w:r w:rsidR="00022A41" w:rsidRPr="00E320CE">
        <w:rPr>
          <w:sz w:val="28"/>
          <w:szCs w:val="28"/>
        </w:rPr>
        <w:t xml:space="preserve"> insomnio, </w:t>
      </w:r>
      <w:r w:rsidR="00022A41" w:rsidRPr="00E320CE">
        <w:rPr>
          <w:sz w:val="28"/>
          <w:szCs w:val="28"/>
        </w:rPr>
        <w:lastRenderedPageBreak/>
        <w:t xml:space="preserve">por lo que le recomendó no trabajar por la noche ni </w:t>
      </w:r>
      <w:r w:rsidR="00332C6D" w:rsidRPr="00E320CE">
        <w:rPr>
          <w:sz w:val="28"/>
          <w:szCs w:val="28"/>
        </w:rPr>
        <w:t xml:space="preserve">durante </w:t>
      </w:r>
      <w:r w:rsidR="00022A41" w:rsidRPr="00E320CE">
        <w:rPr>
          <w:sz w:val="28"/>
          <w:szCs w:val="28"/>
        </w:rPr>
        <w:t>más de 48 horas semanales</w:t>
      </w:r>
      <w:r w:rsidR="00022A41" w:rsidRPr="00E320CE">
        <w:rPr>
          <w:rStyle w:val="Refdenotaalpie"/>
          <w:sz w:val="28"/>
          <w:szCs w:val="28"/>
        </w:rPr>
        <w:footnoteReference w:id="8"/>
      </w:r>
      <w:r w:rsidR="00022A41" w:rsidRPr="00E320CE">
        <w:rPr>
          <w:sz w:val="28"/>
          <w:szCs w:val="28"/>
        </w:rPr>
        <w:t>.</w:t>
      </w:r>
    </w:p>
    <w:p w14:paraId="09CFAE2C" w14:textId="77777777" w:rsidR="00022A41" w:rsidRPr="00E320CE" w:rsidRDefault="00022A41" w:rsidP="00022A41">
      <w:pPr>
        <w:pStyle w:val="Prrafodelista"/>
        <w:autoSpaceDE/>
        <w:autoSpaceDN/>
        <w:ind w:left="0" w:right="57"/>
        <w:jc w:val="both"/>
        <w:rPr>
          <w:sz w:val="28"/>
          <w:szCs w:val="28"/>
        </w:rPr>
      </w:pPr>
    </w:p>
    <w:p w14:paraId="588B4828" w14:textId="4FB49B6D" w:rsidR="00A8476C"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El 4 de enero de 2022, la accionante fue contratada mediante un contrato de prestación de servicios por la Unión Temporal Salud Integral PPL</w:t>
      </w:r>
      <w:r w:rsidR="00C74218" w:rsidRPr="00E320CE">
        <w:rPr>
          <w:sz w:val="28"/>
          <w:szCs w:val="28"/>
        </w:rPr>
        <w:t>,</w:t>
      </w:r>
      <w:r w:rsidRPr="00E320CE">
        <w:rPr>
          <w:sz w:val="28"/>
          <w:szCs w:val="28"/>
        </w:rPr>
        <w:t xml:space="preserve"> con el fin </w:t>
      </w:r>
      <w:r w:rsidR="00C74218" w:rsidRPr="00E320CE">
        <w:rPr>
          <w:sz w:val="28"/>
          <w:szCs w:val="28"/>
        </w:rPr>
        <w:t>de desempeñarse</w:t>
      </w:r>
      <w:r w:rsidRPr="00E320CE">
        <w:rPr>
          <w:sz w:val="28"/>
          <w:szCs w:val="28"/>
        </w:rPr>
        <w:t xml:space="preserve"> como auxiliar de enfermería en el Establecimiento Penitenciario de Mediana Seguridad y Carcelario de Cartagena</w:t>
      </w:r>
      <w:r w:rsidR="00DE304F" w:rsidRPr="00E320CE">
        <w:rPr>
          <w:sz w:val="28"/>
          <w:szCs w:val="28"/>
        </w:rPr>
        <w:t>.</w:t>
      </w:r>
      <w:r w:rsidR="000C73C2" w:rsidRPr="00E320CE">
        <w:rPr>
          <w:sz w:val="28"/>
          <w:szCs w:val="28"/>
        </w:rPr>
        <w:t xml:space="preserve"> </w:t>
      </w:r>
      <w:r w:rsidR="00697E2D" w:rsidRPr="00E320CE">
        <w:rPr>
          <w:sz w:val="28"/>
          <w:szCs w:val="28"/>
        </w:rPr>
        <w:t>La contratista realizó estas funciones</w:t>
      </w:r>
      <w:r w:rsidR="00310B9A" w:rsidRPr="00E320CE">
        <w:rPr>
          <w:sz w:val="28"/>
          <w:szCs w:val="28"/>
        </w:rPr>
        <w:t xml:space="preserve"> </w:t>
      </w:r>
      <w:r w:rsidR="00697E2D" w:rsidRPr="00E320CE">
        <w:rPr>
          <w:sz w:val="28"/>
          <w:szCs w:val="28"/>
        </w:rPr>
        <w:t xml:space="preserve">durante aproximadamente </w:t>
      </w:r>
      <w:r w:rsidRPr="00E320CE">
        <w:rPr>
          <w:sz w:val="28"/>
          <w:szCs w:val="28"/>
        </w:rPr>
        <w:t xml:space="preserve">13 años con </w:t>
      </w:r>
      <w:r w:rsidR="00697E2D" w:rsidRPr="00E320CE">
        <w:rPr>
          <w:sz w:val="28"/>
          <w:szCs w:val="28"/>
        </w:rPr>
        <w:t>distintos</w:t>
      </w:r>
      <w:r w:rsidRPr="00E320CE">
        <w:rPr>
          <w:sz w:val="28"/>
          <w:szCs w:val="28"/>
        </w:rPr>
        <w:t xml:space="preserve"> operadores</w:t>
      </w:r>
      <w:r w:rsidRPr="00E320CE">
        <w:rPr>
          <w:rStyle w:val="Refdenotaalpie"/>
          <w:sz w:val="28"/>
          <w:szCs w:val="28"/>
        </w:rPr>
        <w:footnoteReference w:id="9"/>
      </w:r>
      <w:r w:rsidRPr="00E320CE">
        <w:rPr>
          <w:sz w:val="28"/>
          <w:szCs w:val="28"/>
        </w:rPr>
        <w:t xml:space="preserve">. </w:t>
      </w:r>
    </w:p>
    <w:p w14:paraId="0753F21D" w14:textId="5AD56152" w:rsidR="00A8476C" w:rsidRPr="00E320CE" w:rsidRDefault="00A8476C" w:rsidP="3401ECB1">
      <w:pPr>
        <w:pStyle w:val="Prrafodelista"/>
        <w:ind w:left="0" w:right="57"/>
        <w:jc w:val="both"/>
        <w:rPr>
          <w:sz w:val="28"/>
          <w:szCs w:val="28"/>
        </w:rPr>
      </w:pPr>
    </w:p>
    <w:p w14:paraId="2A57C00E" w14:textId="3CF4290F" w:rsidR="00022A41" w:rsidRPr="00E320CE" w:rsidRDefault="00A8476C" w:rsidP="001E6B7E">
      <w:pPr>
        <w:pStyle w:val="Prrafodelista"/>
        <w:numPr>
          <w:ilvl w:val="0"/>
          <w:numId w:val="1"/>
        </w:numPr>
        <w:autoSpaceDE/>
        <w:autoSpaceDN/>
        <w:ind w:left="0" w:right="57" w:firstLine="0"/>
        <w:jc w:val="both"/>
        <w:rPr>
          <w:sz w:val="28"/>
          <w:szCs w:val="28"/>
        </w:rPr>
      </w:pPr>
      <w:r w:rsidRPr="00E320CE">
        <w:rPr>
          <w:sz w:val="28"/>
          <w:szCs w:val="28"/>
        </w:rPr>
        <w:t>En el caso</w:t>
      </w:r>
      <w:r w:rsidR="00895CEE" w:rsidRPr="00E320CE">
        <w:rPr>
          <w:sz w:val="28"/>
          <w:szCs w:val="28"/>
        </w:rPr>
        <w:t xml:space="preserve"> particular</w:t>
      </w:r>
      <w:r w:rsidRPr="00E320CE">
        <w:rPr>
          <w:sz w:val="28"/>
          <w:szCs w:val="28"/>
        </w:rPr>
        <w:t xml:space="preserve"> de la Unión Temporal Salud Integral </w:t>
      </w:r>
      <w:r w:rsidR="00895CEE" w:rsidRPr="00E320CE">
        <w:rPr>
          <w:sz w:val="28"/>
          <w:szCs w:val="28"/>
        </w:rPr>
        <w:t xml:space="preserve">PPL, </w:t>
      </w:r>
      <w:r w:rsidR="009774AB" w:rsidRPr="00E320CE">
        <w:rPr>
          <w:sz w:val="28"/>
          <w:szCs w:val="28"/>
        </w:rPr>
        <w:t xml:space="preserve">esta </w:t>
      </w:r>
      <w:r w:rsidR="004009D5" w:rsidRPr="00E320CE">
        <w:rPr>
          <w:sz w:val="28"/>
          <w:szCs w:val="28"/>
        </w:rPr>
        <w:t>asociación</w:t>
      </w:r>
      <w:r w:rsidR="009774AB" w:rsidRPr="00E320CE">
        <w:rPr>
          <w:sz w:val="28"/>
          <w:szCs w:val="28"/>
        </w:rPr>
        <w:t xml:space="preserve"> </w:t>
      </w:r>
      <w:r w:rsidR="00022A41" w:rsidRPr="00E320CE">
        <w:rPr>
          <w:sz w:val="28"/>
          <w:szCs w:val="28"/>
        </w:rPr>
        <w:t>estaba conformada por</w:t>
      </w:r>
      <w:r w:rsidR="009774AB" w:rsidRPr="00E320CE">
        <w:rPr>
          <w:sz w:val="28"/>
          <w:szCs w:val="28"/>
        </w:rPr>
        <w:t xml:space="preserve"> las empresas</w:t>
      </w:r>
      <w:r w:rsidR="00022A41" w:rsidRPr="00E320CE">
        <w:rPr>
          <w:sz w:val="28"/>
          <w:szCs w:val="28"/>
        </w:rPr>
        <w:t xml:space="preserve"> Tu Salud Plus IPS S.A.S., Organización de Servicio Total S.A.S. y </w:t>
      </w:r>
      <w:proofErr w:type="spellStart"/>
      <w:r w:rsidR="00022A41" w:rsidRPr="00E320CE">
        <w:rPr>
          <w:sz w:val="28"/>
          <w:szCs w:val="28"/>
        </w:rPr>
        <w:t>Distridrogas</w:t>
      </w:r>
      <w:proofErr w:type="spellEnd"/>
      <w:r w:rsidR="00022A41" w:rsidRPr="00E320CE">
        <w:rPr>
          <w:sz w:val="28"/>
          <w:szCs w:val="28"/>
        </w:rPr>
        <w:t xml:space="preserve"> IPS Meli S.A.S., </w:t>
      </w:r>
      <w:r w:rsidR="008A58F5" w:rsidRPr="00E320CE">
        <w:rPr>
          <w:sz w:val="28"/>
          <w:szCs w:val="28"/>
        </w:rPr>
        <w:t xml:space="preserve">y </w:t>
      </w:r>
      <w:r w:rsidR="00022A41" w:rsidRPr="00E320CE">
        <w:rPr>
          <w:sz w:val="28"/>
          <w:szCs w:val="28"/>
        </w:rPr>
        <w:t>era representada por Paola Andrea Flórez Sánchez</w:t>
      </w:r>
      <w:r w:rsidR="007905E6" w:rsidRPr="00E320CE">
        <w:rPr>
          <w:sz w:val="28"/>
          <w:szCs w:val="28"/>
        </w:rPr>
        <w:t xml:space="preserve">, para </w:t>
      </w:r>
      <w:r w:rsidR="00022A41" w:rsidRPr="00E320CE">
        <w:rPr>
          <w:sz w:val="28"/>
          <w:szCs w:val="28"/>
        </w:rPr>
        <w:t>prestar servicios de salud de baja y mediana complejidad a la población privada de la libertad</w:t>
      </w:r>
      <w:r w:rsidR="00022A41" w:rsidRPr="00E320CE">
        <w:rPr>
          <w:rStyle w:val="Refdenotaalpie"/>
          <w:sz w:val="28"/>
          <w:szCs w:val="28"/>
        </w:rPr>
        <w:footnoteReference w:id="10"/>
      </w:r>
      <w:r w:rsidR="00022A41" w:rsidRPr="00E320CE">
        <w:rPr>
          <w:sz w:val="28"/>
          <w:szCs w:val="28"/>
        </w:rPr>
        <w:t>. Desde el 2022 hasta el 2024, la demandante estuvo vinculada a Salud Integral PPL mediante sucesivos e in</w:t>
      </w:r>
      <w:r w:rsidR="00CB46FD" w:rsidRPr="00E320CE">
        <w:rPr>
          <w:sz w:val="28"/>
          <w:szCs w:val="28"/>
        </w:rPr>
        <w:t>in</w:t>
      </w:r>
      <w:r w:rsidR="00022A41" w:rsidRPr="00E320CE">
        <w:rPr>
          <w:sz w:val="28"/>
          <w:szCs w:val="28"/>
        </w:rPr>
        <w:t>terrumpidos contratos de prestación de servicios</w:t>
      </w:r>
      <w:r w:rsidR="00022A41" w:rsidRPr="00E320CE">
        <w:rPr>
          <w:rStyle w:val="Refdenotaalpie"/>
          <w:sz w:val="28"/>
          <w:szCs w:val="28"/>
        </w:rPr>
        <w:footnoteReference w:id="11"/>
      </w:r>
      <w:r w:rsidR="00022A41" w:rsidRPr="00E320CE">
        <w:rPr>
          <w:sz w:val="28"/>
          <w:szCs w:val="28"/>
        </w:rPr>
        <w:t>.</w:t>
      </w:r>
      <w:r w:rsidR="00773EE0" w:rsidRPr="00E320CE">
        <w:rPr>
          <w:sz w:val="28"/>
          <w:szCs w:val="28"/>
        </w:rPr>
        <w:t xml:space="preserve"> </w:t>
      </w:r>
    </w:p>
    <w:p w14:paraId="46E5E554" w14:textId="77777777" w:rsidR="001E6B7E" w:rsidRPr="00E320CE" w:rsidRDefault="001E6B7E" w:rsidP="001E6B7E">
      <w:pPr>
        <w:pStyle w:val="Prrafodelista"/>
        <w:autoSpaceDE/>
        <w:autoSpaceDN/>
        <w:ind w:left="0" w:right="57"/>
        <w:jc w:val="both"/>
        <w:rPr>
          <w:sz w:val="28"/>
          <w:szCs w:val="28"/>
        </w:rPr>
      </w:pPr>
    </w:p>
    <w:p w14:paraId="654E90FD" w14:textId="69A87544" w:rsidR="0040199B" w:rsidRPr="00E320CE" w:rsidRDefault="00103554" w:rsidP="00022A41">
      <w:pPr>
        <w:pStyle w:val="Prrafodelista"/>
        <w:numPr>
          <w:ilvl w:val="0"/>
          <w:numId w:val="1"/>
        </w:numPr>
        <w:autoSpaceDE/>
        <w:autoSpaceDN/>
        <w:ind w:left="0" w:right="57" w:firstLine="0"/>
        <w:jc w:val="both"/>
        <w:rPr>
          <w:sz w:val="28"/>
          <w:szCs w:val="28"/>
        </w:rPr>
      </w:pPr>
      <w:r w:rsidRPr="00E320CE">
        <w:rPr>
          <w:sz w:val="28"/>
          <w:szCs w:val="28"/>
        </w:rPr>
        <w:t>La demandante señaló que d</w:t>
      </w:r>
      <w:r w:rsidR="00B55BF7" w:rsidRPr="00E320CE">
        <w:rPr>
          <w:sz w:val="28"/>
          <w:szCs w:val="28"/>
        </w:rPr>
        <w:t>urante</w:t>
      </w:r>
      <w:r w:rsidRPr="00E320CE">
        <w:rPr>
          <w:sz w:val="28"/>
          <w:szCs w:val="28"/>
        </w:rPr>
        <w:t xml:space="preserve"> su</w:t>
      </w:r>
      <w:r w:rsidR="008F3E90" w:rsidRPr="00E320CE">
        <w:rPr>
          <w:sz w:val="28"/>
          <w:szCs w:val="28"/>
        </w:rPr>
        <w:t xml:space="preserve"> vinculación </w:t>
      </w:r>
      <w:r w:rsidRPr="00E320CE">
        <w:rPr>
          <w:sz w:val="28"/>
          <w:szCs w:val="28"/>
        </w:rPr>
        <w:t xml:space="preserve">en </w:t>
      </w:r>
      <w:r w:rsidR="00022A41" w:rsidRPr="00E320CE">
        <w:rPr>
          <w:sz w:val="28"/>
          <w:szCs w:val="28"/>
        </w:rPr>
        <w:t xml:space="preserve">la </w:t>
      </w:r>
      <w:r w:rsidR="008F3E90" w:rsidRPr="00E320CE">
        <w:rPr>
          <w:sz w:val="28"/>
          <w:szCs w:val="28"/>
        </w:rPr>
        <w:t>UT</w:t>
      </w:r>
      <w:r w:rsidR="00022A41" w:rsidRPr="00E320CE">
        <w:rPr>
          <w:sz w:val="28"/>
          <w:szCs w:val="28"/>
        </w:rPr>
        <w:t xml:space="preserve"> Salud Integral PPL</w:t>
      </w:r>
      <w:r w:rsidR="008F3E90" w:rsidRPr="00E320CE">
        <w:rPr>
          <w:sz w:val="28"/>
          <w:szCs w:val="28"/>
        </w:rPr>
        <w:t>,</w:t>
      </w:r>
      <w:r w:rsidR="005B15EB" w:rsidRPr="00E320CE">
        <w:rPr>
          <w:sz w:val="28"/>
          <w:szCs w:val="28"/>
        </w:rPr>
        <w:t xml:space="preserve"> presentó</w:t>
      </w:r>
      <w:r w:rsidR="004F163E" w:rsidRPr="00E320CE">
        <w:rPr>
          <w:sz w:val="28"/>
          <w:szCs w:val="28"/>
        </w:rPr>
        <w:t xml:space="preserve"> diversos eventos </w:t>
      </w:r>
      <w:r w:rsidR="003F1F3B" w:rsidRPr="00E320CE">
        <w:rPr>
          <w:sz w:val="28"/>
          <w:szCs w:val="28"/>
        </w:rPr>
        <w:t>que afectaron su</w:t>
      </w:r>
      <w:r w:rsidR="004F163E" w:rsidRPr="00E320CE">
        <w:rPr>
          <w:sz w:val="28"/>
          <w:szCs w:val="28"/>
        </w:rPr>
        <w:t xml:space="preserve"> estado de</w:t>
      </w:r>
      <w:r w:rsidR="00C157DC" w:rsidRPr="00E320CE">
        <w:rPr>
          <w:sz w:val="28"/>
          <w:szCs w:val="28"/>
        </w:rPr>
        <w:t xml:space="preserve"> salud</w:t>
      </w:r>
      <w:r w:rsidR="00022A41" w:rsidRPr="00E320CE">
        <w:rPr>
          <w:sz w:val="28"/>
          <w:szCs w:val="28"/>
        </w:rPr>
        <w:t xml:space="preserve">. </w:t>
      </w:r>
    </w:p>
    <w:p w14:paraId="5149A5CB" w14:textId="4030FB02" w:rsidR="0040199B" w:rsidRPr="00E320CE" w:rsidRDefault="0040199B" w:rsidP="5B42ABCD">
      <w:pPr>
        <w:pStyle w:val="Prrafodelista"/>
        <w:ind w:left="0" w:right="57"/>
        <w:jc w:val="both"/>
        <w:rPr>
          <w:sz w:val="28"/>
          <w:szCs w:val="28"/>
        </w:rPr>
      </w:pPr>
    </w:p>
    <w:p w14:paraId="036F9F99" w14:textId="512F1EB0"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En</w:t>
      </w:r>
      <w:r w:rsidR="00ED1800" w:rsidRPr="00E320CE">
        <w:rPr>
          <w:sz w:val="28"/>
          <w:szCs w:val="28"/>
        </w:rPr>
        <w:t xml:space="preserve"> </w:t>
      </w:r>
      <w:r w:rsidR="003E084A" w:rsidRPr="00E320CE">
        <w:rPr>
          <w:sz w:val="28"/>
          <w:szCs w:val="28"/>
        </w:rPr>
        <w:t>el mes de</w:t>
      </w:r>
      <w:r w:rsidRPr="00E320CE">
        <w:rPr>
          <w:sz w:val="28"/>
          <w:szCs w:val="28"/>
        </w:rPr>
        <w:t xml:space="preserve"> junio de 2022, </w:t>
      </w:r>
      <w:r w:rsidR="00E320CE" w:rsidRPr="00E320CE">
        <w:rPr>
          <w:i/>
          <w:iCs/>
          <w:sz w:val="28"/>
          <w:szCs w:val="28"/>
          <w:lang w:val="es-CO"/>
        </w:rPr>
        <w:t>Greta</w:t>
      </w:r>
      <w:r w:rsidR="00E320CE" w:rsidRPr="00E320CE" w:rsidDel="006E6781">
        <w:rPr>
          <w:sz w:val="28"/>
          <w:szCs w:val="28"/>
          <w:lang w:val="es-CO"/>
        </w:rPr>
        <w:t xml:space="preserve"> </w:t>
      </w:r>
      <w:r w:rsidR="008E3F47" w:rsidRPr="00E320CE">
        <w:rPr>
          <w:sz w:val="28"/>
          <w:szCs w:val="28"/>
        </w:rPr>
        <w:t>estuvo</w:t>
      </w:r>
      <w:r w:rsidRPr="00E320CE">
        <w:rPr>
          <w:sz w:val="28"/>
          <w:szCs w:val="28"/>
        </w:rPr>
        <w:t xml:space="preserve"> hospitalizada </w:t>
      </w:r>
      <w:r w:rsidR="008E3F47" w:rsidRPr="00E320CE">
        <w:rPr>
          <w:sz w:val="28"/>
          <w:szCs w:val="28"/>
        </w:rPr>
        <w:t>durante</w:t>
      </w:r>
      <w:r w:rsidRPr="00E320CE">
        <w:rPr>
          <w:sz w:val="28"/>
          <w:szCs w:val="28"/>
        </w:rPr>
        <w:t xml:space="preserve"> 15 días </w:t>
      </w:r>
      <w:r w:rsidR="005719D4" w:rsidRPr="00E320CE">
        <w:rPr>
          <w:sz w:val="28"/>
          <w:szCs w:val="28"/>
        </w:rPr>
        <w:t>por</w:t>
      </w:r>
      <w:r w:rsidRPr="00E320CE" w:rsidDel="005719D4">
        <w:rPr>
          <w:sz w:val="28"/>
          <w:szCs w:val="28"/>
        </w:rPr>
        <w:t xml:space="preserve"> </w:t>
      </w:r>
      <w:r w:rsidRPr="00E320CE">
        <w:rPr>
          <w:sz w:val="28"/>
          <w:szCs w:val="28"/>
        </w:rPr>
        <w:t xml:space="preserve">un infarto agudo </w:t>
      </w:r>
      <w:proofErr w:type="spellStart"/>
      <w:r w:rsidRPr="00E320CE">
        <w:rPr>
          <w:sz w:val="28"/>
          <w:szCs w:val="28"/>
        </w:rPr>
        <w:t>del</w:t>
      </w:r>
      <w:proofErr w:type="spellEnd"/>
      <w:r w:rsidRPr="00E320CE">
        <w:rPr>
          <w:sz w:val="28"/>
          <w:szCs w:val="28"/>
        </w:rPr>
        <w:t xml:space="preserve"> miocardio secundario</w:t>
      </w:r>
      <w:r w:rsidR="004F163E" w:rsidRPr="00E320CE">
        <w:rPr>
          <w:sz w:val="28"/>
          <w:szCs w:val="28"/>
        </w:rPr>
        <w:t>,</w:t>
      </w:r>
      <w:r w:rsidRPr="00E320CE">
        <w:rPr>
          <w:sz w:val="28"/>
          <w:szCs w:val="28"/>
        </w:rPr>
        <w:t xml:space="preserve"> </w:t>
      </w:r>
      <w:r w:rsidR="005719D4" w:rsidRPr="00E320CE">
        <w:rPr>
          <w:sz w:val="28"/>
          <w:szCs w:val="28"/>
        </w:rPr>
        <w:t xml:space="preserve">provocado </w:t>
      </w:r>
      <w:r w:rsidRPr="00E320CE">
        <w:rPr>
          <w:sz w:val="28"/>
          <w:szCs w:val="28"/>
        </w:rPr>
        <w:t>por</w:t>
      </w:r>
      <w:r w:rsidR="00797716" w:rsidRPr="00E320CE">
        <w:rPr>
          <w:sz w:val="28"/>
          <w:szCs w:val="28"/>
        </w:rPr>
        <w:t xml:space="preserve"> un intento de suicidio </w:t>
      </w:r>
      <w:r w:rsidR="005719D4" w:rsidRPr="00E320CE">
        <w:rPr>
          <w:sz w:val="28"/>
          <w:szCs w:val="28"/>
        </w:rPr>
        <w:t xml:space="preserve">tras la ingesta </w:t>
      </w:r>
      <w:r w:rsidR="004E4491" w:rsidRPr="00E320CE">
        <w:rPr>
          <w:sz w:val="28"/>
          <w:szCs w:val="28"/>
        </w:rPr>
        <w:t xml:space="preserve">excesiva </w:t>
      </w:r>
      <w:r w:rsidRPr="00E320CE">
        <w:rPr>
          <w:sz w:val="28"/>
          <w:szCs w:val="28"/>
        </w:rPr>
        <w:t>de medicamentos antiinflamatorios no esteroideos</w:t>
      </w:r>
      <w:r w:rsidR="004E4491" w:rsidRPr="00E320CE">
        <w:rPr>
          <w:sz w:val="28"/>
          <w:szCs w:val="28"/>
        </w:rPr>
        <w:t>,</w:t>
      </w:r>
      <w:r w:rsidRPr="00E320CE" w:rsidDel="004E4491">
        <w:rPr>
          <w:sz w:val="28"/>
          <w:szCs w:val="28"/>
        </w:rPr>
        <w:t xml:space="preserve"> </w:t>
      </w:r>
      <w:r w:rsidRPr="00E320CE">
        <w:rPr>
          <w:sz w:val="28"/>
          <w:szCs w:val="28"/>
        </w:rPr>
        <w:t>antidepresivos y bebidas energizantes</w:t>
      </w:r>
      <w:r w:rsidR="004E4491" w:rsidRPr="00E320CE">
        <w:rPr>
          <w:sz w:val="28"/>
          <w:szCs w:val="28"/>
        </w:rPr>
        <w:t>,</w:t>
      </w:r>
      <w:r w:rsidRPr="00E320CE">
        <w:rPr>
          <w:sz w:val="28"/>
          <w:szCs w:val="28"/>
        </w:rPr>
        <w:t xml:space="preserve"> a raíz de </w:t>
      </w:r>
      <w:r w:rsidR="0017798F" w:rsidRPr="00E320CE">
        <w:rPr>
          <w:sz w:val="28"/>
          <w:szCs w:val="28"/>
        </w:rPr>
        <w:t xml:space="preserve">situaciones familiares y </w:t>
      </w:r>
      <w:r w:rsidR="00D01E27" w:rsidRPr="00E320CE">
        <w:rPr>
          <w:sz w:val="28"/>
          <w:szCs w:val="28"/>
        </w:rPr>
        <w:t xml:space="preserve">de </w:t>
      </w:r>
      <w:r w:rsidR="0017798F" w:rsidRPr="00E320CE">
        <w:rPr>
          <w:sz w:val="28"/>
          <w:szCs w:val="28"/>
        </w:rPr>
        <w:t>las</w:t>
      </w:r>
      <w:r w:rsidRPr="00E320CE">
        <w:rPr>
          <w:sz w:val="28"/>
          <w:szCs w:val="28"/>
        </w:rPr>
        <w:t xml:space="preserve"> extenuantes jornadas laborales</w:t>
      </w:r>
      <w:r w:rsidRPr="00E320CE">
        <w:rPr>
          <w:rStyle w:val="Refdenotaalpie"/>
          <w:sz w:val="28"/>
          <w:szCs w:val="28"/>
        </w:rPr>
        <w:footnoteReference w:id="12"/>
      </w:r>
      <w:r w:rsidRPr="00E320CE">
        <w:rPr>
          <w:sz w:val="28"/>
          <w:szCs w:val="28"/>
        </w:rPr>
        <w:t xml:space="preserve">. Posteriormente, con el fin de hacer seguimiento al estado de la </w:t>
      </w:r>
      <w:r w:rsidR="00EF0479" w:rsidRPr="00E320CE">
        <w:rPr>
          <w:sz w:val="28"/>
          <w:szCs w:val="28"/>
        </w:rPr>
        <w:t xml:space="preserve">paciente </w:t>
      </w:r>
      <w:r w:rsidRPr="00E320CE">
        <w:rPr>
          <w:sz w:val="28"/>
          <w:szCs w:val="28"/>
        </w:rPr>
        <w:t xml:space="preserve">y de emitir recomendaciones relacionadas con la jornada laboral,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rPr>
        <w:t>fue remitida a psiquiatría</w:t>
      </w:r>
      <w:r w:rsidRPr="00E320CE">
        <w:rPr>
          <w:rStyle w:val="Refdenotaalpie"/>
          <w:sz w:val="28"/>
          <w:szCs w:val="28"/>
        </w:rPr>
        <w:footnoteReference w:id="13"/>
      </w:r>
      <w:r w:rsidRPr="00E320CE">
        <w:rPr>
          <w:sz w:val="28"/>
          <w:szCs w:val="28"/>
        </w:rPr>
        <w:t>.</w:t>
      </w:r>
    </w:p>
    <w:p w14:paraId="6C4A6122" w14:textId="77777777" w:rsidR="00022A41" w:rsidRPr="00E320CE" w:rsidRDefault="00022A41" w:rsidP="00022A41">
      <w:pPr>
        <w:pStyle w:val="Prrafodelista"/>
        <w:rPr>
          <w:sz w:val="28"/>
          <w:szCs w:val="28"/>
        </w:rPr>
      </w:pPr>
    </w:p>
    <w:p w14:paraId="7C7D4A29" w14:textId="23FD5CEC"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El 11 de julio de 2022, la médica internista valoró a la accionante, la remitió a cardiología y le indicó que podía continuar trabajando en su horario habitual nocturno</w:t>
      </w:r>
      <w:r w:rsidRPr="00E320CE">
        <w:rPr>
          <w:rStyle w:val="Refdenotaalpie"/>
          <w:sz w:val="28"/>
          <w:szCs w:val="28"/>
        </w:rPr>
        <w:footnoteReference w:id="14"/>
      </w:r>
      <w:r w:rsidRPr="00E320CE">
        <w:rPr>
          <w:sz w:val="28"/>
          <w:szCs w:val="28"/>
        </w:rPr>
        <w:t xml:space="preserve">. </w:t>
      </w:r>
      <w:r w:rsidR="00157479" w:rsidRPr="00E320CE">
        <w:rPr>
          <w:sz w:val="28"/>
          <w:szCs w:val="28"/>
        </w:rPr>
        <w:t>Sin embargo</w:t>
      </w:r>
      <w:r w:rsidRPr="00E320CE">
        <w:rPr>
          <w:sz w:val="28"/>
          <w:szCs w:val="28"/>
        </w:rPr>
        <w:t xml:space="preserve">, el 15 de julio de 2022, la médica </w:t>
      </w:r>
      <w:r w:rsidR="00157479" w:rsidRPr="00E320CE">
        <w:rPr>
          <w:sz w:val="28"/>
          <w:szCs w:val="28"/>
        </w:rPr>
        <w:t xml:space="preserve">especialista en </w:t>
      </w:r>
      <w:r w:rsidR="01353CCF" w:rsidRPr="00E320CE">
        <w:rPr>
          <w:sz w:val="28"/>
          <w:szCs w:val="28"/>
        </w:rPr>
        <w:t>psiquiatría</w:t>
      </w:r>
      <w:r w:rsidR="00157479" w:rsidRPr="00E320CE">
        <w:rPr>
          <w:sz w:val="28"/>
          <w:szCs w:val="28"/>
        </w:rPr>
        <w:t xml:space="preserve"> </w:t>
      </w:r>
      <w:r w:rsidRPr="00E320CE">
        <w:rPr>
          <w:sz w:val="28"/>
          <w:szCs w:val="28"/>
        </w:rPr>
        <w:t xml:space="preserve">encontró que la accionante presentaba un cuadro de taquicardia que hacía parte </w:t>
      </w:r>
      <w:r w:rsidR="00B401E7" w:rsidRPr="00E320CE">
        <w:rPr>
          <w:sz w:val="28"/>
          <w:szCs w:val="28"/>
        </w:rPr>
        <w:t xml:space="preserve">de </w:t>
      </w:r>
      <w:r w:rsidRPr="00E320CE">
        <w:rPr>
          <w:sz w:val="28"/>
          <w:szCs w:val="28"/>
        </w:rPr>
        <w:t xml:space="preserve">un </w:t>
      </w:r>
      <w:proofErr w:type="spellStart"/>
      <w:r w:rsidRPr="00E320CE">
        <w:rPr>
          <w:sz w:val="28"/>
          <w:szCs w:val="28"/>
        </w:rPr>
        <w:t>transtorno</w:t>
      </w:r>
      <w:proofErr w:type="spellEnd"/>
      <w:r w:rsidRPr="00E320CE">
        <w:rPr>
          <w:sz w:val="28"/>
          <w:szCs w:val="28"/>
        </w:rPr>
        <w:t xml:space="preserve"> mixto depresivo y de ansiedad</w:t>
      </w:r>
      <w:r w:rsidR="006D1DE3" w:rsidRPr="00E320CE">
        <w:rPr>
          <w:sz w:val="28"/>
          <w:szCs w:val="28"/>
        </w:rPr>
        <w:t>, debido al estrés, a la sobrecarga laboral y a circunstancias familiares</w:t>
      </w:r>
      <w:r w:rsidRPr="00E320CE">
        <w:rPr>
          <w:rStyle w:val="Refdenotaalpie"/>
          <w:sz w:val="28"/>
          <w:szCs w:val="28"/>
        </w:rPr>
        <w:footnoteReference w:id="15"/>
      </w:r>
      <w:r w:rsidRPr="00E320CE">
        <w:rPr>
          <w:sz w:val="28"/>
          <w:szCs w:val="28"/>
        </w:rPr>
        <w:t xml:space="preserve">. Por esa razón, </w:t>
      </w:r>
      <w:r w:rsidR="0054685A" w:rsidRPr="00E320CE">
        <w:rPr>
          <w:sz w:val="28"/>
          <w:szCs w:val="28"/>
        </w:rPr>
        <w:t xml:space="preserve">la profesional de la salud </w:t>
      </w:r>
      <w:r w:rsidRPr="00E320CE">
        <w:rPr>
          <w:sz w:val="28"/>
          <w:szCs w:val="28"/>
        </w:rPr>
        <w:t>le recetó sertralina y le recomendó</w:t>
      </w:r>
      <w:r w:rsidR="00113123" w:rsidRPr="00E320CE">
        <w:rPr>
          <w:sz w:val="28"/>
          <w:szCs w:val="28"/>
        </w:rPr>
        <w:t xml:space="preserve"> dejar de</w:t>
      </w:r>
      <w:r w:rsidRPr="00E320CE">
        <w:rPr>
          <w:sz w:val="28"/>
          <w:szCs w:val="28"/>
        </w:rPr>
        <w:t xml:space="preserve"> realizar turnos laborales nocturnos</w:t>
      </w:r>
      <w:r w:rsidRPr="00E320CE">
        <w:rPr>
          <w:rStyle w:val="Refdenotaalpie"/>
          <w:sz w:val="28"/>
          <w:szCs w:val="28"/>
        </w:rPr>
        <w:footnoteReference w:id="16"/>
      </w:r>
      <w:r w:rsidRPr="00E320CE">
        <w:rPr>
          <w:sz w:val="28"/>
          <w:szCs w:val="28"/>
        </w:rPr>
        <w:t>.</w:t>
      </w:r>
    </w:p>
    <w:p w14:paraId="6D930DFD" w14:textId="77777777" w:rsidR="00022A41" w:rsidRPr="00E320CE" w:rsidRDefault="00022A41" w:rsidP="00022A41">
      <w:pPr>
        <w:rPr>
          <w:sz w:val="28"/>
          <w:szCs w:val="28"/>
        </w:rPr>
      </w:pPr>
    </w:p>
    <w:p w14:paraId="3D8C8FEE" w14:textId="5EE5DDB3"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 xml:space="preserve">Esta situación fue conocida por su empleador, sin embargo, una vez se terminó su periodo de incapacidad, </w:t>
      </w:r>
      <w:r w:rsidR="00B401E7" w:rsidRPr="00E320CE">
        <w:rPr>
          <w:sz w:val="28"/>
          <w:szCs w:val="28"/>
        </w:rPr>
        <w:t xml:space="preserve">la UT </w:t>
      </w:r>
      <w:r w:rsidRPr="00E320CE">
        <w:rPr>
          <w:sz w:val="28"/>
          <w:szCs w:val="28"/>
        </w:rPr>
        <w:t xml:space="preserve">Salud Integral PPL le informó </w:t>
      </w:r>
      <w:r w:rsidR="00D84411" w:rsidRPr="00E320CE">
        <w:rPr>
          <w:sz w:val="28"/>
          <w:szCs w:val="28"/>
        </w:rPr>
        <w:t>su decisión de no reno</w:t>
      </w:r>
      <w:r w:rsidR="00D02921" w:rsidRPr="00E320CE">
        <w:rPr>
          <w:sz w:val="28"/>
          <w:szCs w:val="28"/>
        </w:rPr>
        <w:t>v</w:t>
      </w:r>
      <w:r w:rsidR="00D84411" w:rsidRPr="00E320CE">
        <w:rPr>
          <w:sz w:val="28"/>
          <w:szCs w:val="28"/>
        </w:rPr>
        <w:t xml:space="preserve">ar </w:t>
      </w:r>
      <w:r w:rsidR="00D02921" w:rsidRPr="00E320CE">
        <w:rPr>
          <w:sz w:val="28"/>
          <w:szCs w:val="28"/>
        </w:rPr>
        <w:t>su</w:t>
      </w:r>
      <w:r w:rsidRPr="00E320CE">
        <w:rPr>
          <w:sz w:val="28"/>
          <w:szCs w:val="28"/>
        </w:rPr>
        <w:t xml:space="preserve"> contrato</w:t>
      </w:r>
      <w:r w:rsidR="00D84411" w:rsidRPr="00E320CE">
        <w:rPr>
          <w:sz w:val="28"/>
          <w:szCs w:val="28"/>
        </w:rPr>
        <w:t xml:space="preserve"> de prestación de servicios</w:t>
      </w:r>
      <w:r w:rsidR="00A95495" w:rsidRPr="00E320CE">
        <w:rPr>
          <w:sz w:val="28"/>
          <w:szCs w:val="28"/>
        </w:rPr>
        <w:t xml:space="preserve"> y</w:t>
      </w:r>
      <w:r w:rsidR="00D02921" w:rsidRPr="00E320CE">
        <w:rPr>
          <w:sz w:val="28"/>
          <w:szCs w:val="28"/>
        </w:rPr>
        <w:t xml:space="preserve"> que su vinculación </w:t>
      </w:r>
      <w:r w:rsidR="00FE265A" w:rsidRPr="00E320CE">
        <w:rPr>
          <w:sz w:val="28"/>
          <w:szCs w:val="28"/>
        </w:rPr>
        <w:t xml:space="preserve">finalizaba </w:t>
      </w:r>
      <w:r w:rsidRPr="00E320CE">
        <w:rPr>
          <w:sz w:val="28"/>
          <w:szCs w:val="28"/>
        </w:rPr>
        <w:t>el 31 de julio de 2022</w:t>
      </w:r>
      <w:r w:rsidRPr="00E320CE">
        <w:rPr>
          <w:rStyle w:val="Refdenotaalpie"/>
          <w:sz w:val="28"/>
          <w:szCs w:val="28"/>
        </w:rPr>
        <w:footnoteReference w:id="17"/>
      </w:r>
      <w:r w:rsidRPr="00E320CE">
        <w:rPr>
          <w:sz w:val="28"/>
          <w:szCs w:val="28"/>
        </w:rPr>
        <w:t xml:space="preserve">. </w:t>
      </w:r>
      <w:r w:rsidR="00FE265A" w:rsidRPr="00E320CE">
        <w:rPr>
          <w:sz w:val="28"/>
          <w:szCs w:val="28"/>
        </w:rPr>
        <w:t xml:space="preserve">En este contexto, la accionante promovió acción de tutela que terminó con </w:t>
      </w:r>
      <w:r w:rsidRPr="00E320CE">
        <w:rPr>
          <w:sz w:val="28"/>
          <w:szCs w:val="28"/>
        </w:rPr>
        <w:t xml:space="preserve">sentencia </w:t>
      </w:r>
      <w:r w:rsidR="00FE265A" w:rsidRPr="00E320CE">
        <w:rPr>
          <w:sz w:val="28"/>
          <w:szCs w:val="28"/>
        </w:rPr>
        <w:t xml:space="preserve">proferida el </w:t>
      </w:r>
      <w:r w:rsidRPr="00E320CE">
        <w:rPr>
          <w:sz w:val="28"/>
          <w:szCs w:val="28"/>
        </w:rPr>
        <w:t xml:space="preserve"> 22 de agosto de 2022,</w:t>
      </w:r>
      <w:r w:rsidR="00FE265A" w:rsidRPr="00E320CE">
        <w:rPr>
          <w:sz w:val="28"/>
          <w:szCs w:val="28"/>
        </w:rPr>
        <w:t xml:space="preserve"> a</w:t>
      </w:r>
      <w:r w:rsidR="00641772" w:rsidRPr="00E320CE">
        <w:rPr>
          <w:sz w:val="28"/>
          <w:szCs w:val="28"/>
        </w:rPr>
        <w:t xml:space="preserve"> través de la cual</w:t>
      </w:r>
      <w:r w:rsidRPr="00E320CE">
        <w:rPr>
          <w:sz w:val="28"/>
          <w:szCs w:val="28"/>
        </w:rPr>
        <w:t xml:space="preserve"> el Juzgado 11 Civil Municipal de Cartagena</w:t>
      </w:r>
      <w:r w:rsidR="00641772" w:rsidRPr="00E320CE">
        <w:rPr>
          <w:sz w:val="28"/>
          <w:szCs w:val="28"/>
        </w:rPr>
        <w:t xml:space="preserve"> </w:t>
      </w:r>
      <w:r w:rsidR="00641772" w:rsidRPr="00E320CE">
        <w:rPr>
          <w:sz w:val="28"/>
          <w:szCs w:val="28"/>
        </w:rPr>
        <w:lastRenderedPageBreak/>
        <w:t xml:space="preserve">concedió el amparo transitorio de los derechos fundamentales de la accionante y ordenó su reintegro a la UT Salud Integral PPL. Para tomar </w:t>
      </w:r>
      <w:r w:rsidR="00333AB5" w:rsidRPr="00E320CE">
        <w:rPr>
          <w:sz w:val="28"/>
          <w:szCs w:val="28"/>
        </w:rPr>
        <w:t>esta</w:t>
      </w:r>
      <w:r w:rsidR="00641772" w:rsidRPr="00E320CE">
        <w:rPr>
          <w:sz w:val="28"/>
          <w:szCs w:val="28"/>
        </w:rPr>
        <w:t xml:space="preserve"> decisión, el funcionario judicial</w:t>
      </w:r>
      <w:r w:rsidRPr="00E320CE">
        <w:rPr>
          <w:sz w:val="28"/>
          <w:szCs w:val="28"/>
        </w:rPr>
        <w:t xml:space="preserve"> concluyó que</w:t>
      </w:r>
      <w:r w:rsidR="008570A1" w:rsidRPr="00E320CE">
        <w:rPr>
          <w:sz w:val="28"/>
          <w:szCs w:val="28"/>
        </w:rPr>
        <w:t xml:space="preserve"> la accionada </w:t>
      </w:r>
      <w:r w:rsidRPr="00E320CE">
        <w:rPr>
          <w:sz w:val="28"/>
          <w:szCs w:val="28"/>
        </w:rPr>
        <w:t>desconoció el derecho a la estabilidad laboral reforzada de la accionante, en la medida en que</w:t>
      </w:r>
      <w:r w:rsidR="00F6633E" w:rsidRPr="00E320CE">
        <w:rPr>
          <w:sz w:val="28"/>
          <w:szCs w:val="28"/>
        </w:rPr>
        <w:t xml:space="preserve"> la contratista</w:t>
      </w:r>
      <w:r w:rsidRPr="00E320CE">
        <w:rPr>
          <w:sz w:val="28"/>
          <w:szCs w:val="28"/>
        </w:rPr>
        <w:t xml:space="preserve"> </w:t>
      </w:r>
      <w:r w:rsidR="00F6633E" w:rsidRPr="00E320CE">
        <w:rPr>
          <w:sz w:val="28"/>
          <w:szCs w:val="28"/>
        </w:rPr>
        <w:t>tenía</w:t>
      </w:r>
      <w:r w:rsidRPr="00E320CE">
        <w:rPr>
          <w:sz w:val="28"/>
          <w:szCs w:val="28"/>
        </w:rPr>
        <w:t xml:space="preserve"> cáncer de cuello uterino y su tratamiento le impedía desempeñar sus labores de forma regular, </w:t>
      </w:r>
      <w:r w:rsidR="00903D55" w:rsidRPr="00E320CE">
        <w:rPr>
          <w:sz w:val="28"/>
          <w:szCs w:val="28"/>
        </w:rPr>
        <w:t xml:space="preserve">situación que era conocida por la UT </w:t>
      </w:r>
      <w:r w:rsidR="001A28F2" w:rsidRPr="00E320CE">
        <w:rPr>
          <w:sz w:val="28"/>
          <w:szCs w:val="28"/>
        </w:rPr>
        <w:t xml:space="preserve">y, pese a ello, </w:t>
      </w:r>
      <w:r w:rsidRPr="00E320CE">
        <w:rPr>
          <w:sz w:val="28"/>
          <w:szCs w:val="28"/>
        </w:rPr>
        <w:t>no pidió la autorización previa ante el Ministerio del Trabajo</w:t>
      </w:r>
      <w:r w:rsidRPr="00E320CE">
        <w:rPr>
          <w:rStyle w:val="Refdenotaalpie"/>
          <w:sz w:val="28"/>
          <w:szCs w:val="28"/>
        </w:rPr>
        <w:footnoteReference w:id="18"/>
      </w:r>
      <w:r w:rsidRPr="00E320CE">
        <w:rPr>
          <w:sz w:val="28"/>
          <w:szCs w:val="28"/>
        </w:rPr>
        <w:t>.</w:t>
      </w:r>
    </w:p>
    <w:p w14:paraId="547A8263" w14:textId="77777777" w:rsidR="00022A41" w:rsidRPr="00E320CE" w:rsidRDefault="00022A41" w:rsidP="00022A41">
      <w:pPr>
        <w:pStyle w:val="Prrafodelista"/>
        <w:rPr>
          <w:sz w:val="28"/>
          <w:szCs w:val="28"/>
        </w:rPr>
      </w:pPr>
    </w:p>
    <w:p w14:paraId="7AE90380" w14:textId="32333BEB"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 xml:space="preserve">Durante </w:t>
      </w:r>
      <w:r w:rsidR="009A3618" w:rsidRPr="00E320CE">
        <w:rPr>
          <w:sz w:val="28"/>
          <w:szCs w:val="28"/>
        </w:rPr>
        <w:t>los</w:t>
      </w:r>
      <w:r w:rsidRPr="00E320CE">
        <w:rPr>
          <w:sz w:val="28"/>
          <w:szCs w:val="28"/>
        </w:rPr>
        <w:t xml:space="preserve"> año</w:t>
      </w:r>
      <w:r w:rsidR="009A3618" w:rsidRPr="00E320CE">
        <w:rPr>
          <w:sz w:val="28"/>
          <w:szCs w:val="28"/>
        </w:rPr>
        <w:t>s</w:t>
      </w:r>
      <w:r w:rsidRPr="00E320CE">
        <w:rPr>
          <w:sz w:val="28"/>
          <w:szCs w:val="28"/>
        </w:rPr>
        <w:t xml:space="preserve"> 2023 y 2024, la accionante continuó </w:t>
      </w:r>
      <w:r w:rsidR="007172DF" w:rsidRPr="00E320CE">
        <w:rPr>
          <w:sz w:val="28"/>
          <w:szCs w:val="28"/>
        </w:rPr>
        <w:t>vinculada a</w:t>
      </w:r>
      <w:r w:rsidRPr="00E320CE">
        <w:rPr>
          <w:sz w:val="28"/>
          <w:szCs w:val="28"/>
        </w:rPr>
        <w:t xml:space="preserve"> </w:t>
      </w:r>
      <w:r w:rsidR="009A3618" w:rsidRPr="00E320CE">
        <w:rPr>
          <w:sz w:val="28"/>
          <w:szCs w:val="28"/>
        </w:rPr>
        <w:t xml:space="preserve">la UT </w:t>
      </w:r>
      <w:r w:rsidRPr="00E320CE">
        <w:rPr>
          <w:sz w:val="28"/>
          <w:szCs w:val="28"/>
        </w:rPr>
        <w:t>Salud Integral bajo la modalidad de prestación de servicios</w:t>
      </w:r>
      <w:r w:rsidRPr="00E320CE">
        <w:rPr>
          <w:rStyle w:val="Refdenotaalpie"/>
          <w:sz w:val="28"/>
          <w:szCs w:val="28"/>
        </w:rPr>
        <w:footnoteReference w:id="19"/>
      </w:r>
      <w:r w:rsidR="007172DF" w:rsidRPr="00E320CE">
        <w:rPr>
          <w:sz w:val="28"/>
          <w:szCs w:val="28"/>
        </w:rPr>
        <w:t>,</w:t>
      </w:r>
      <w:r w:rsidR="000F4AD4" w:rsidRPr="00E320CE">
        <w:rPr>
          <w:sz w:val="28"/>
          <w:szCs w:val="28"/>
        </w:rPr>
        <w:t xml:space="preserve"> tiempo durante el cual asistía </w:t>
      </w:r>
      <w:r w:rsidRPr="00E320CE">
        <w:rPr>
          <w:sz w:val="28"/>
          <w:szCs w:val="28"/>
        </w:rPr>
        <w:t>a controles de psiquiatría cada dos meses</w:t>
      </w:r>
      <w:r w:rsidR="000F4AD4" w:rsidRPr="00E320CE">
        <w:rPr>
          <w:sz w:val="28"/>
          <w:szCs w:val="28"/>
        </w:rPr>
        <w:t xml:space="preserve"> y l</w:t>
      </w:r>
      <w:r w:rsidR="00113123" w:rsidRPr="00E320CE">
        <w:rPr>
          <w:sz w:val="28"/>
          <w:szCs w:val="28"/>
        </w:rPr>
        <w:t>e</w:t>
      </w:r>
      <w:r w:rsidR="000F4AD4" w:rsidRPr="00E320CE">
        <w:rPr>
          <w:sz w:val="28"/>
          <w:szCs w:val="28"/>
        </w:rPr>
        <w:t xml:space="preserve"> recentaban </w:t>
      </w:r>
      <w:r w:rsidRPr="00E320CE">
        <w:rPr>
          <w:sz w:val="28"/>
          <w:szCs w:val="28"/>
        </w:rPr>
        <w:t xml:space="preserve">con frecuencia fluoxetina y </w:t>
      </w:r>
      <w:proofErr w:type="spellStart"/>
      <w:r w:rsidRPr="00E320CE">
        <w:rPr>
          <w:sz w:val="28"/>
          <w:szCs w:val="28"/>
        </w:rPr>
        <w:t>d</w:t>
      </w:r>
      <w:r w:rsidR="00D774B0" w:rsidRPr="00E320CE">
        <w:rPr>
          <w:sz w:val="28"/>
          <w:szCs w:val="28"/>
        </w:rPr>
        <w:t>u</w:t>
      </w:r>
      <w:r w:rsidRPr="00E320CE">
        <w:rPr>
          <w:sz w:val="28"/>
          <w:szCs w:val="28"/>
        </w:rPr>
        <w:t>loxetin</w:t>
      </w:r>
      <w:r w:rsidR="00D774B0" w:rsidRPr="00E320CE">
        <w:rPr>
          <w:sz w:val="28"/>
          <w:szCs w:val="28"/>
        </w:rPr>
        <w:t>a</w:t>
      </w:r>
      <w:proofErr w:type="spellEnd"/>
      <w:r w:rsidRPr="00E320CE">
        <w:rPr>
          <w:rStyle w:val="Refdenotaalpie"/>
          <w:sz w:val="28"/>
          <w:szCs w:val="28"/>
        </w:rPr>
        <w:footnoteReference w:id="20"/>
      </w:r>
      <w:r w:rsidRPr="00E320CE">
        <w:rPr>
          <w:sz w:val="28"/>
          <w:szCs w:val="28"/>
        </w:rPr>
        <w:t xml:space="preserve">. </w:t>
      </w:r>
      <w:r w:rsidR="00F13C8A" w:rsidRPr="00E320CE">
        <w:rPr>
          <w:sz w:val="28"/>
          <w:szCs w:val="28"/>
        </w:rPr>
        <w:t>Además</w:t>
      </w:r>
      <w:r w:rsidRPr="00E320CE" w:rsidDel="00F13C8A">
        <w:rPr>
          <w:sz w:val="28"/>
          <w:szCs w:val="28"/>
        </w:rPr>
        <w:t xml:space="preserve">,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rPr>
        <w:t xml:space="preserve">sostuvo que </w:t>
      </w:r>
      <w:r w:rsidR="007F6AF9" w:rsidRPr="00E320CE">
        <w:rPr>
          <w:sz w:val="28"/>
          <w:szCs w:val="28"/>
        </w:rPr>
        <w:t>el cáncer con el que fue</w:t>
      </w:r>
      <w:r w:rsidRPr="00E320CE">
        <w:rPr>
          <w:sz w:val="28"/>
          <w:szCs w:val="28"/>
        </w:rPr>
        <w:t xml:space="preserve"> diagnosticada </w:t>
      </w:r>
      <w:r w:rsidR="007F6AF9" w:rsidRPr="00E320CE">
        <w:rPr>
          <w:sz w:val="28"/>
          <w:szCs w:val="28"/>
        </w:rPr>
        <w:t xml:space="preserve">hizo metástasis </w:t>
      </w:r>
      <w:r w:rsidR="007172DF" w:rsidRPr="00E320CE">
        <w:rPr>
          <w:sz w:val="28"/>
          <w:szCs w:val="28"/>
        </w:rPr>
        <w:t>en el</w:t>
      </w:r>
      <w:r w:rsidRPr="00E320CE">
        <w:rPr>
          <w:sz w:val="28"/>
          <w:szCs w:val="28"/>
        </w:rPr>
        <w:t xml:space="preserve"> cuello, por lo que</w:t>
      </w:r>
      <w:r w:rsidR="006236A7" w:rsidRPr="00E320CE">
        <w:rPr>
          <w:sz w:val="28"/>
          <w:szCs w:val="28"/>
        </w:rPr>
        <w:t xml:space="preserve"> actualmente</w:t>
      </w:r>
      <w:r w:rsidRPr="00E320CE">
        <w:rPr>
          <w:sz w:val="28"/>
          <w:szCs w:val="28"/>
        </w:rPr>
        <w:t xml:space="preserve"> </w:t>
      </w:r>
      <w:r w:rsidR="007172DF" w:rsidRPr="00E320CE">
        <w:rPr>
          <w:sz w:val="28"/>
          <w:szCs w:val="28"/>
        </w:rPr>
        <w:t>recibe</w:t>
      </w:r>
      <w:r w:rsidRPr="00E320CE">
        <w:rPr>
          <w:sz w:val="28"/>
          <w:szCs w:val="28"/>
        </w:rPr>
        <w:t xml:space="preserve"> tratamiento</w:t>
      </w:r>
      <w:r w:rsidR="006236A7" w:rsidRPr="00E320CE">
        <w:rPr>
          <w:sz w:val="28"/>
          <w:szCs w:val="28"/>
        </w:rPr>
        <w:t xml:space="preserve">s médicos </w:t>
      </w:r>
      <w:r w:rsidRPr="00E320CE">
        <w:rPr>
          <w:rStyle w:val="Refdenotaalpie"/>
          <w:sz w:val="28"/>
          <w:szCs w:val="28"/>
        </w:rPr>
        <w:footnoteReference w:id="21"/>
      </w:r>
      <w:r w:rsidRPr="00E320CE">
        <w:rPr>
          <w:sz w:val="28"/>
          <w:szCs w:val="28"/>
        </w:rPr>
        <w:t>.</w:t>
      </w:r>
    </w:p>
    <w:p w14:paraId="58384926" w14:textId="77777777" w:rsidR="00022A41" w:rsidRPr="00E320CE" w:rsidRDefault="00022A41" w:rsidP="00022A41">
      <w:pPr>
        <w:pStyle w:val="Prrafodelista"/>
        <w:rPr>
          <w:sz w:val="28"/>
          <w:szCs w:val="28"/>
        </w:rPr>
      </w:pPr>
    </w:p>
    <w:p w14:paraId="025B1631" w14:textId="4CD80763"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 xml:space="preserve">El 31 de julio de 2024, la </w:t>
      </w:r>
      <w:r w:rsidR="00E72426" w:rsidRPr="00E320CE">
        <w:rPr>
          <w:sz w:val="28"/>
          <w:szCs w:val="28"/>
        </w:rPr>
        <w:t>UT</w:t>
      </w:r>
      <w:r w:rsidRPr="00E320CE">
        <w:rPr>
          <w:sz w:val="28"/>
          <w:szCs w:val="28"/>
        </w:rPr>
        <w:t xml:space="preserve"> Salud Integral</w:t>
      </w:r>
      <w:r w:rsidR="0071068F" w:rsidRPr="00E320CE">
        <w:rPr>
          <w:sz w:val="28"/>
          <w:szCs w:val="28"/>
        </w:rPr>
        <w:t xml:space="preserve"> </w:t>
      </w:r>
      <w:r w:rsidRPr="00E320CE">
        <w:rPr>
          <w:sz w:val="28"/>
          <w:szCs w:val="28"/>
        </w:rPr>
        <w:t xml:space="preserve">dio por terminado el contrato de </w:t>
      </w:r>
      <w:r w:rsidR="00E320CE" w:rsidRPr="00E320CE">
        <w:rPr>
          <w:i/>
          <w:iCs/>
          <w:sz w:val="28"/>
          <w:szCs w:val="28"/>
          <w:lang w:val="es-CO"/>
        </w:rPr>
        <w:t>Greta</w:t>
      </w:r>
      <w:r w:rsidR="0071068F" w:rsidRPr="00E320CE">
        <w:rPr>
          <w:sz w:val="28"/>
          <w:szCs w:val="28"/>
        </w:rPr>
        <w:t xml:space="preserve">, debido a </w:t>
      </w:r>
      <w:r w:rsidR="00F805D6" w:rsidRPr="00E320CE">
        <w:rPr>
          <w:sz w:val="28"/>
          <w:szCs w:val="28"/>
        </w:rPr>
        <w:t xml:space="preserve">que entró en </w:t>
      </w:r>
      <w:r w:rsidR="00C37963" w:rsidRPr="00E320CE">
        <w:rPr>
          <w:sz w:val="28"/>
          <w:szCs w:val="28"/>
        </w:rPr>
        <w:t>proceso de liquidación</w:t>
      </w:r>
      <w:r w:rsidRPr="00E320CE">
        <w:rPr>
          <w:rStyle w:val="Refdenotaalpie"/>
          <w:sz w:val="28"/>
          <w:szCs w:val="28"/>
        </w:rPr>
        <w:footnoteReference w:id="22"/>
      </w:r>
      <w:r w:rsidRPr="00E320CE">
        <w:rPr>
          <w:sz w:val="28"/>
          <w:szCs w:val="28"/>
        </w:rPr>
        <w:t xml:space="preserve">. </w:t>
      </w:r>
      <w:r w:rsidR="00B93072" w:rsidRPr="00E320CE">
        <w:rPr>
          <w:sz w:val="28"/>
          <w:szCs w:val="28"/>
        </w:rPr>
        <w:t>En su remplazo, l</w:t>
      </w:r>
      <w:r w:rsidRPr="00E320CE">
        <w:rPr>
          <w:sz w:val="28"/>
          <w:szCs w:val="28"/>
        </w:rPr>
        <w:t xml:space="preserve">a Unión Temporal </w:t>
      </w:r>
      <w:proofErr w:type="spellStart"/>
      <w:r w:rsidRPr="00E320CE">
        <w:rPr>
          <w:sz w:val="28"/>
          <w:szCs w:val="28"/>
        </w:rPr>
        <w:t>Norsalud</w:t>
      </w:r>
      <w:proofErr w:type="spellEnd"/>
      <w:r w:rsidRPr="00E320CE">
        <w:rPr>
          <w:sz w:val="28"/>
          <w:szCs w:val="28"/>
        </w:rPr>
        <w:t xml:space="preserve"> PPL se convirtió en el nuevo operador de salud del Establecimiento Penitenciario de Mediana Seguridad y Carcelario de Cartagena</w:t>
      </w:r>
      <w:r w:rsidRPr="00E320CE">
        <w:rPr>
          <w:rStyle w:val="Refdenotaalpie"/>
          <w:sz w:val="28"/>
          <w:szCs w:val="28"/>
        </w:rPr>
        <w:footnoteReference w:id="23"/>
      </w:r>
      <w:r w:rsidRPr="00E320CE">
        <w:rPr>
          <w:sz w:val="28"/>
          <w:szCs w:val="28"/>
        </w:rPr>
        <w:t xml:space="preserve">. </w:t>
      </w:r>
      <w:r w:rsidR="00605028" w:rsidRPr="00E320CE">
        <w:rPr>
          <w:sz w:val="28"/>
          <w:szCs w:val="28"/>
        </w:rPr>
        <w:t>Según</w:t>
      </w:r>
      <w:r w:rsidRPr="00E320CE">
        <w:rPr>
          <w:sz w:val="28"/>
          <w:szCs w:val="28"/>
        </w:rPr>
        <w:t xml:space="preserve"> la actora, </w:t>
      </w:r>
      <w:r w:rsidR="00D2567B" w:rsidRPr="00E320CE">
        <w:rPr>
          <w:sz w:val="28"/>
          <w:szCs w:val="28"/>
        </w:rPr>
        <w:t xml:space="preserve">la UT </w:t>
      </w:r>
      <w:proofErr w:type="spellStart"/>
      <w:r w:rsidRPr="00E320CE">
        <w:rPr>
          <w:sz w:val="28"/>
          <w:szCs w:val="28"/>
        </w:rPr>
        <w:t>Norsalud</w:t>
      </w:r>
      <w:proofErr w:type="spellEnd"/>
      <w:r w:rsidRPr="00E320CE">
        <w:rPr>
          <w:sz w:val="28"/>
          <w:szCs w:val="28"/>
        </w:rPr>
        <w:t xml:space="preserve"> PPL tiene la misma representante legal</w:t>
      </w:r>
      <w:r w:rsidR="00983A01" w:rsidRPr="00E320CE">
        <w:rPr>
          <w:sz w:val="28"/>
          <w:szCs w:val="28"/>
        </w:rPr>
        <w:t xml:space="preserve"> de la UT Salud Integral</w:t>
      </w:r>
      <w:r w:rsidRPr="00E320CE">
        <w:rPr>
          <w:sz w:val="28"/>
          <w:szCs w:val="28"/>
        </w:rPr>
        <w:t>, Paola Andrea Flórez Sánchez</w:t>
      </w:r>
      <w:r w:rsidRPr="00E320CE">
        <w:rPr>
          <w:rStyle w:val="Refdenotaalpie"/>
          <w:sz w:val="28"/>
          <w:szCs w:val="28"/>
        </w:rPr>
        <w:footnoteReference w:id="24"/>
      </w:r>
      <w:r w:rsidRPr="00E320CE">
        <w:rPr>
          <w:sz w:val="28"/>
          <w:szCs w:val="28"/>
        </w:rPr>
        <w:t>, y contrató a todas las personas que estaban vinculadas anteriormente</w:t>
      </w:r>
      <w:r w:rsidR="00983A01" w:rsidRPr="00E320CE">
        <w:rPr>
          <w:sz w:val="28"/>
          <w:szCs w:val="28"/>
        </w:rPr>
        <w:t xml:space="preserve">, excepto </w:t>
      </w:r>
      <w:r w:rsidRPr="00E320CE">
        <w:rPr>
          <w:sz w:val="28"/>
          <w:szCs w:val="28"/>
        </w:rPr>
        <w:t>a la accionante</w:t>
      </w:r>
      <w:r w:rsidRPr="00E320CE">
        <w:rPr>
          <w:rStyle w:val="Refdenotaalpie"/>
          <w:sz w:val="28"/>
          <w:szCs w:val="28"/>
        </w:rPr>
        <w:footnoteReference w:id="25"/>
      </w:r>
      <w:r w:rsidRPr="00E320CE">
        <w:rPr>
          <w:sz w:val="28"/>
          <w:szCs w:val="28"/>
        </w:rPr>
        <w:t xml:space="preserve">. Por esa razón, considera que entre la Unión Temporal Salud Integral PPL y la Unión Temporal </w:t>
      </w:r>
      <w:proofErr w:type="spellStart"/>
      <w:r w:rsidRPr="00E320CE">
        <w:rPr>
          <w:sz w:val="28"/>
          <w:szCs w:val="28"/>
        </w:rPr>
        <w:t>Norsalud</w:t>
      </w:r>
      <w:proofErr w:type="spellEnd"/>
      <w:r w:rsidRPr="00E320CE">
        <w:rPr>
          <w:sz w:val="28"/>
          <w:szCs w:val="28"/>
        </w:rPr>
        <w:t xml:space="preserve"> PPL se configuró una sustitución patronal</w:t>
      </w:r>
      <w:r w:rsidRPr="00E320CE">
        <w:rPr>
          <w:rStyle w:val="Refdenotaalpie"/>
          <w:sz w:val="28"/>
          <w:szCs w:val="28"/>
        </w:rPr>
        <w:footnoteReference w:id="26"/>
      </w:r>
      <w:r w:rsidRPr="00E320CE">
        <w:rPr>
          <w:sz w:val="28"/>
          <w:szCs w:val="28"/>
        </w:rPr>
        <w:t>.</w:t>
      </w:r>
    </w:p>
    <w:p w14:paraId="7B6F120A" w14:textId="77777777" w:rsidR="00022A41" w:rsidRPr="00E320CE" w:rsidRDefault="00022A41" w:rsidP="00022A41">
      <w:pPr>
        <w:rPr>
          <w:sz w:val="28"/>
          <w:szCs w:val="28"/>
        </w:rPr>
      </w:pPr>
    </w:p>
    <w:p w14:paraId="6F140B55" w14:textId="19FA39A9"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Actualmente, la accionante y su familia viven en una situación económica precaria</w:t>
      </w:r>
      <w:r w:rsidRPr="00E320CE">
        <w:rPr>
          <w:rStyle w:val="Refdenotaalpie"/>
          <w:sz w:val="28"/>
          <w:szCs w:val="28"/>
        </w:rPr>
        <w:footnoteReference w:id="27"/>
      </w:r>
      <w:r w:rsidRPr="00E320CE">
        <w:rPr>
          <w:sz w:val="28"/>
          <w:szCs w:val="28"/>
        </w:rPr>
        <w:t xml:space="preserve">. </w:t>
      </w:r>
      <w:r w:rsidR="007172DF" w:rsidRPr="00E320CE">
        <w:rPr>
          <w:sz w:val="28"/>
          <w:szCs w:val="28"/>
        </w:rPr>
        <w:t>Además</w:t>
      </w:r>
      <w:r w:rsidRPr="00E320CE">
        <w:rPr>
          <w:sz w:val="28"/>
          <w:szCs w:val="28"/>
        </w:rPr>
        <w:t>, l</w:t>
      </w:r>
      <w:r w:rsidR="005D5856" w:rsidRPr="00E320CE">
        <w:rPr>
          <w:sz w:val="28"/>
          <w:szCs w:val="28"/>
        </w:rPr>
        <w:t xml:space="preserve">os servicios de salud de </w:t>
      </w:r>
      <w:r w:rsidR="00E320CE" w:rsidRPr="00E320CE">
        <w:rPr>
          <w:i/>
          <w:iCs/>
          <w:sz w:val="28"/>
          <w:szCs w:val="28"/>
          <w:lang w:val="es-CO"/>
        </w:rPr>
        <w:t>Greta</w:t>
      </w:r>
      <w:r w:rsidR="00E320CE" w:rsidRPr="00E320CE" w:rsidDel="006E6781">
        <w:rPr>
          <w:sz w:val="28"/>
          <w:szCs w:val="28"/>
          <w:lang w:val="es-CO"/>
        </w:rPr>
        <w:t xml:space="preserve"> </w:t>
      </w:r>
      <w:r w:rsidR="005D5856" w:rsidRPr="00E320CE">
        <w:rPr>
          <w:sz w:val="28"/>
          <w:szCs w:val="28"/>
        </w:rPr>
        <w:t xml:space="preserve">fueron suspendidos </w:t>
      </w:r>
      <w:r w:rsidR="002B45CF" w:rsidRPr="00E320CE">
        <w:rPr>
          <w:sz w:val="28"/>
          <w:szCs w:val="28"/>
        </w:rPr>
        <w:t>desde el 4 de septiembre de 2024 d</w:t>
      </w:r>
      <w:r w:rsidR="004737B6" w:rsidRPr="00E320CE">
        <w:rPr>
          <w:sz w:val="28"/>
          <w:szCs w:val="28"/>
        </w:rPr>
        <w:t>ebido a</w:t>
      </w:r>
      <w:r w:rsidR="002B45CF" w:rsidRPr="00E320CE">
        <w:rPr>
          <w:sz w:val="28"/>
          <w:szCs w:val="28"/>
        </w:rPr>
        <w:t xml:space="preserve"> su desvinculación</w:t>
      </w:r>
      <w:r w:rsidR="004737B6" w:rsidRPr="00E320CE">
        <w:rPr>
          <w:sz w:val="28"/>
          <w:szCs w:val="28"/>
        </w:rPr>
        <w:t xml:space="preserve"> de la unión temporal</w:t>
      </w:r>
      <w:r w:rsidR="00940CAA" w:rsidRPr="00E320CE">
        <w:rPr>
          <w:rStyle w:val="Refdenotaalpie"/>
          <w:sz w:val="28"/>
          <w:szCs w:val="28"/>
        </w:rPr>
        <w:footnoteReference w:id="28"/>
      </w:r>
      <w:r w:rsidR="002B45CF" w:rsidRPr="00E320CE">
        <w:rPr>
          <w:sz w:val="28"/>
          <w:szCs w:val="28"/>
        </w:rPr>
        <w:t xml:space="preserve">, </w:t>
      </w:r>
      <w:r w:rsidR="00940CAA" w:rsidRPr="00E320CE">
        <w:rPr>
          <w:sz w:val="28"/>
          <w:szCs w:val="28"/>
        </w:rPr>
        <w:t>aunque</w:t>
      </w:r>
      <w:r w:rsidRPr="00E320CE">
        <w:rPr>
          <w:sz w:val="28"/>
          <w:szCs w:val="28"/>
        </w:rPr>
        <w:t xml:space="preserve"> </w:t>
      </w:r>
      <w:r w:rsidR="00B67923" w:rsidRPr="00E320CE">
        <w:rPr>
          <w:sz w:val="28"/>
          <w:szCs w:val="28"/>
        </w:rPr>
        <w:t>requiere</w:t>
      </w:r>
      <w:r w:rsidRPr="00E320CE">
        <w:rPr>
          <w:sz w:val="28"/>
          <w:szCs w:val="28"/>
        </w:rPr>
        <w:t xml:space="preserve"> tratamiento psiquiátrico y controles </w:t>
      </w:r>
      <w:r w:rsidR="00F57F25" w:rsidRPr="00E320CE">
        <w:rPr>
          <w:sz w:val="28"/>
          <w:szCs w:val="28"/>
        </w:rPr>
        <w:t>por el diagnóstico de</w:t>
      </w:r>
      <w:r w:rsidRPr="00E320CE">
        <w:rPr>
          <w:sz w:val="28"/>
          <w:szCs w:val="28"/>
        </w:rPr>
        <w:t xml:space="preserve"> cáncer</w:t>
      </w:r>
      <w:r w:rsidRPr="00E320CE">
        <w:rPr>
          <w:rStyle w:val="Refdenotaalpie"/>
          <w:sz w:val="28"/>
          <w:szCs w:val="28"/>
        </w:rPr>
        <w:footnoteReference w:id="29"/>
      </w:r>
      <w:r w:rsidRPr="00E320CE">
        <w:rPr>
          <w:sz w:val="28"/>
          <w:szCs w:val="28"/>
        </w:rPr>
        <w:t>. Esta situación ha impedido</w:t>
      </w:r>
      <w:r w:rsidR="007172DF" w:rsidRPr="00E320CE">
        <w:rPr>
          <w:sz w:val="28"/>
          <w:szCs w:val="28"/>
        </w:rPr>
        <w:t xml:space="preserve"> que la accionante</w:t>
      </w:r>
      <w:r w:rsidRPr="00E320CE">
        <w:rPr>
          <w:sz w:val="28"/>
          <w:szCs w:val="28"/>
        </w:rPr>
        <w:t xml:space="preserve"> acced</w:t>
      </w:r>
      <w:r w:rsidR="007172DF" w:rsidRPr="00E320CE">
        <w:rPr>
          <w:sz w:val="28"/>
          <w:szCs w:val="28"/>
        </w:rPr>
        <w:t>a</w:t>
      </w:r>
      <w:r w:rsidRPr="00E320CE">
        <w:rPr>
          <w:sz w:val="28"/>
          <w:szCs w:val="28"/>
        </w:rPr>
        <w:t xml:space="preserve"> a los tratamientos que necesita y le ha </w:t>
      </w:r>
      <w:r w:rsidR="007172DF" w:rsidRPr="00E320CE">
        <w:rPr>
          <w:sz w:val="28"/>
          <w:szCs w:val="28"/>
        </w:rPr>
        <w:t>dificultado</w:t>
      </w:r>
      <w:r w:rsidRPr="00E320CE">
        <w:rPr>
          <w:sz w:val="28"/>
          <w:szCs w:val="28"/>
        </w:rPr>
        <w:t xml:space="preserve"> conseguir otro trabajo, </w:t>
      </w:r>
      <w:r w:rsidR="009B5F12" w:rsidRPr="00E320CE">
        <w:rPr>
          <w:sz w:val="28"/>
          <w:szCs w:val="28"/>
        </w:rPr>
        <w:t xml:space="preserve">ya que </w:t>
      </w:r>
      <w:r w:rsidR="00CB1928" w:rsidRPr="00E320CE">
        <w:rPr>
          <w:sz w:val="28"/>
          <w:szCs w:val="28"/>
        </w:rPr>
        <w:t>los médicos</w:t>
      </w:r>
      <w:r w:rsidRPr="00E320CE">
        <w:rPr>
          <w:sz w:val="28"/>
          <w:szCs w:val="28"/>
        </w:rPr>
        <w:t xml:space="preserve"> le prescriben incapacidades médicas de</w:t>
      </w:r>
      <w:r w:rsidRPr="00E320CE" w:rsidDel="000711E4">
        <w:rPr>
          <w:sz w:val="28"/>
          <w:szCs w:val="28"/>
        </w:rPr>
        <w:t xml:space="preserve"> </w:t>
      </w:r>
      <w:r w:rsidRPr="00E320CE">
        <w:rPr>
          <w:sz w:val="28"/>
          <w:szCs w:val="28"/>
        </w:rPr>
        <w:t>forma constante</w:t>
      </w:r>
      <w:r w:rsidRPr="00E320CE">
        <w:rPr>
          <w:rStyle w:val="Refdenotaalpie"/>
          <w:sz w:val="28"/>
          <w:szCs w:val="28"/>
        </w:rPr>
        <w:footnoteReference w:id="30"/>
      </w:r>
      <w:r w:rsidRPr="00E320CE">
        <w:rPr>
          <w:sz w:val="28"/>
          <w:szCs w:val="28"/>
        </w:rPr>
        <w:t>.</w:t>
      </w:r>
    </w:p>
    <w:p w14:paraId="4AD9B6D3" w14:textId="77777777" w:rsidR="00E828C3" w:rsidRPr="00E320CE" w:rsidRDefault="00E828C3" w:rsidP="00E828C3">
      <w:pPr>
        <w:pStyle w:val="Prrafodelista"/>
        <w:autoSpaceDE/>
        <w:autoSpaceDN/>
        <w:ind w:left="0" w:right="57"/>
        <w:jc w:val="both"/>
        <w:rPr>
          <w:sz w:val="28"/>
          <w:szCs w:val="28"/>
        </w:rPr>
      </w:pPr>
    </w:p>
    <w:p w14:paraId="78DFC79D" w14:textId="59DB33AB" w:rsidR="00E828C3" w:rsidRPr="00E320CE" w:rsidRDefault="00E828C3" w:rsidP="0B0188B3">
      <w:pPr>
        <w:pStyle w:val="Prrafodelista"/>
        <w:autoSpaceDE/>
        <w:autoSpaceDN/>
        <w:ind w:left="0" w:right="57" w:firstLine="708"/>
        <w:jc w:val="both"/>
        <w:rPr>
          <w:sz w:val="28"/>
          <w:szCs w:val="28"/>
        </w:rPr>
      </w:pPr>
      <w:r w:rsidRPr="00E320CE">
        <w:rPr>
          <w:b/>
          <w:bCs/>
          <w:sz w:val="28"/>
          <w:szCs w:val="28"/>
          <w:lang w:val="es-CO"/>
        </w:rPr>
        <w:t>2. Fundamentos de la solicitud de tutela</w:t>
      </w:r>
    </w:p>
    <w:p w14:paraId="6F03BCD4" w14:textId="77777777" w:rsidR="00022A41" w:rsidRPr="00E320CE" w:rsidRDefault="00022A41" w:rsidP="00022A41">
      <w:pPr>
        <w:pStyle w:val="Prrafodelista"/>
        <w:autoSpaceDE/>
        <w:autoSpaceDN/>
        <w:ind w:left="0" w:right="57"/>
        <w:jc w:val="both"/>
        <w:rPr>
          <w:sz w:val="28"/>
          <w:szCs w:val="28"/>
        </w:rPr>
      </w:pPr>
    </w:p>
    <w:p w14:paraId="3EA1AD65" w14:textId="46AD3D54" w:rsidR="001671BC"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 xml:space="preserve">A partir de los hechos expuestos, </w:t>
      </w:r>
      <w:r w:rsidR="00A90B7E" w:rsidRPr="00E320CE">
        <w:rPr>
          <w:sz w:val="28"/>
          <w:szCs w:val="28"/>
        </w:rPr>
        <w:t xml:space="preserve">el 5 </w:t>
      </w:r>
      <w:r w:rsidR="009F5BCB" w:rsidRPr="00E320CE">
        <w:rPr>
          <w:sz w:val="28"/>
          <w:szCs w:val="28"/>
        </w:rPr>
        <w:t xml:space="preserve">de septiembre de 2024 </w:t>
      </w:r>
      <w:r w:rsidR="00E320CE" w:rsidRPr="00E320CE">
        <w:rPr>
          <w:i/>
          <w:iCs/>
          <w:sz w:val="28"/>
          <w:szCs w:val="28"/>
          <w:lang w:val="es-CO"/>
        </w:rPr>
        <w:t>Greta</w:t>
      </w:r>
      <w:r w:rsidRPr="00E320CE">
        <w:rPr>
          <w:sz w:val="28"/>
          <w:szCs w:val="28"/>
        </w:rPr>
        <w:t>, mediante apoderado judicial, presentó</w:t>
      </w:r>
      <w:r w:rsidRPr="00E320CE" w:rsidDel="00315113">
        <w:rPr>
          <w:sz w:val="28"/>
          <w:szCs w:val="28"/>
        </w:rPr>
        <w:t xml:space="preserve"> </w:t>
      </w:r>
      <w:r w:rsidRPr="00E320CE">
        <w:rPr>
          <w:sz w:val="28"/>
          <w:szCs w:val="28"/>
        </w:rPr>
        <w:t xml:space="preserve">acción de tutela en contra de la </w:t>
      </w:r>
      <w:r w:rsidRPr="00E320CE">
        <w:rPr>
          <w:sz w:val="28"/>
          <w:szCs w:val="28"/>
          <w:lang w:val="es-CO"/>
        </w:rPr>
        <w:t xml:space="preserve">Unión Temporal </w:t>
      </w:r>
      <w:proofErr w:type="spellStart"/>
      <w:r w:rsidRPr="00E320CE">
        <w:rPr>
          <w:sz w:val="28"/>
          <w:szCs w:val="28"/>
          <w:lang w:val="es-CO"/>
        </w:rPr>
        <w:t>Norsalud</w:t>
      </w:r>
      <w:proofErr w:type="spellEnd"/>
      <w:r w:rsidRPr="00E320CE">
        <w:rPr>
          <w:sz w:val="28"/>
          <w:szCs w:val="28"/>
          <w:lang w:val="es-CO"/>
        </w:rPr>
        <w:t xml:space="preserve"> PPL, la Unión Temporal Salud Integral PPL y el establecimiento penitenciario “Cárcel San Sebastián de Ternera”</w:t>
      </w:r>
      <w:r w:rsidR="006D6F6E" w:rsidRPr="00E320CE">
        <w:rPr>
          <w:sz w:val="28"/>
          <w:szCs w:val="28"/>
          <w:lang w:val="es-CO"/>
        </w:rPr>
        <w:t>,</w:t>
      </w:r>
      <w:r w:rsidRPr="00E320CE">
        <w:rPr>
          <w:sz w:val="28"/>
          <w:szCs w:val="28"/>
          <w:lang w:val="es-CO"/>
        </w:rPr>
        <w:t xml:space="preserve"> adscrit</w:t>
      </w:r>
      <w:r w:rsidR="006D6F6E" w:rsidRPr="00E320CE">
        <w:rPr>
          <w:sz w:val="28"/>
          <w:szCs w:val="28"/>
          <w:lang w:val="es-CO"/>
        </w:rPr>
        <w:t>o</w:t>
      </w:r>
      <w:r w:rsidRPr="00E320CE">
        <w:rPr>
          <w:sz w:val="28"/>
          <w:szCs w:val="28"/>
          <w:lang w:val="es-CO"/>
        </w:rPr>
        <w:t xml:space="preserve"> a la </w:t>
      </w:r>
      <w:r w:rsidRPr="00E320CE">
        <w:rPr>
          <w:sz w:val="28"/>
          <w:szCs w:val="28"/>
        </w:rPr>
        <w:t>Unidad de Servicios Penitenciarios y Carcelarios - USPEC</w:t>
      </w:r>
      <w:r w:rsidRPr="00E320CE">
        <w:rPr>
          <w:sz w:val="28"/>
          <w:szCs w:val="28"/>
          <w:lang w:val="es-CO"/>
        </w:rPr>
        <w:t xml:space="preserve">. </w:t>
      </w:r>
    </w:p>
    <w:p w14:paraId="6815D621" w14:textId="7EF87B19" w:rsidR="00022A41" w:rsidRPr="00E320CE" w:rsidRDefault="00022A41" w:rsidP="268B37A2">
      <w:pPr>
        <w:pStyle w:val="Prrafodelista"/>
        <w:autoSpaceDE/>
        <w:autoSpaceDN/>
        <w:ind w:left="0" w:right="57"/>
        <w:jc w:val="both"/>
        <w:rPr>
          <w:sz w:val="28"/>
          <w:szCs w:val="28"/>
        </w:rPr>
      </w:pPr>
    </w:p>
    <w:p w14:paraId="7D700214" w14:textId="2D5211F0" w:rsidR="00022A41" w:rsidRPr="00E320CE" w:rsidRDefault="001101E2" w:rsidP="00022A41">
      <w:pPr>
        <w:pStyle w:val="Prrafodelista"/>
        <w:numPr>
          <w:ilvl w:val="0"/>
          <w:numId w:val="1"/>
        </w:numPr>
        <w:autoSpaceDE/>
        <w:autoSpaceDN/>
        <w:ind w:left="0" w:right="57" w:firstLine="0"/>
        <w:jc w:val="both"/>
        <w:rPr>
          <w:sz w:val="28"/>
          <w:szCs w:val="28"/>
        </w:rPr>
      </w:pPr>
      <w:r w:rsidRPr="00E320CE">
        <w:rPr>
          <w:sz w:val="28"/>
          <w:szCs w:val="28"/>
          <w:lang w:val="es-CO"/>
        </w:rPr>
        <w:t>Como fundamento de sus pretensiones</w:t>
      </w:r>
      <w:r w:rsidR="00022A41" w:rsidRPr="00E320CE">
        <w:rPr>
          <w:sz w:val="28"/>
          <w:szCs w:val="28"/>
          <w:lang w:val="es-CO"/>
        </w:rPr>
        <w:t xml:space="preserve">, </w:t>
      </w:r>
      <w:r w:rsidR="00315113" w:rsidRPr="00E320CE">
        <w:rPr>
          <w:sz w:val="28"/>
          <w:szCs w:val="28"/>
          <w:lang w:val="es-CO"/>
        </w:rPr>
        <w:t>la</w:t>
      </w:r>
      <w:r w:rsidRPr="00E320CE">
        <w:rPr>
          <w:sz w:val="28"/>
          <w:szCs w:val="28"/>
          <w:lang w:val="es-CO"/>
        </w:rPr>
        <w:t xml:space="preserve"> accionante adujo que la</w:t>
      </w:r>
      <w:r w:rsidR="00EC7445" w:rsidRPr="00E320CE">
        <w:rPr>
          <w:sz w:val="28"/>
          <w:szCs w:val="28"/>
          <w:lang w:val="es-CO"/>
        </w:rPr>
        <w:t xml:space="preserve"> UT Salud Integral PPL</w:t>
      </w:r>
      <w:r w:rsidR="00315113" w:rsidRPr="00E320CE">
        <w:rPr>
          <w:sz w:val="28"/>
          <w:szCs w:val="28"/>
          <w:lang w:val="es-CO"/>
        </w:rPr>
        <w:t xml:space="preserve"> descon</w:t>
      </w:r>
      <w:r w:rsidR="002E6C32" w:rsidRPr="00E320CE">
        <w:rPr>
          <w:sz w:val="28"/>
          <w:szCs w:val="28"/>
          <w:lang w:val="es-CO"/>
        </w:rPr>
        <w:t>oció</w:t>
      </w:r>
      <w:r w:rsidR="00315113" w:rsidRPr="00E320CE">
        <w:rPr>
          <w:sz w:val="28"/>
          <w:szCs w:val="28"/>
          <w:lang w:val="es-CO"/>
        </w:rPr>
        <w:t xml:space="preserve"> </w:t>
      </w:r>
      <w:r w:rsidRPr="00E320CE">
        <w:rPr>
          <w:sz w:val="28"/>
          <w:szCs w:val="28"/>
          <w:lang w:val="es-CO"/>
        </w:rPr>
        <w:t>su</w:t>
      </w:r>
      <w:r w:rsidR="00022A41" w:rsidRPr="00E320CE">
        <w:rPr>
          <w:sz w:val="28"/>
          <w:szCs w:val="28"/>
        </w:rPr>
        <w:t xml:space="preserve"> derecho a la estabilidad laboral reforzada </w:t>
      </w:r>
      <w:r w:rsidR="00C27A3A" w:rsidRPr="00E320CE">
        <w:rPr>
          <w:sz w:val="28"/>
          <w:szCs w:val="28"/>
        </w:rPr>
        <w:t>y, como consecuencia de la sustitución patronal</w:t>
      </w:r>
      <w:r w:rsidR="00E93CEA" w:rsidRPr="00E320CE">
        <w:rPr>
          <w:sz w:val="28"/>
          <w:szCs w:val="28"/>
        </w:rPr>
        <w:t xml:space="preserve"> que operó</w:t>
      </w:r>
      <w:r w:rsidR="00C27A3A" w:rsidRPr="00E320CE">
        <w:rPr>
          <w:sz w:val="28"/>
          <w:szCs w:val="28"/>
        </w:rPr>
        <w:t xml:space="preserve">, </w:t>
      </w:r>
      <w:r w:rsidR="009F22BE" w:rsidRPr="00E320CE">
        <w:rPr>
          <w:sz w:val="28"/>
          <w:szCs w:val="28"/>
        </w:rPr>
        <w:t xml:space="preserve">los derechos que </w:t>
      </w:r>
      <w:r w:rsidR="009F22BE" w:rsidRPr="00E320CE">
        <w:rPr>
          <w:sz w:val="28"/>
          <w:szCs w:val="28"/>
        </w:rPr>
        <w:lastRenderedPageBreak/>
        <w:t xml:space="preserve">tienen origen en </w:t>
      </w:r>
      <w:r w:rsidR="00E93CEA" w:rsidRPr="00E320CE">
        <w:rPr>
          <w:sz w:val="28"/>
          <w:szCs w:val="28"/>
        </w:rPr>
        <w:t>esta</w:t>
      </w:r>
      <w:r w:rsidR="009F22BE" w:rsidRPr="00E320CE">
        <w:rPr>
          <w:sz w:val="28"/>
          <w:szCs w:val="28"/>
        </w:rPr>
        <w:t xml:space="preserve"> </w:t>
      </w:r>
      <w:r w:rsidR="00B80276" w:rsidRPr="00E320CE">
        <w:rPr>
          <w:sz w:val="28"/>
          <w:szCs w:val="28"/>
        </w:rPr>
        <w:t xml:space="preserve">garantía </w:t>
      </w:r>
      <w:r w:rsidR="00E93CEA" w:rsidRPr="00E320CE">
        <w:rPr>
          <w:sz w:val="28"/>
          <w:szCs w:val="28"/>
        </w:rPr>
        <w:t>laboral</w:t>
      </w:r>
      <w:r w:rsidR="00C27A3A" w:rsidRPr="00E320CE">
        <w:rPr>
          <w:sz w:val="28"/>
          <w:szCs w:val="28"/>
        </w:rPr>
        <w:t xml:space="preserve"> también fueron desconocidos </w:t>
      </w:r>
      <w:r w:rsidR="008D065D" w:rsidRPr="00E320CE">
        <w:rPr>
          <w:sz w:val="28"/>
          <w:szCs w:val="28"/>
        </w:rPr>
        <w:t xml:space="preserve">por </w:t>
      </w:r>
      <w:r w:rsidR="00022A41" w:rsidRPr="00E320CE">
        <w:rPr>
          <w:sz w:val="28"/>
          <w:szCs w:val="28"/>
        </w:rPr>
        <w:t xml:space="preserve">la Unión Temporal </w:t>
      </w:r>
      <w:proofErr w:type="spellStart"/>
      <w:r w:rsidR="00022A41" w:rsidRPr="00E320CE">
        <w:rPr>
          <w:sz w:val="28"/>
          <w:szCs w:val="28"/>
        </w:rPr>
        <w:t>Norsalud</w:t>
      </w:r>
      <w:proofErr w:type="spellEnd"/>
      <w:r w:rsidR="00022A41" w:rsidRPr="00E320CE">
        <w:rPr>
          <w:sz w:val="28"/>
          <w:szCs w:val="28"/>
        </w:rPr>
        <w:t xml:space="preserve"> PPL</w:t>
      </w:r>
      <w:r w:rsidR="00022A41" w:rsidRPr="00E320CE">
        <w:rPr>
          <w:rStyle w:val="Refdenotaalpie"/>
          <w:sz w:val="28"/>
          <w:szCs w:val="28"/>
        </w:rPr>
        <w:footnoteReference w:id="31"/>
      </w:r>
      <w:r w:rsidR="00022A41" w:rsidRPr="00E320CE">
        <w:rPr>
          <w:sz w:val="28"/>
          <w:szCs w:val="28"/>
        </w:rPr>
        <w:t xml:space="preserve">. </w:t>
      </w:r>
      <w:r w:rsidR="00B80276" w:rsidRPr="00E320CE">
        <w:rPr>
          <w:sz w:val="28"/>
          <w:szCs w:val="28"/>
        </w:rPr>
        <w:t xml:space="preserve">Además, la actora </w:t>
      </w:r>
      <w:r w:rsidR="00BD1D15" w:rsidRPr="00E320CE">
        <w:rPr>
          <w:sz w:val="28"/>
          <w:szCs w:val="28"/>
        </w:rPr>
        <w:t>señaló</w:t>
      </w:r>
      <w:r w:rsidR="00022A41" w:rsidRPr="00E320CE">
        <w:rPr>
          <w:sz w:val="28"/>
          <w:szCs w:val="28"/>
        </w:rPr>
        <w:t xml:space="preserve"> que el INPEC es responsable solidariamente</w:t>
      </w:r>
      <w:r w:rsidR="008701FD" w:rsidRPr="00E320CE">
        <w:rPr>
          <w:sz w:val="28"/>
          <w:szCs w:val="28"/>
        </w:rPr>
        <w:t xml:space="preserve"> de las obligaciones laborales</w:t>
      </w:r>
      <w:r w:rsidR="00C94160" w:rsidRPr="00E320CE">
        <w:rPr>
          <w:sz w:val="28"/>
          <w:szCs w:val="28"/>
        </w:rPr>
        <w:t xml:space="preserve"> que tienen origen </w:t>
      </w:r>
      <w:r w:rsidR="001B32EE" w:rsidRPr="00E320CE">
        <w:rPr>
          <w:sz w:val="28"/>
          <w:szCs w:val="28"/>
        </w:rPr>
        <w:t xml:space="preserve"> </w:t>
      </w:r>
      <w:r w:rsidR="00C94160" w:rsidRPr="00E320CE">
        <w:rPr>
          <w:sz w:val="28"/>
          <w:szCs w:val="28"/>
        </w:rPr>
        <w:t>en</w:t>
      </w:r>
      <w:r w:rsidR="001B32EE" w:rsidRPr="00E320CE">
        <w:rPr>
          <w:sz w:val="28"/>
          <w:szCs w:val="28"/>
        </w:rPr>
        <w:t xml:space="preserve"> </w:t>
      </w:r>
      <w:r w:rsidR="00C94160" w:rsidRPr="00E320CE">
        <w:rPr>
          <w:sz w:val="28"/>
          <w:szCs w:val="28"/>
        </w:rPr>
        <w:t>el</w:t>
      </w:r>
      <w:r w:rsidR="001B32EE" w:rsidRPr="00E320CE">
        <w:rPr>
          <w:sz w:val="28"/>
          <w:szCs w:val="28"/>
        </w:rPr>
        <w:t xml:space="preserve"> contrato realidad por efecto de la sustitución patronal, </w:t>
      </w:r>
      <w:r w:rsidR="00205F3B" w:rsidRPr="00E320CE">
        <w:rPr>
          <w:sz w:val="28"/>
          <w:szCs w:val="28"/>
        </w:rPr>
        <w:t>ya que</w:t>
      </w:r>
      <w:r w:rsidR="009F59B2" w:rsidRPr="00E320CE">
        <w:rPr>
          <w:sz w:val="28"/>
          <w:szCs w:val="28"/>
        </w:rPr>
        <w:t xml:space="preserve"> es</w:t>
      </w:r>
      <w:r w:rsidR="005F6928" w:rsidRPr="00E320CE">
        <w:rPr>
          <w:sz w:val="28"/>
          <w:szCs w:val="28"/>
        </w:rPr>
        <w:t xml:space="preserve"> la entidad usuaria </w:t>
      </w:r>
      <w:r w:rsidR="009F59B2" w:rsidRPr="00E320CE">
        <w:rPr>
          <w:sz w:val="28"/>
          <w:szCs w:val="28"/>
        </w:rPr>
        <w:t xml:space="preserve">de los servicios que la demandante </w:t>
      </w:r>
      <w:r w:rsidR="005E310E" w:rsidRPr="00E320CE">
        <w:rPr>
          <w:sz w:val="28"/>
          <w:szCs w:val="28"/>
        </w:rPr>
        <w:t>prestó como trabajadora en misión</w:t>
      </w:r>
      <w:r w:rsidR="00022A41" w:rsidRPr="00E320CE">
        <w:rPr>
          <w:rStyle w:val="Refdenotaalpie"/>
          <w:sz w:val="28"/>
          <w:szCs w:val="28"/>
        </w:rPr>
        <w:footnoteReference w:id="32"/>
      </w:r>
      <w:r w:rsidR="00022A41" w:rsidRPr="00E320CE">
        <w:rPr>
          <w:sz w:val="28"/>
          <w:szCs w:val="28"/>
        </w:rPr>
        <w:t>.</w:t>
      </w:r>
    </w:p>
    <w:p w14:paraId="4D0CBD37" w14:textId="77777777" w:rsidR="00022A41" w:rsidRPr="00E320CE" w:rsidRDefault="00022A41" w:rsidP="00022A41">
      <w:pPr>
        <w:pStyle w:val="Prrafodelista"/>
        <w:rPr>
          <w:sz w:val="28"/>
          <w:szCs w:val="28"/>
        </w:rPr>
      </w:pPr>
    </w:p>
    <w:p w14:paraId="7CC3BBDF" w14:textId="09684C94" w:rsidR="00022A41" w:rsidRPr="00E320CE" w:rsidRDefault="00A83467" w:rsidP="00022A41">
      <w:pPr>
        <w:pStyle w:val="Prrafodelista"/>
        <w:numPr>
          <w:ilvl w:val="0"/>
          <w:numId w:val="1"/>
        </w:numPr>
        <w:autoSpaceDE/>
        <w:autoSpaceDN/>
        <w:ind w:left="0" w:right="57" w:firstLine="0"/>
        <w:jc w:val="both"/>
        <w:rPr>
          <w:sz w:val="28"/>
          <w:szCs w:val="28"/>
        </w:rPr>
      </w:pPr>
      <w:r w:rsidRPr="00E320CE">
        <w:rPr>
          <w:sz w:val="28"/>
          <w:szCs w:val="28"/>
        </w:rPr>
        <w:t>En ese orden</w:t>
      </w:r>
      <w:r w:rsidR="00022A41" w:rsidRPr="00E320CE">
        <w:rPr>
          <w:sz w:val="28"/>
          <w:szCs w:val="28"/>
        </w:rPr>
        <w:t>, la accionante solicitó el amparo de sus derechos fundamentales al trabajo,</w:t>
      </w:r>
      <w:r w:rsidR="00426D18" w:rsidRPr="00E320CE">
        <w:rPr>
          <w:sz w:val="28"/>
          <w:szCs w:val="28"/>
        </w:rPr>
        <w:t xml:space="preserve"> a la vida digna,</w:t>
      </w:r>
      <w:r w:rsidR="00022A41" w:rsidRPr="00E320CE">
        <w:rPr>
          <w:sz w:val="28"/>
          <w:szCs w:val="28"/>
        </w:rPr>
        <w:t xml:space="preserve"> al mínimo vital, a la seguridad social y a la estabilidad laboral reforzada</w:t>
      </w:r>
      <w:r w:rsidR="00A27BA6" w:rsidRPr="00E320CE">
        <w:rPr>
          <w:sz w:val="28"/>
          <w:szCs w:val="28"/>
        </w:rPr>
        <w:t xml:space="preserve"> “con tratamientos médicos en curso”</w:t>
      </w:r>
      <w:r w:rsidR="00022A41" w:rsidRPr="00E320CE">
        <w:rPr>
          <w:rStyle w:val="Refdenotaalpie"/>
          <w:sz w:val="28"/>
          <w:szCs w:val="28"/>
        </w:rPr>
        <w:footnoteReference w:id="33"/>
      </w:r>
      <w:r w:rsidR="00022A41" w:rsidRPr="00E320CE">
        <w:rPr>
          <w:sz w:val="28"/>
          <w:szCs w:val="28"/>
        </w:rPr>
        <w:t>. En consecuencia, pidió que se ordenara a las entidades accionadas: (i) su reintegro a un puesto de trabajo igual o de similar condición al que desempeñó; (</w:t>
      </w:r>
      <w:proofErr w:type="spellStart"/>
      <w:r w:rsidR="00022A41" w:rsidRPr="00E320CE">
        <w:rPr>
          <w:sz w:val="28"/>
          <w:szCs w:val="28"/>
        </w:rPr>
        <w:t>ii</w:t>
      </w:r>
      <w:proofErr w:type="spellEnd"/>
      <w:r w:rsidR="00022A41" w:rsidRPr="00E320CE">
        <w:rPr>
          <w:sz w:val="28"/>
          <w:szCs w:val="28"/>
        </w:rPr>
        <w:t>) su afiliación a la seguridad social hasta su plena recuperación; (</w:t>
      </w:r>
      <w:proofErr w:type="spellStart"/>
      <w:r w:rsidR="00022A41" w:rsidRPr="00E320CE">
        <w:rPr>
          <w:sz w:val="28"/>
          <w:szCs w:val="28"/>
        </w:rPr>
        <w:t>iii</w:t>
      </w:r>
      <w:proofErr w:type="spellEnd"/>
      <w:r w:rsidR="00022A41" w:rsidRPr="00E320CE">
        <w:rPr>
          <w:sz w:val="28"/>
          <w:szCs w:val="28"/>
        </w:rPr>
        <w:t>) el pago de los salarios dejados de percibir; y (</w:t>
      </w:r>
      <w:proofErr w:type="spellStart"/>
      <w:r w:rsidR="00022A41" w:rsidRPr="00E320CE">
        <w:rPr>
          <w:sz w:val="28"/>
          <w:szCs w:val="28"/>
        </w:rPr>
        <w:t>iv</w:t>
      </w:r>
      <w:proofErr w:type="spellEnd"/>
      <w:r w:rsidR="00022A41" w:rsidRPr="00E320CE">
        <w:rPr>
          <w:sz w:val="28"/>
          <w:szCs w:val="28"/>
        </w:rPr>
        <w:t>) el pago de la indemnización contemplada en el artículo 26 de la Ley 361 de 1997</w:t>
      </w:r>
      <w:r w:rsidR="00022A41" w:rsidRPr="00E320CE">
        <w:rPr>
          <w:rStyle w:val="Refdenotaalpie"/>
          <w:sz w:val="28"/>
          <w:szCs w:val="28"/>
        </w:rPr>
        <w:footnoteReference w:id="34"/>
      </w:r>
      <w:r w:rsidR="00022A41" w:rsidRPr="00E320CE">
        <w:rPr>
          <w:sz w:val="28"/>
          <w:szCs w:val="28"/>
        </w:rPr>
        <w:t>.</w:t>
      </w:r>
    </w:p>
    <w:p w14:paraId="7C0B527E" w14:textId="77777777" w:rsidR="00022A41" w:rsidRPr="00E320CE" w:rsidRDefault="00022A41" w:rsidP="00022A41">
      <w:pPr>
        <w:rPr>
          <w:sz w:val="28"/>
          <w:szCs w:val="28"/>
        </w:rPr>
      </w:pPr>
    </w:p>
    <w:p w14:paraId="5968AEF9" w14:textId="3BCE4745" w:rsidR="00022A41" w:rsidRPr="00E320CE" w:rsidRDefault="001C0204" w:rsidP="00022A41">
      <w:pPr>
        <w:ind w:left="708"/>
        <w:rPr>
          <w:b/>
          <w:sz w:val="28"/>
          <w:szCs w:val="28"/>
          <w:lang w:val="es-CO"/>
        </w:rPr>
      </w:pPr>
      <w:r w:rsidRPr="00E320CE">
        <w:rPr>
          <w:b/>
          <w:bCs/>
          <w:sz w:val="28"/>
          <w:szCs w:val="28"/>
          <w:lang w:val="es-CO"/>
        </w:rPr>
        <w:t>3.</w:t>
      </w:r>
      <w:r w:rsidR="00022A41" w:rsidRPr="00E320CE">
        <w:rPr>
          <w:b/>
          <w:bCs/>
          <w:sz w:val="28"/>
          <w:szCs w:val="28"/>
          <w:lang w:val="es-CO"/>
        </w:rPr>
        <w:t xml:space="preserve"> </w:t>
      </w:r>
      <w:r w:rsidRPr="00E320CE">
        <w:rPr>
          <w:b/>
          <w:bCs/>
          <w:sz w:val="28"/>
          <w:szCs w:val="28"/>
          <w:lang w:val="es-CO"/>
        </w:rPr>
        <w:t>Trámite de la acción de tutela objeto de revisión</w:t>
      </w:r>
    </w:p>
    <w:p w14:paraId="200D6265" w14:textId="77777777" w:rsidR="00022A41" w:rsidRPr="00E320CE" w:rsidRDefault="00022A41" w:rsidP="00022A41">
      <w:pPr>
        <w:rPr>
          <w:sz w:val="28"/>
          <w:szCs w:val="28"/>
        </w:rPr>
      </w:pPr>
    </w:p>
    <w:p w14:paraId="3C8491A9" w14:textId="2164E577"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 xml:space="preserve">El </w:t>
      </w:r>
      <w:r w:rsidR="00E22A59" w:rsidRPr="00E320CE">
        <w:rPr>
          <w:sz w:val="28"/>
          <w:szCs w:val="28"/>
        </w:rPr>
        <w:t xml:space="preserve">conocimiento de la solicitud de amparo </w:t>
      </w:r>
      <w:r w:rsidRPr="00E320CE">
        <w:rPr>
          <w:sz w:val="28"/>
          <w:szCs w:val="28"/>
        </w:rPr>
        <w:t xml:space="preserve">le correspondió al Juzgado Primero Penal del Circuito de Cartagena, despacho que, mediante auto del 9 de septiembre de 2024, admitió la acción de tutela presentada por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rPr>
        <w:t xml:space="preserve">en contra de la UT </w:t>
      </w:r>
      <w:proofErr w:type="spellStart"/>
      <w:r w:rsidRPr="00E320CE">
        <w:rPr>
          <w:sz w:val="28"/>
          <w:szCs w:val="28"/>
        </w:rPr>
        <w:t>Norsalud</w:t>
      </w:r>
      <w:proofErr w:type="spellEnd"/>
      <w:r w:rsidRPr="00E320CE">
        <w:rPr>
          <w:sz w:val="28"/>
          <w:szCs w:val="28"/>
        </w:rPr>
        <w:t xml:space="preserve"> PPL, la UT Salud Integral PPL y </w:t>
      </w:r>
      <w:r w:rsidRPr="00E320CE">
        <w:rPr>
          <w:sz w:val="28"/>
          <w:szCs w:val="28"/>
          <w:lang w:val="es-CO"/>
        </w:rPr>
        <w:t xml:space="preserve">el </w:t>
      </w:r>
      <w:r w:rsidRPr="00E320CE">
        <w:rPr>
          <w:sz w:val="28"/>
          <w:szCs w:val="28"/>
        </w:rPr>
        <w:t>Establecimiento Penitenciario de Mediana Seguridad y Carcelario de Cartagena</w:t>
      </w:r>
      <w:r w:rsidRPr="00E320CE">
        <w:rPr>
          <w:rStyle w:val="Refdenotaalpie"/>
          <w:sz w:val="28"/>
          <w:szCs w:val="28"/>
        </w:rPr>
        <w:footnoteReference w:id="35"/>
      </w:r>
      <w:r w:rsidRPr="00E320CE">
        <w:rPr>
          <w:sz w:val="28"/>
          <w:szCs w:val="28"/>
        </w:rPr>
        <w:t>.</w:t>
      </w:r>
      <w:r w:rsidR="00CB33D7" w:rsidRPr="00E320CE">
        <w:rPr>
          <w:sz w:val="28"/>
          <w:szCs w:val="28"/>
        </w:rPr>
        <w:t xml:space="preserve"> </w:t>
      </w:r>
      <w:r w:rsidR="00CC416D" w:rsidRPr="00E320CE">
        <w:rPr>
          <w:sz w:val="28"/>
          <w:szCs w:val="28"/>
        </w:rPr>
        <w:t xml:space="preserve">Para </w:t>
      </w:r>
      <w:r w:rsidR="00122326" w:rsidRPr="00E320CE">
        <w:rPr>
          <w:sz w:val="28"/>
          <w:szCs w:val="28"/>
        </w:rPr>
        <w:t xml:space="preserve">llevar a cabo </w:t>
      </w:r>
      <w:r w:rsidR="00CC416D" w:rsidRPr="00E320CE">
        <w:rPr>
          <w:sz w:val="28"/>
          <w:szCs w:val="28"/>
        </w:rPr>
        <w:t xml:space="preserve">el trámite constitucional, el despacho </w:t>
      </w:r>
      <w:r w:rsidR="00122326" w:rsidRPr="00E320CE">
        <w:rPr>
          <w:sz w:val="28"/>
          <w:szCs w:val="28"/>
        </w:rPr>
        <w:t>notificó</w:t>
      </w:r>
      <w:r w:rsidR="00CC416D" w:rsidRPr="00E320CE">
        <w:rPr>
          <w:sz w:val="28"/>
          <w:szCs w:val="28"/>
        </w:rPr>
        <w:t xml:space="preserve"> el auto admisorio de la acción de tutela a las accionadas (</w:t>
      </w:r>
      <w:r w:rsidR="00122326" w:rsidRPr="00E320CE">
        <w:rPr>
          <w:sz w:val="28"/>
          <w:szCs w:val="28"/>
        </w:rPr>
        <w:t xml:space="preserve">las </w:t>
      </w:r>
      <w:r w:rsidR="00CC416D" w:rsidRPr="00E320CE">
        <w:rPr>
          <w:sz w:val="28"/>
          <w:szCs w:val="28"/>
        </w:rPr>
        <w:t xml:space="preserve">uniones temporales y </w:t>
      </w:r>
      <w:r w:rsidR="00122326" w:rsidRPr="00E320CE">
        <w:rPr>
          <w:sz w:val="28"/>
          <w:szCs w:val="28"/>
        </w:rPr>
        <w:t xml:space="preserve">el </w:t>
      </w:r>
      <w:r w:rsidR="00CC416D" w:rsidRPr="00E320CE">
        <w:rPr>
          <w:sz w:val="28"/>
          <w:szCs w:val="28"/>
        </w:rPr>
        <w:t>establecimiento penitenciario)</w:t>
      </w:r>
      <w:r w:rsidR="00122326" w:rsidRPr="00E320CE">
        <w:rPr>
          <w:sz w:val="28"/>
          <w:szCs w:val="28"/>
        </w:rPr>
        <w:t>. Además,</w:t>
      </w:r>
      <w:r w:rsidR="00CC416D" w:rsidRPr="00E320CE">
        <w:rPr>
          <w:sz w:val="28"/>
          <w:szCs w:val="28"/>
        </w:rPr>
        <w:t xml:space="preserve"> aunque no fueron formalmente vinculadas, también </w:t>
      </w:r>
      <w:r w:rsidR="00122326" w:rsidRPr="00E320CE">
        <w:rPr>
          <w:sz w:val="28"/>
          <w:szCs w:val="28"/>
        </w:rPr>
        <w:t>comunicó</w:t>
      </w:r>
      <w:r w:rsidR="00CC416D" w:rsidRPr="00E320CE">
        <w:rPr>
          <w:sz w:val="28"/>
          <w:szCs w:val="28"/>
        </w:rPr>
        <w:t xml:space="preserve"> esta decisión </w:t>
      </w:r>
      <w:r w:rsidR="00CB33D7" w:rsidRPr="00E320CE">
        <w:rPr>
          <w:sz w:val="28"/>
          <w:szCs w:val="28"/>
        </w:rPr>
        <w:t>a</w:t>
      </w:r>
      <w:r w:rsidR="00C84637" w:rsidRPr="00E320CE">
        <w:rPr>
          <w:sz w:val="28"/>
          <w:szCs w:val="28"/>
        </w:rPr>
        <w:t xml:space="preserve"> </w:t>
      </w:r>
      <w:r w:rsidR="00CB33D7" w:rsidRPr="00E320CE">
        <w:rPr>
          <w:sz w:val="28"/>
          <w:szCs w:val="28"/>
        </w:rPr>
        <w:t>l</w:t>
      </w:r>
      <w:r w:rsidR="00C84637" w:rsidRPr="00E320CE">
        <w:rPr>
          <w:sz w:val="28"/>
          <w:szCs w:val="28"/>
        </w:rPr>
        <w:t>a Unidad de Servicios Penitenciarios y Carcelarios (en adelante</w:t>
      </w:r>
      <w:r w:rsidR="00CB33D7" w:rsidRPr="00E320CE">
        <w:rPr>
          <w:sz w:val="28"/>
          <w:szCs w:val="28"/>
        </w:rPr>
        <w:t xml:space="preserve"> USPEC</w:t>
      </w:r>
      <w:r w:rsidR="00C84637" w:rsidRPr="00E320CE">
        <w:rPr>
          <w:sz w:val="28"/>
          <w:szCs w:val="28"/>
        </w:rPr>
        <w:t>)</w:t>
      </w:r>
      <w:r w:rsidR="00C84637" w:rsidRPr="00E320CE">
        <w:rPr>
          <w:rStyle w:val="Refdenotaalpie"/>
          <w:sz w:val="28"/>
          <w:szCs w:val="28"/>
        </w:rPr>
        <w:footnoteReference w:id="36"/>
      </w:r>
      <w:r w:rsidR="00CB33D7" w:rsidRPr="00E320CE">
        <w:rPr>
          <w:sz w:val="28"/>
          <w:szCs w:val="28"/>
        </w:rPr>
        <w:t xml:space="preserve"> y al</w:t>
      </w:r>
      <w:r w:rsidR="00C84637" w:rsidRPr="00E320CE">
        <w:rPr>
          <w:sz w:val="28"/>
          <w:szCs w:val="28"/>
        </w:rPr>
        <w:t xml:space="preserve"> Instituto Nacional Penitenciario y Carcelario (en adelante </w:t>
      </w:r>
      <w:r w:rsidR="00CB33D7" w:rsidRPr="00E320CE">
        <w:rPr>
          <w:sz w:val="28"/>
          <w:szCs w:val="28"/>
        </w:rPr>
        <w:t>INPEC</w:t>
      </w:r>
      <w:r w:rsidR="00C84637" w:rsidRPr="00E320CE">
        <w:rPr>
          <w:sz w:val="28"/>
          <w:szCs w:val="28"/>
        </w:rPr>
        <w:t>)</w:t>
      </w:r>
      <w:r w:rsidR="00CB33D7" w:rsidRPr="00E320CE">
        <w:rPr>
          <w:rStyle w:val="Refdenotaalpie"/>
          <w:sz w:val="28"/>
          <w:szCs w:val="28"/>
        </w:rPr>
        <w:footnoteReference w:id="37"/>
      </w:r>
      <w:r w:rsidR="00CB33D7" w:rsidRPr="00E320CE">
        <w:rPr>
          <w:sz w:val="28"/>
          <w:szCs w:val="28"/>
        </w:rPr>
        <w:t>.</w:t>
      </w:r>
    </w:p>
    <w:p w14:paraId="44D4D97C" w14:textId="77777777" w:rsidR="00022A41" w:rsidRPr="00E320CE" w:rsidRDefault="00022A41" w:rsidP="00022A41">
      <w:pPr>
        <w:pStyle w:val="Prrafodelista"/>
        <w:autoSpaceDE/>
        <w:autoSpaceDN/>
        <w:ind w:left="0" w:right="57"/>
        <w:jc w:val="both"/>
        <w:rPr>
          <w:sz w:val="28"/>
          <w:szCs w:val="28"/>
        </w:rPr>
      </w:pPr>
    </w:p>
    <w:p w14:paraId="34A842C3" w14:textId="2B3B95EB" w:rsidR="00022A41" w:rsidRPr="00E320CE" w:rsidRDefault="00022A41" w:rsidP="00022A41">
      <w:pPr>
        <w:pStyle w:val="Prrafodelista"/>
        <w:autoSpaceDE/>
        <w:autoSpaceDN/>
        <w:ind w:left="0" w:right="57"/>
        <w:jc w:val="both"/>
        <w:rPr>
          <w:b/>
          <w:bCs/>
          <w:sz w:val="28"/>
          <w:szCs w:val="28"/>
        </w:rPr>
      </w:pPr>
      <w:r w:rsidRPr="00E320CE">
        <w:rPr>
          <w:b/>
          <w:bCs/>
          <w:sz w:val="28"/>
          <w:szCs w:val="28"/>
        </w:rPr>
        <w:t xml:space="preserve">Contestación de la Unidad de Servicio Penitenciarios y Carcelarios </w:t>
      </w:r>
    </w:p>
    <w:p w14:paraId="36160F14" w14:textId="77777777" w:rsidR="00022A41" w:rsidRPr="00E320CE" w:rsidRDefault="00022A41" w:rsidP="00022A41">
      <w:pPr>
        <w:pStyle w:val="Prrafodelista"/>
        <w:autoSpaceDE/>
        <w:autoSpaceDN/>
        <w:ind w:left="0" w:right="57"/>
        <w:jc w:val="both"/>
        <w:rPr>
          <w:sz w:val="28"/>
          <w:szCs w:val="28"/>
        </w:rPr>
      </w:pPr>
    </w:p>
    <w:p w14:paraId="074D3CC0" w14:textId="07961F36"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 xml:space="preserve">El 12 de septiembre de 2024, </w:t>
      </w:r>
      <w:r w:rsidR="00AE575A" w:rsidRPr="00E320CE">
        <w:rPr>
          <w:sz w:val="28"/>
          <w:szCs w:val="28"/>
        </w:rPr>
        <w:t xml:space="preserve">la </w:t>
      </w:r>
      <w:r w:rsidRPr="00E320CE">
        <w:rPr>
          <w:sz w:val="28"/>
          <w:szCs w:val="28"/>
        </w:rPr>
        <w:t>USPEC compareció al trámite constitucional y presentó escrito de contestación</w:t>
      </w:r>
      <w:r w:rsidR="00326337" w:rsidRPr="00E320CE">
        <w:rPr>
          <w:rStyle w:val="Refdenotaalpie"/>
          <w:sz w:val="28"/>
          <w:szCs w:val="28"/>
        </w:rPr>
        <w:footnoteReference w:id="38"/>
      </w:r>
      <w:r w:rsidRPr="00E320CE">
        <w:rPr>
          <w:sz w:val="28"/>
          <w:szCs w:val="28"/>
        </w:rPr>
        <w:t>. En primer lugar, aclaró que es una entidad encargada de la “gestión y operación para el suministro de los bienes y la prestación de los servicios requeridos para garantizar el bienestar de la población privada de la libertad”</w:t>
      </w:r>
      <w:r w:rsidRPr="00E320CE">
        <w:rPr>
          <w:rStyle w:val="Refdenotaalpie"/>
          <w:sz w:val="28"/>
          <w:szCs w:val="28"/>
        </w:rPr>
        <w:footnoteReference w:id="39"/>
      </w:r>
      <w:r w:rsidRPr="00E320CE">
        <w:rPr>
          <w:sz w:val="28"/>
          <w:szCs w:val="28"/>
        </w:rPr>
        <w:t>, lo que incluye la atención integral en salud</w:t>
      </w:r>
      <w:r w:rsidRPr="00E320CE">
        <w:rPr>
          <w:rStyle w:val="Refdenotaalpie"/>
          <w:sz w:val="28"/>
          <w:szCs w:val="28"/>
        </w:rPr>
        <w:footnoteReference w:id="40"/>
      </w:r>
      <w:r w:rsidRPr="00E320CE">
        <w:rPr>
          <w:sz w:val="28"/>
          <w:szCs w:val="28"/>
        </w:rPr>
        <w:t xml:space="preserve">. No obstante, la USPEC suscribió un contrato con la fiduciaria La Previsora S.A. mediante el cual se acordó crear una fiducia mercantil para administrar los recursos del Fondo Nacional de Salud de las personas privadas de la libertad y efectuar los pagos </w:t>
      </w:r>
      <w:r w:rsidR="008A33A1" w:rsidRPr="00E320CE">
        <w:rPr>
          <w:sz w:val="28"/>
          <w:szCs w:val="28"/>
        </w:rPr>
        <w:t>para</w:t>
      </w:r>
      <w:r w:rsidRPr="00E320CE">
        <w:rPr>
          <w:sz w:val="28"/>
          <w:szCs w:val="28"/>
        </w:rPr>
        <w:t xml:space="preserve"> la celebración y supervisión de los contratos necesarios</w:t>
      </w:r>
      <w:r w:rsidRPr="00E320CE">
        <w:rPr>
          <w:rStyle w:val="Refdenotaalpie"/>
          <w:sz w:val="28"/>
          <w:szCs w:val="28"/>
        </w:rPr>
        <w:footnoteReference w:id="41"/>
      </w:r>
      <w:r w:rsidRPr="00E320CE">
        <w:rPr>
          <w:sz w:val="28"/>
          <w:szCs w:val="28"/>
        </w:rPr>
        <w:t xml:space="preserve">. Como parte del contrato, se acordó que la USPEC no tiene ninguna responsabilidad frente al personal contratado por la </w:t>
      </w:r>
      <w:r w:rsidRPr="00E320CE">
        <w:rPr>
          <w:sz w:val="28"/>
          <w:szCs w:val="28"/>
        </w:rPr>
        <w:lastRenderedPageBreak/>
        <w:t xml:space="preserve">Fiduprevisora para su cumplimiento, por lo que la entidad accionada sostuvo que no </w:t>
      </w:r>
      <w:r w:rsidR="007172DF" w:rsidRPr="00E320CE">
        <w:rPr>
          <w:sz w:val="28"/>
          <w:szCs w:val="28"/>
        </w:rPr>
        <w:t>tenía</w:t>
      </w:r>
      <w:r w:rsidRPr="00E320CE">
        <w:rPr>
          <w:sz w:val="28"/>
          <w:szCs w:val="28"/>
        </w:rPr>
        <w:t xml:space="preserve"> legitimación en la causa por pasiva</w:t>
      </w:r>
      <w:r w:rsidRPr="00E320CE">
        <w:rPr>
          <w:rStyle w:val="Refdenotaalpie"/>
          <w:sz w:val="28"/>
          <w:szCs w:val="28"/>
        </w:rPr>
        <w:footnoteReference w:id="42"/>
      </w:r>
      <w:r w:rsidRPr="00E320CE">
        <w:rPr>
          <w:sz w:val="28"/>
          <w:szCs w:val="28"/>
        </w:rPr>
        <w:t>.</w:t>
      </w:r>
    </w:p>
    <w:p w14:paraId="392033FE" w14:textId="77777777" w:rsidR="00022A41" w:rsidRPr="00E320CE" w:rsidRDefault="00022A41" w:rsidP="00022A41">
      <w:pPr>
        <w:rPr>
          <w:sz w:val="28"/>
          <w:szCs w:val="28"/>
        </w:rPr>
      </w:pPr>
    </w:p>
    <w:p w14:paraId="2377717D" w14:textId="77777777" w:rsidR="00022A41" w:rsidRPr="00E320CE" w:rsidRDefault="00022A41" w:rsidP="00022A41">
      <w:pPr>
        <w:rPr>
          <w:b/>
          <w:bCs/>
          <w:sz w:val="28"/>
          <w:szCs w:val="28"/>
        </w:rPr>
      </w:pPr>
      <w:r w:rsidRPr="00E320CE">
        <w:rPr>
          <w:b/>
          <w:bCs/>
          <w:sz w:val="28"/>
          <w:szCs w:val="28"/>
        </w:rPr>
        <w:t>Contestación de la Unión Temporal Salud Integral PPL</w:t>
      </w:r>
    </w:p>
    <w:p w14:paraId="38499690" w14:textId="77777777" w:rsidR="00022A41" w:rsidRPr="00E320CE" w:rsidRDefault="00022A41" w:rsidP="00022A41">
      <w:pPr>
        <w:pStyle w:val="Prrafodelista"/>
        <w:rPr>
          <w:sz w:val="28"/>
          <w:szCs w:val="28"/>
        </w:rPr>
      </w:pPr>
    </w:p>
    <w:p w14:paraId="7A21D718" w14:textId="4B9332F1"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 xml:space="preserve">El mismo día, la Unión Temporal Salud Integral PPL contestó la acción de tutela. En primer lugar, indicó que la unión estaba conformada por Salud Plus IPS S.A.S. (98%) y </w:t>
      </w:r>
      <w:proofErr w:type="spellStart"/>
      <w:r w:rsidRPr="00E320CE">
        <w:rPr>
          <w:sz w:val="28"/>
          <w:szCs w:val="28"/>
        </w:rPr>
        <w:t>Distridrogas</w:t>
      </w:r>
      <w:proofErr w:type="spellEnd"/>
      <w:r w:rsidRPr="00E320CE">
        <w:rPr>
          <w:sz w:val="28"/>
          <w:szCs w:val="28"/>
        </w:rPr>
        <w:t xml:space="preserve"> IPS Meli S.A.S. (2%), era representada por Paola Andrea Flórez Sánchez</w:t>
      </w:r>
      <w:r w:rsidRPr="00E320CE">
        <w:rPr>
          <w:rStyle w:val="Refdenotaalpie"/>
          <w:sz w:val="28"/>
          <w:szCs w:val="28"/>
        </w:rPr>
        <w:footnoteReference w:id="43"/>
      </w:r>
      <w:r w:rsidRPr="00E320CE">
        <w:rPr>
          <w:sz w:val="28"/>
          <w:szCs w:val="28"/>
        </w:rPr>
        <w:t xml:space="preserve"> y comenzó sus operaciones en las unidades primarias de atención de los establecimientos penitenciarios de la región norte del país (entre ellos </w:t>
      </w:r>
      <w:r w:rsidRPr="00E320CE">
        <w:rPr>
          <w:sz w:val="28"/>
          <w:szCs w:val="28"/>
          <w:lang w:val="es-CO"/>
        </w:rPr>
        <w:t xml:space="preserve">el </w:t>
      </w:r>
      <w:r w:rsidRPr="00E320CE">
        <w:rPr>
          <w:sz w:val="28"/>
          <w:szCs w:val="28"/>
        </w:rPr>
        <w:t>Establecimiento Penitenciario de Mediana Seguridad y Carcelario de Cartagena), de conformidad con lo estipulado en distintos contratos con el fideicomiso Fondo Nacional de Salud PPL</w:t>
      </w:r>
      <w:r w:rsidRPr="00E320CE">
        <w:rPr>
          <w:rStyle w:val="Refdenotaalpie"/>
          <w:sz w:val="28"/>
          <w:szCs w:val="28"/>
        </w:rPr>
        <w:footnoteReference w:id="44"/>
      </w:r>
      <w:r w:rsidRPr="00E320CE">
        <w:rPr>
          <w:sz w:val="28"/>
          <w:szCs w:val="28"/>
        </w:rPr>
        <w:t>. Sin embargo, sus operaciones finalizaron el 31 de julio de 2024</w:t>
      </w:r>
      <w:r w:rsidR="007172DF" w:rsidRPr="00E320CE">
        <w:rPr>
          <w:sz w:val="28"/>
          <w:szCs w:val="28"/>
        </w:rPr>
        <w:t>,</w:t>
      </w:r>
      <w:r w:rsidRPr="00E320CE">
        <w:rPr>
          <w:sz w:val="28"/>
          <w:szCs w:val="28"/>
        </w:rPr>
        <w:t xml:space="preserve"> fecha de terminación</w:t>
      </w:r>
      <w:r w:rsidR="007172DF" w:rsidRPr="00E320CE">
        <w:rPr>
          <w:sz w:val="28"/>
          <w:szCs w:val="28"/>
        </w:rPr>
        <w:t xml:space="preserve"> que fue</w:t>
      </w:r>
      <w:r w:rsidRPr="00E320CE">
        <w:rPr>
          <w:sz w:val="28"/>
          <w:szCs w:val="28"/>
        </w:rPr>
        <w:t xml:space="preserve"> pactada en los contratos celebrados con la fiducia, por lo que actualmente la UT Salud Integral PPL se encuentra en liquidación</w:t>
      </w:r>
      <w:r w:rsidRPr="00E320CE">
        <w:rPr>
          <w:rStyle w:val="Refdenotaalpie"/>
          <w:sz w:val="28"/>
          <w:szCs w:val="28"/>
        </w:rPr>
        <w:footnoteReference w:id="45"/>
      </w:r>
      <w:r w:rsidRPr="00E320CE">
        <w:rPr>
          <w:sz w:val="28"/>
          <w:szCs w:val="28"/>
        </w:rPr>
        <w:t>.</w:t>
      </w:r>
    </w:p>
    <w:p w14:paraId="7F45AA2D" w14:textId="77777777" w:rsidR="00022A41" w:rsidRPr="00E320CE" w:rsidRDefault="00022A41" w:rsidP="00022A41">
      <w:pPr>
        <w:pStyle w:val="Prrafodelista"/>
        <w:rPr>
          <w:sz w:val="28"/>
          <w:szCs w:val="28"/>
        </w:rPr>
      </w:pPr>
    </w:p>
    <w:p w14:paraId="2E9E874B" w14:textId="104788F1"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 xml:space="preserve">En segundo lugar, Salud Integral PPL sostuvo que le pagó a la contratista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rPr>
        <w:t>todos los honorarios causados entre el 4 de enero de 2024 y el 31 de julio de 2024</w:t>
      </w:r>
      <w:r w:rsidRPr="00E320CE">
        <w:rPr>
          <w:rStyle w:val="Refdenotaalpie"/>
          <w:sz w:val="28"/>
          <w:szCs w:val="28"/>
        </w:rPr>
        <w:footnoteReference w:id="46"/>
      </w:r>
      <w:r w:rsidRPr="00E320CE">
        <w:rPr>
          <w:sz w:val="28"/>
          <w:szCs w:val="28"/>
        </w:rPr>
        <w:t>. Asimismo, aclaró que los contratos celebrados con todos los contratistas y trabajadores, incluid</w:t>
      </w:r>
      <w:r w:rsidR="005A1542" w:rsidRPr="00E320CE">
        <w:rPr>
          <w:sz w:val="28"/>
          <w:szCs w:val="28"/>
        </w:rPr>
        <w:t>o el de</w:t>
      </w:r>
      <w:r w:rsidRPr="00E320CE">
        <w:rPr>
          <w:sz w:val="28"/>
          <w:szCs w:val="28"/>
        </w:rPr>
        <w:t xml:space="preserve"> la accionante, finalizaron el 31 de julio de 2024, fecha en la que terminó el contrato con el fideicomiso (lo cual dio lugar a la creación de la unión temporal)</w:t>
      </w:r>
      <w:r w:rsidRPr="00E320CE">
        <w:rPr>
          <w:rStyle w:val="Refdenotaalpie"/>
          <w:sz w:val="28"/>
          <w:szCs w:val="28"/>
        </w:rPr>
        <w:footnoteReference w:id="47"/>
      </w:r>
      <w:r w:rsidRPr="00E320CE">
        <w:rPr>
          <w:sz w:val="28"/>
          <w:szCs w:val="28"/>
        </w:rPr>
        <w:t>, tal como quedó previsto desde un inicio en los contratos, en los cuales se estableció como causal de terminación la finalización del contrato con el patrimonio autónomo</w:t>
      </w:r>
      <w:r w:rsidRPr="00E320CE">
        <w:rPr>
          <w:rStyle w:val="Refdenotaalpie"/>
          <w:sz w:val="28"/>
          <w:szCs w:val="28"/>
        </w:rPr>
        <w:footnoteReference w:id="48"/>
      </w:r>
      <w:r w:rsidRPr="00E320CE">
        <w:rPr>
          <w:sz w:val="28"/>
          <w:szCs w:val="28"/>
        </w:rPr>
        <w:t>.</w:t>
      </w:r>
    </w:p>
    <w:p w14:paraId="12B92755" w14:textId="77777777" w:rsidR="00022A41" w:rsidRPr="00E320CE" w:rsidRDefault="00022A41" w:rsidP="00022A41">
      <w:pPr>
        <w:pStyle w:val="Prrafodelista"/>
        <w:rPr>
          <w:sz w:val="28"/>
          <w:szCs w:val="28"/>
        </w:rPr>
      </w:pPr>
    </w:p>
    <w:p w14:paraId="6426AE9C" w14:textId="4D3BB25E"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En tercer lugar, Salud Integral PPL abordó específicamente los hechos narrados en la acción de tutela. Para iniciar, la unión temporal aclaró que la accionante estuvo vinculada mediante</w:t>
      </w:r>
      <w:r w:rsidR="00713ADC" w:rsidRPr="00E320CE">
        <w:rPr>
          <w:sz w:val="28"/>
          <w:szCs w:val="28"/>
        </w:rPr>
        <w:t xml:space="preserve"> múltiples</w:t>
      </w:r>
      <w:r w:rsidRPr="00E320CE">
        <w:rPr>
          <w:sz w:val="28"/>
          <w:szCs w:val="28"/>
        </w:rPr>
        <w:t xml:space="preserve"> contrato</w:t>
      </w:r>
      <w:r w:rsidR="00713ADC" w:rsidRPr="00E320CE">
        <w:rPr>
          <w:sz w:val="28"/>
          <w:szCs w:val="28"/>
        </w:rPr>
        <w:t>s</w:t>
      </w:r>
      <w:r w:rsidRPr="00E320CE">
        <w:rPr>
          <w:sz w:val="28"/>
          <w:szCs w:val="28"/>
        </w:rPr>
        <w:t xml:space="preserve"> de prestación de servicios entre el 4 de enero de 2022 y el 31 de julio de 2024, última fecha que coincide con la terminación del contrato con la fiduciaria</w:t>
      </w:r>
      <w:r w:rsidRPr="00E320CE">
        <w:rPr>
          <w:rStyle w:val="Refdenotaalpie"/>
          <w:sz w:val="28"/>
          <w:szCs w:val="28"/>
        </w:rPr>
        <w:footnoteReference w:id="49"/>
      </w:r>
      <w:r w:rsidRPr="00E320CE">
        <w:rPr>
          <w:sz w:val="28"/>
          <w:szCs w:val="28"/>
        </w:rPr>
        <w:t>. Luego, la accionada mencionó que nunca fue informada de los diagnósticos de salud ni de las incapacidades médicas de la contratista</w:t>
      </w:r>
      <w:r w:rsidRPr="00E320CE">
        <w:rPr>
          <w:rStyle w:val="Refdenotaalpie"/>
          <w:sz w:val="28"/>
          <w:szCs w:val="28"/>
        </w:rPr>
        <w:footnoteReference w:id="50"/>
      </w:r>
      <w:r w:rsidR="00257C34" w:rsidRPr="00E320CE">
        <w:rPr>
          <w:sz w:val="28"/>
          <w:szCs w:val="28"/>
        </w:rPr>
        <w:t>, y que s</w:t>
      </w:r>
      <w:r w:rsidRPr="00E320CE">
        <w:rPr>
          <w:sz w:val="28"/>
          <w:szCs w:val="28"/>
        </w:rPr>
        <w:t>olo conoció esta información a raíz del proceso de tutela que promovió</w:t>
      </w:r>
      <w:r w:rsidR="00487555" w:rsidRPr="00E320CE">
        <w:rPr>
          <w:sz w:val="28"/>
          <w:szCs w:val="28"/>
        </w:rPr>
        <w:t xml:space="preserve"> la misma actora</w:t>
      </w:r>
      <w:r w:rsidRPr="00E320CE">
        <w:rPr>
          <w:sz w:val="28"/>
          <w:szCs w:val="28"/>
        </w:rPr>
        <w:t xml:space="preserve"> en el año 2022, el cual concluyó con el reintegro de </w:t>
      </w:r>
      <w:r w:rsidR="00E320CE" w:rsidRPr="00E320CE">
        <w:rPr>
          <w:i/>
          <w:iCs/>
          <w:sz w:val="28"/>
          <w:szCs w:val="28"/>
          <w:lang w:val="es-CO"/>
        </w:rPr>
        <w:t>Greta</w:t>
      </w:r>
      <w:r w:rsidR="00E320CE" w:rsidRPr="00E320CE" w:rsidDel="006E6781">
        <w:rPr>
          <w:sz w:val="28"/>
          <w:szCs w:val="28"/>
          <w:lang w:val="es-CO"/>
        </w:rPr>
        <w:t xml:space="preserve"> </w:t>
      </w:r>
      <w:r w:rsidRPr="00E320CE">
        <w:rPr>
          <w:rStyle w:val="Refdenotaalpie"/>
          <w:sz w:val="28"/>
          <w:szCs w:val="28"/>
        </w:rPr>
        <w:footnoteReference w:id="51"/>
      </w:r>
      <w:r w:rsidRPr="00E320CE">
        <w:rPr>
          <w:sz w:val="28"/>
          <w:szCs w:val="28"/>
        </w:rPr>
        <w:t xml:space="preserve">. Finalmente, la accionada sostuvo que no tiene ninguna relación con la UT </w:t>
      </w:r>
      <w:proofErr w:type="spellStart"/>
      <w:r w:rsidRPr="00E320CE">
        <w:rPr>
          <w:sz w:val="28"/>
          <w:szCs w:val="28"/>
        </w:rPr>
        <w:t>Norsalud</w:t>
      </w:r>
      <w:proofErr w:type="spellEnd"/>
      <w:r w:rsidRPr="00E320CE">
        <w:rPr>
          <w:sz w:val="28"/>
          <w:szCs w:val="28"/>
        </w:rPr>
        <w:t xml:space="preserve"> PPL, unión temporal que tiene una representante legal distinta</w:t>
      </w:r>
      <w:r w:rsidRPr="00E320CE">
        <w:rPr>
          <w:rStyle w:val="Refdenotaalpie"/>
          <w:sz w:val="28"/>
          <w:szCs w:val="28"/>
        </w:rPr>
        <w:footnoteReference w:id="52"/>
      </w:r>
      <w:r w:rsidRPr="00E320CE">
        <w:rPr>
          <w:sz w:val="28"/>
          <w:szCs w:val="28"/>
        </w:rPr>
        <w:t>.</w:t>
      </w:r>
    </w:p>
    <w:p w14:paraId="3B05827F" w14:textId="77777777" w:rsidR="00022A41" w:rsidRPr="00E320CE" w:rsidRDefault="00022A41" w:rsidP="00022A41">
      <w:pPr>
        <w:pStyle w:val="Prrafodelista"/>
        <w:rPr>
          <w:sz w:val="28"/>
          <w:szCs w:val="28"/>
        </w:rPr>
      </w:pPr>
    </w:p>
    <w:p w14:paraId="5D6C0439" w14:textId="6D69A073"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En esos términos, la Unión Temporal Salud Integral PPL pidió negar el amparo de los derechos fundamentales de la accionante con fundamento en que no vulneró su</w:t>
      </w:r>
      <w:r w:rsidR="00BB4E78" w:rsidRPr="00E320CE">
        <w:rPr>
          <w:sz w:val="28"/>
          <w:szCs w:val="28"/>
        </w:rPr>
        <w:t xml:space="preserve"> garantía a la</w:t>
      </w:r>
      <w:r w:rsidRPr="00E320CE">
        <w:rPr>
          <w:sz w:val="28"/>
          <w:szCs w:val="28"/>
        </w:rPr>
        <w:t xml:space="preserve"> estabilidad laboral reforzada</w:t>
      </w:r>
      <w:r w:rsidRPr="00E320CE">
        <w:rPr>
          <w:rStyle w:val="Refdenotaalpie"/>
          <w:sz w:val="28"/>
          <w:szCs w:val="28"/>
        </w:rPr>
        <w:footnoteReference w:id="53"/>
      </w:r>
      <w:r w:rsidRPr="00E320CE">
        <w:rPr>
          <w:sz w:val="28"/>
          <w:szCs w:val="28"/>
        </w:rPr>
        <w:t>. Asimismo, mencionó que una eventual orden de reintegro es improcedente, en la medida que la</w:t>
      </w:r>
      <w:r w:rsidR="00BB4E78" w:rsidRPr="00E320CE">
        <w:rPr>
          <w:sz w:val="28"/>
          <w:szCs w:val="28"/>
        </w:rPr>
        <w:t xml:space="preserve"> UT Salud Integral </w:t>
      </w:r>
      <w:r w:rsidRPr="00E320CE">
        <w:rPr>
          <w:sz w:val="28"/>
          <w:szCs w:val="28"/>
        </w:rPr>
        <w:t>se encuentra en liquidación</w:t>
      </w:r>
      <w:r w:rsidRPr="00E320CE">
        <w:rPr>
          <w:rStyle w:val="Refdenotaalpie"/>
          <w:sz w:val="28"/>
          <w:szCs w:val="28"/>
        </w:rPr>
        <w:footnoteReference w:id="54"/>
      </w:r>
      <w:r w:rsidRPr="00E320CE">
        <w:rPr>
          <w:sz w:val="28"/>
          <w:szCs w:val="28"/>
        </w:rPr>
        <w:t>.</w:t>
      </w:r>
    </w:p>
    <w:p w14:paraId="13EAE07E" w14:textId="77777777" w:rsidR="00022A41" w:rsidRPr="00E320CE" w:rsidRDefault="00022A41" w:rsidP="00022A41">
      <w:pPr>
        <w:rPr>
          <w:sz w:val="28"/>
          <w:szCs w:val="28"/>
        </w:rPr>
      </w:pPr>
    </w:p>
    <w:p w14:paraId="34B2F6D3" w14:textId="77777777" w:rsidR="00022A41" w:rsidRPr="00E320CE" w:rsidRDefault="00022A41" w:rsidP="00022A41">
      <w:pPr>
        <w:rPr>
          <w:b/>
          <w:bCs/>
          <w:sz w:val="28"/>
          <w:szCs w:val="28"/>
        </w:rPr>
      </w:pPr>
      <w:r w:rsidRPr="00E320CE">
        <w:rPr>
          <w:b/>
          <w:bCs/>
          <w:sz w:val="28"/>
          <w:szCs w:val="28"/>
        </w:rPr>
        <w:lastRenderedPageBreak/>
        <w:t xml:space="preserve">Contestación de la Unión Temporal </w:t>
      </w:r>
      <w:proofErr w:type="spellStart"/>
      <w:r w:rsidRPr="00E320CE">
        <w:rPr>
          <w:b/>
          <w:bCs/>
          <w:sz w:val="28"/>
          <w:szCs w:val="28"/>
        </w:rPr>
        <w:t>Norsalud</w:t>
      </w:r>
      <w:proofErr w:type="spellEnd"/>
      <w:r w:rsidRPr="00E320CE">
        <w:rPr>
          <w:b/>
          <w:bCs/>
          <w:sz w:val="28"/>
          <w:szCs w:val="28"/>
        </w:rPr>
        <w:t xml:space="preserve"> PPL</w:t>
      </w:r>
    </w:p>
    <w:p w14:paraId="50B3C735" w14:textId="77777777" w:rsidR="00022A41" w:rsidRPr="00E320CE" w:rsidRDefault="00022A41" w:rsidP="00022A41">
      <w:pPr>
        <w:rPr>
          <w:sz w:val="28"/>
          <w:szCs w:val="28"/>
        </w:rPr>
      </w:pPr>
    </w:p>
    <w:p w14:paraId="1BEE0BD5" w14:textId="07949F65"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 xml:space="preserve">El 13 de septiembre de 2024, la Unión Temporal </w:t>
      </w:r>
      <w:proofErr w:type="spellStart"/>
      <w:r w:rsidRPr="00E320CE">
        <w:rPr>
          <w:sz w:val="28"/>
          <w:szCs w:val="28"/>
        </w:rPr>
        <w:t>Norsalud</w:t>
      </w:r>
      <w:proofErr w:type="spellEnd"/>
      <w:r w:rsidRPr="00E320CE">
        <w:rPr>
          <w:sz w:val="28"/>
          <w:szCs w:val="28"/>
        </w:rPr>
        <w:t xml:space="preserve"> PPL </w:t>
      </w:r>
      <w:r w:rsidR="007172DF" w:rsidRPr="00E320CE">
        <w:rPr>
          <w:sz w:val="28"/>
          <w:szCs w:val="28"/>
        </w:rPr>
        <w:t>presentó</w:t>
      </w:r>
      <w:r w:rsidRPr="00E320CE">
        <w:rPr>
          <w:sz w:val="28"/>
          <w:szCs w:val="28"/>
        </w:rPr>
        <w:t xml:space="preserve"> escrito de contestación. En primer lugar, aclaró que es una unión temporal conformada por</w:t>
      </w:r>
      <w:r w:rsidR="00BB4E78" w:rsidRPr="00E320CE">
        <w:rPr>
          <w:sz w:val="28"/>
          <w:szCs w:val="28"/>
        </w:rPr>
        <w:t xml:space="preserve"> las empresas</w:t>
      </w:r>
      <w:r w:rsidRPr="00E320CE">
        <w:rPr>
          <w:sz w:val="28"/>
          <w:szCs w:val="28"/>
        </w:rPr>
        <w:t xml:space="preserve"> Tu Salud Plus IPS S.A.S, </w:t>
      </w:r>
      <w:proofErr w:type="spellStart"/>
      <w:r w:rsidRPr="00E320CE">
        <w:rPr>
          <w:sz w:val="28"/>
          <w:szCs w:val="28"/>
        </w:rPr>
        <w:t>Sumimedical</w:t>
      </w:r>
      <w:proofErr w:type="spellEnd"/>
      <w:r w:rsidRPr="00E320CE">
        <w:rPr>
          <w:sz w:val="28"/>
          <w:szCs w:val="28"/>
        </w:rPr>
        <w:t xml:space="preserve"> S.A.S., </w:t>
      </w:r>
      <w:proofErr w:type="spellStart"/>
      <w:r w:rsidRPr="00E320CE">
        <w:rPr>
          <w:sz w:val="28"/>
          <w:szCs w:val="28"/>
        </w:rPr>
        <w:t>Lanus</w:t>
      </w:r>
      <w:proofErr w:type="spellEnd"/>
      <w:r w:rsidRPr="00E320CE">
        <w:rPr>
          <w:sz w:val="28"/>
          <w:szCs w:val="28"/>
        </w:rPr>
        <w:t xml:space="preserve"> S.A.S., ADI Salud IPS S.A.S., y Nuestra Salud Integral IPS S.A.S., y </w:t>
      </w:r>
      <w:r w:rsidR="00BB4E78" w:rsidRPr="00E320CE">
        <w:rPr>
          <w:sz w:val="28"/>
          <w:szCs w:val="28"/>
        </w:rPr>
        <w:t xml:space="preserve">que </w:t>
      </w:r>
      <w:r w:rsidRPr="00E320CE">
        <w:rPr>
          <w:sz w:val="28"/>
          <w:szCs w:val="28"/>
        </w:rPr>
        <w:t xml:space="preserve">actualmente </w:t>
      </w:r>
      <w:r w:rsidR="00F26419" w:rsidRPr="00E320CE">
        <w:rPr>
          <w:sz w:val="28"/>
          <w:szCs w:val="28"/>
        </w:rPr>
        <w:t>se encuentra</w:t>
      </w:r>
      <w:r w:rsidRPr="00E320CE">
        <w:rPr>
          <w:sz w:val="28"/>
          <w:szCs w:val="28"/>
        </w:rPr>
        <w:t xml:space="preserve"> representada </w:t>
      </w:r>
      <w:r w:rsidR="00CD7D6D" w:rsidRPr="00E320CE">
        <w:rPr>
          <w:sz w:val="28"/>
          <w:szCs w:val="28"/>
        </w:rPr>
        <w:t xml:space="preserve">legalmente </w:t>
      </w:r>
      <w:r w:rsidRPr="00E320CE">
        <w:rPr>
          <w:sz w:val="28"/>
          <w:szCs w:val="28"/>
        </w:rPr>
        <w:t>por Martha Josefa Rueda Bustos</w:t>
      </w:r>
      <w:r w:rsidRPr="00E320CE">
        <w:rPr>
          <w:rStyle w:val="Refdenotaalpie"/>
          <w:sz w:val="28"/>
          <w:szCs w:val="28"/>
        </w:rPr>
        <w:footnoteReference w:id="55"/>
      </w:r>
      <w:r w:rsidRPr="00E320CE">
        <w:rPr>
          <w:sz w:val="28"/>
          <w:szCs w:val="28"/>
        </w:rPr>
        <w:t xml:space="preserve">. </w:t>
      </w:r>
    </w:p>
    <w:p w14:paraId="16489A1C" w14:textId="77777777" w:rsidR="00022A41" w:rsidRPr="00E320CE" w:rsidRDefault="00022A41" w:rsidP="00022A41">
      <w:pPr>
        <w:pStyle w:val="Prrafodelista"/>
        <w:rPr>
          <w:sz w:val="28"/>
          <w:szCs w:val="28"/>
        </w:rPr>
      </w:pPr>
    </w:p>
    <w:p w14:paraId="7A4CF2B2" w14:textId="465106AF"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 xml:space="preserve">En segundo lugar, la Unión Temporal </w:t>
      </w:r>
      <w:proofErr w:type="spellStart"/>
      <w:r w:rsidRPr="00E320CE">
        <w:rPr>
          <w:sz w:val="28"/>
          <w:szCs w:val="28"/>
        </w:rPr>
        <w:t>Norsalud</w:t>
      </w:r>
      <w:proofErr w:type="spellEnd"/>
      <w:r w:rsidRPr="00E320CE">
        <w:rPr>
          <w:sz w:val="28"/>
          <w:szCs w:val="28"/>
        </w:rPr>
        <w:t xml:space="preserve"> PPL sostuvo que, como parte de sus obligaciones de prestar servicios de salud en los establecimientos penitenciarios de la región norte, oriente y noroeste del país–incluido el Establecimiento Penitenciario de Mediana Seguridad y Carcelario de Cartagena–, tuvo que contratar su propio personal, así como adquirir equipos, insumos y medicamentos, sin ninguna obligación de recontra</w:t>
      </w:r>
      <w:r w:rsidR="00A2340E" w:rsidRPr="00E320CE">
        <w:rPr>
          <w:sz w:val="28"/>
          <w:szCs w:val="28"/>
        </w:rPr>
        <w:t>t</w:t>
      </w:r>
      <w:r w:rsidRPr="00E320CE">
        <w:rPr>
          <w:sz w:val="28"/>
          <w:szCs w:val="28"/>
        </w:rPr>
        <w:t>ar al personal que estaba vinculado con el operador anterior</w:t>
      </w:r>
      <w:r w:rsidRPr="00E320CE">
        <w:rPr>
          <w:rStyle w:val="Refdenotaalpie"/>
          <w:sz w:val="28"/>
          <w:szCs w:val="28"/>
        </w:rPr>
        <w:footnoteReference w:id="56"/>
      </w:r>
      <w:r w:rsidRPr="00E320CE">
        <w:rPr>
          <w:sz w:val="28"/>
          <w:szCs w:val="28"/>
        </w:rPr>
        <w:t>. En ese sentido, la unión temporal aclaró que no tiene ni ha tenido ninguna relación contractual con la accionante, por lo que desconoce los hechos expuestos en la acción de tutela</w:t>
      </w:r>
      <w:r w:rsidRPr="00E320CE">
        <w:rPr>
          <w:rStyle w:val="Refdenotaalpie"/>
          <w:sz w:val="28"/>
          <w:szCs w:val="28"/>
        </w:rPr>
        <w:footnoteReference w:id="57"/>
      </w:r>
      <w:r w:rsidRPr="00E320CE">
        <w:rPr>
          <w:sz w:val="28"/>
          <w:szCs w:val="28"/>
        </w:rPr>
        <w:t>. En ese orden de ideas, pidió que se declare la falta de legitimación en la causa por pasiva</w:t>
      </w:r>
      <w:r w:rsidRPr="00E320CE">
        <w:rPr>
          <w:rStyle w:val="Refdenotaalpie"/>
          <w:sz w:val="28"/>
          <w:szCs w:val="28"/>
        </w:rPr>
        <w:footnoteReference w:id="58"/>
      </w:r>
      <w:r w:rsidRPr="00E320CE">
        <w:rPr>
          <w:sz w:val="28"/>
          <w:szCs w:val="28"/>
        </w:rPr>
        <w:t>.</w:t>
      </w:r>
    </w:p>
    <w:p w14:paraId="75077E49" w14:textId="77777777" w:rsidR="00022A41" w:rsidRPr="00E320CE" w:rsidRDefault="00022A41" w:rsidP="00022A41">
      <w:pPr>
        <w:rPr>
          <w:sz w:val="28"/>
          <w:szCs w:val="28"/>
        </w:rPr>
      </w:pPr>
    </w:p>
    <w:p w14:paraId="44F55EC4" w14:textId="4A4CC7F6" w:rsidR="00022A41" w:rsidRPr="00E320CE" w:rsidRDefault="00C5391B" w:rsidP="00022A41">
      <w:pPr>
        <w:pStyle w:val="Prrafodelista"/>
        <w:autoSpaceDE/>
        <w:autoSpaceDN/>
        <w:ind w:left="708" w:right="57"/>
        <w:jc w:val="both"/>
        <w:rPr>
          <w:b/>
          <w:bCs/>
          <w:sz w:val="28"/>
          <w:szCs w:val="28"/>
        </w:rPr>
      </w:pPr>
      <w:r w:rsidRPr="00E320CE">
        <w:rPr>
          <w:b/>
          <w:bCs/>
          <w:sz w:val="28"/>
          <w:szCs w:val="28"/>
        </w:rPr>
        <w:t>4</w:t>
      </w:r>
      <w:r w:rsidR="00022A41" w:rsidRPr="00E320CE">
        <w:rPr>
          <w:b/>
          <w:bCs/>
          <w:sz w:val="28"/>
          <w:szCs w:val="28"/>
        </w:rPr>
        <w:t xml:space="preserve">. Decisión </w:t>
      </w:r>
      <w:r w:rsidRPr="00E320CE">
        <w:rPr>
          <w:b/>
          <w:bCs/>
          <w:sz w:val="28"/>
          <w:szCs w:val="28"/>
        </w:rPr>
        <w:t xml:space="preserve">judicial objeto de revisión </w:t>
      </w:r>
      <w:r w:rsidR="00B44386" w:rsidRPr="00E320CE">
        <w:rPr>
          <w:b/>
          <w:bCs/>
          <w:sz w:val="28"/>
          <w:szCs w:val="28"/>
        </w:rPr>
        <w:t xml:space="preserve">(sentencia </w:t>
      </w:r>
      <w:r w:rsidR="00022A41" w:rsidRPr="00E320CE">
        <w:rPr>
          <w:b/>
          <w:bCs/>
          <w:sz w:val="28"/>
          <w:szCs w:val="28"/>
        </w:rPr>
        <w:t>de única instancia</w:t>
      </w:r>
      <w:r w:rsidR="00B44386" w:rsidRPr="00E320CE">
        <w:rPr>
          <w:b/>
          <w:bCs/>
          <w:sz w:val="28"/>
          <w:szCs w:val="28"/>
        </w:rPr>
        <w:t>)</w:t>
      </w:r>
    </w:p>
    <w:p w14:paraId="23ECDA94" w14:textId="77777777" w:rsidR="00022A41" w:rsidRPr="00E320CE" w:rsidRDefault="00022A41" w:rsidP="00022A41">
      <w:pPr>
        <w:pStyle w:val="Prrafodelista"/>
        <w:autoSpaceDE/>
        <w:autoSpaceDN/>
        <w:ind w:left="708" w:right="57"/>
        <w:jc w:val="both"/>
        <w:rPr>
          <w:b/>
          <w:bCs/>
          <w:sz w:val="28"/>
          <w:szCs w:val="28"/>
        </w:rPr>
      </w:pPr>
    </w:p>
    <w:p w14:paraId="73A55CCC" w14:textId="77777777" w:rsidR="006403F2" w:rsidRPr="00E320CE" w:rsidRDefault="000A4C8F" w:rsidP="00022A41">
      <w:pPr>
        <w:pStyle w:val="Prrafodelista"/>
        <w:numPr>
          <w:ilvl w:val="0"/>
          <w:numId w:val="1"/>
        </w:numPr>
        <w:autoSpaceDE/>
        <w:autoSpaceDN/>
        <w:ind w:left="0" w:right="57" w:firstLine="0"/>
        <w:jc w:val="both"/>
        <w:rPr>
          <w:sz w:val="28"/>
          <w:szCs w:val="28"/>
        </w:rPr>
      </w:pPr>
      <w:r w:rsidRPr="00E320CE">
        <w:rPr>
          <w:sz w:val="28"/>
          <w:szCs w:val="28"/>
        </w:rPr>
        <w:t>Mediante sentencia proferida el 23 de septiembre de 2024, e</w:t>
      </w:r>
      <w:r w:rsidR="00022A41" w:rsidRPr="00E320CE">
        <w:rPr>
          <w:sz w:val="28"/>
          <w:szCs w:val="28"/>
        </w:rPr>
        <w:t>l Juzgado Primero Penal del Circuito de Cartagena declaró la configuración de</w:t>
      </w:r>
      <w:r w:rsidR="00C5391B" w:rsidRPr="00E320CE">
        <w:rPr>
          <w:sz w:val="28"/>
          <w:szCs w:val="28"/>
        </w:rPr>
        <w:t>l efecto de</w:t>
      </w:r>
      <w:r w:rsidR="00022A41" w:rsidRPr="00E320CE">
        <w:rPr>
          <w:sz w:val="28"/>
          <w:szCs w:val="28"/>
        </w:rPr>
        <w:t xml:space="preserve"> cosa juzgada constitucional</w:t>
      </w:r>
      <w:r w:rsidR="00022A41" w:rsidRPr="00E320CE">
        <w:rPr>
          <w:rStyle w:val="Refdenotaalpie"/>
          <w:sz w:val="28"/>
          <w:szCs w:val="28"/>
        </w:rPr>
        <w:footnoteReference w:id="59"/>
      </w:r>
      <w:r w:rsidR="00022A41" w:rsidRPr="00E320CE">
        <w:rPr>
          <w:sz w:val="28"/>
          <w:szCs w:val="28"/>
        </w:rPr>
        <w:t>. Para tomar esta decisión, el juez concluyó que este proceso constitucional tiene identidad de partes, de causa y de objeto con el proceso que terminó con la sentencia proferida el 22 de agosto de 2022 por el Juzgado Once Civil Municipal de Cartagena</w:t>
      </w:r>
      <w:r w:rsidR="00022A41" w:rsidRPr="00E320CE">
        <w:rPr>
          <w:rStyle w:val="Refdenotaalpie"/>
          <w:sz w:val="28"/>
          <w:szCs w:val="28"/>
        </w:rPr>
        <w:footnoteReference w:id="60"/>
      </w:r>
      <w:r w:rsidR="00022A41" w:rsidRPr="00E320CE">
        <w:rPr>
          <w:sz w:val="28"/>
          <w:szCs w:val="28"/>
        </w:rPr>
        <w:t xml:space="preserve">. </w:t>
      </w:r>
    </w:p>
    <w:p w14:paraId="4FFDF558" w14:textId="77777777" w:rsidR="006403F2" w:rsidRPr="00E320CE" w:rsidRDefault="006403F2" w:rsidP="00B2318C">
      <w:pPr>
        <w:pStyle w:val="Prrafodelista"/>
        <w:autoSpaceDE/>
        <w:autoSpaceDN/>
        <w:ind w:left="0" w:right="57"/>
        <w:jc w:val="both"/>
        <w:rPr>
          <w:sz w:val="28"/>
          <w:szCs w:val="28"/>
        </w:rPr>
      </w:pPr>
    </w:p>
    <w:p w14:paraId="60DC6BF9" w14:textId="6FC346CB" w:rsidR="00022A41" w:rsidRPr="00E320CE" w:rsidRDefault="00022A41" w:rsidP="00022A41">
      <w:pPr>
        <w:pStyle w:val="Prrafodelista"/>
        <w:numPr>
          <w:ilvl w:val="0"/>
          <w:numId w:val="1"/>
        </w:numPr>
        <w:autoSpaceDE/>
        <w:autoSpaceDN/>
        <w:ind w:left="0" w:right="57" w:firstLine="0"/>
        <w:jc w:val="both"/>
        <w:rPr>
          <w:sz w:val="28"/>
          <w:szCs w:val="28"/>
        </w:rPr>
      </w:pPr>
      <w:r w:rsidRPr="00E320CE">
        <w:rPr>
          <w:sz w:val="28"/>
          <w:szCs w:val="28"/>
        </w:rPr>
        <w:t xml:space="preserve">Esto se debe a que en ambos procesos: (i) la accionante es </w:t>
      </w:r>
      <w:r w:rsidR="00E320CE" w:rsidRPr="00E320CE">
        <w:rPr>
          <w:i/>
          <w:iCs/>
          <w:sz w:val="28"/>
          <w:szCs w:val="28"/>
          <w:lang w:val="es-CO"/>
        </w:rPr>
        <w:t>Greta</w:t>
      </w:r>
      <w:r w:rsidRPr="00E320CE">
        <w:rPr>
          <w:sz w:val="28"/>
          <w:szCs w:val="28"/>
        </w:rPr>
        <w:t xml:space="preserve"> y la accionada es la Unión Temporal Salud Integral PPL; (</w:t>
      </w:r>
      <w:proofErr w:type="spellStart"/>
      <w:r w:rsidRPr="00E320CE">
        <w:rPr>
          <w:sz w:val="28"/>
          <w:szCs w:val="28"/>
        </w:rPr>
        <w:t>ii</w:t>
      </w:r>
      <w:proofErr w:type="spellEnd"/>
      <w:r w:rsidRPr="00E320CE">
        <w:rPr>
          <w:sz w:val="28"/>
          <w:szCs w:val="28"/>
        </w:rPr>
        <w:t>) la causa está relacionada con la terminación del contrato de prestación de servicios de la demandante sin autorización del Ministerio del Trabajo, a pesar de que se encontraba en estado de debilidad manifiesta por razones de salud; y (</w:t>
      </w:r>
      <w:proofErr w:type="spellStart"/>
      <w:r w:rsidRPr="00E320CE">
        <w:rPr>
          <w:sz w:val="28"/>
          <w:szCs w:val="28"/>
        </w:rPr>
        <w:t>iii</w:t>
      </w:r>
      <w:proofErr w:type="spellEnd"/>
      <w:r w:rsidRPr="00E320CE">
        <w:rPr>
          <w:sz w:val="28"/>
          <w:szCs w:val="28"/>
        </w:rPr>
        <w:t xml:space="preserve">) el objeto o la pretensión es el reintegro al cargo, el pago de los salarios dejados de percibir y el pago de la indemnización por discriminación a favor de </w:t>
      </w:r>
      <w:r w:rsidR="00E320CE" w:rsidRPr="00E320CE">
        <w:rPr>
          <w:i/>
          <w:iCs/>
          <w:sz w:val="28"/>
          <w:szCs w:val="28"/>
          <w:lang w:val="es-CO"/>
        </w:rPr>
        <w:t>Greta</w:t>
      </w:r>
      <w:r w:rsidR="00E320CE" w:rsidRPr="00E320CE" w:rsidDel="006E6781">
        <w:rPr>
          <w:sz w:val="28"/>
          <w:szCs w:val="28"/>
          <w:lang w:val="es-CO"/>
        </w:rPr>
        <w:t xml:space="preserve"> </w:t>
      </w:r>
      <w:r w:rsidRPr="00E320CE">
        <w:rPr>
          <w:rStyle w:val="Refdenotaalpie"/>
          <w:sz w:val="28"/>
          <w:szCs w:val="28"/>
        </w:rPr>
        <w:footnoteReference w:id="61"/>
      </w:r>
      <w:r w:rsidRPr="00E320CE">
        <w:rPr>
          <w:sz w:val="28"/>
          <w:szCs w:val="28"/>
        </w:rPr>
        <w:t>.</w:t>
      </w:r>
      <w:r w:rsidR="00CB33D7" w:rsidRPr="00E320CE">
        <w:rPr>
          <w:sz w:val="28"/>
          <w:szCs w:val="28"/>
        </w:rPr>
        <w:t xml:space="preserve"> </w:t>
      </w:r>
      <w:r w:rsidR="00240F5F" w:rsidRPr="00E320CE">
        <w:rPr>
          <w:sz w:val="28"/>
          <w:szCs w:val="28"/>
        </w:rPr>
        <w:t xml:space="preserve">Dado que </w:t>
      </w:r>
      <w:r w:rsidR="00CB33D7" w:rsidRPr="00E320CE">
        <w:rPr>
          <w:sz w:val="28"/>
          <w:szCs w:val="28"/>
        </w:rPr>
        <w:t>ninguna de las partes</w:t>
      </w:r>
      <w:r w:rsidR="00240F5F" w:rsidRPr="00E320CE">
        <w:rPr>
          <w:sz w:val="28"/>
          <w:szCs w:val="28"/>
        </w:rPr>
        <w:t xml:space="preserve"> impugnó la decisión del juez de primera instancia</w:t>
      </w:r>
      <w:r w:rsidR="00AE575A" w:rsidRPr="00E320CE">
        <w:rPr>
          <w:sz w:val="28"/>
          <w:szCs w:val="28"/>
        </w:rPr>
        <w:t xml:space="preserve">, el despacho </w:t>
      </w:r>
      <w:r w:rsidR="00240F5F" w:rsidRPr="00E320CE">
        <w:rPr>
          <w:sz w:val="28"/>
          <w:szCs w:val="28"/>
        </w:rPr>
        <w:t>ordenó</w:t>
      </w:r>
      <w:r w:rsidR="00AE575A" w:rsidRPr="00E320CE">
        <w:rPr>
          <w:sz w:val="28"/>
          <w:szCs w:val="28"/>
        </w:rPr>
        <w:t xml:space="preserve"> su remisión a la Corte Constitucional</w:t>
      </w:r>
      <w:r w:rsidR="00240F5F" w:rsidRPr="00E320CE">
        <w:rPr>
          <w:sz w:val="28"/>
          <w:szCs w:val="28"/>
        </w:rPr>
        <w:t xml:space="preserve"> para surtir el eventual </w:t>
      </w:r>
      <w:r w:rsidR="00AE575A" w:rsidRPr="00E320CE">
        <w:rPr>
          <w:sz w:val="28"/>
          <w:szCs w:val="28"/>
        </w:rPr>
        <w:t>trámite de revisión</w:t>
      </w:r>
      <w:r w:rsidR="00CB33D7" w:rsidRPr="00E320CE">
        <w:rPr>
          <w:sz w:val="28"/>
          <w:szCs w:val="28"/>
        </w:rPr>
        <w:t>.</w:t>
      </w:r>
    </w:p>
    <w:p w14:paraId="0C4BD265" w14:textId="77777777" w:rsidR="00022A41" w:rsidRPr="00E320CE" w:rsidRDefault="00022A41" w:rsidP="00022A41">
      <w:pPr>
        <w:pStyle w:val="Prrafodelista"/>
        <w:autoSpaceDE/>
        <w:autoSpaceDN/>
        <w:ind w:left="708" w:right="57"/>
        <w:jc w:val="both"/>
        <w:rPr>
          <w:b/>
          <w:bCs/>
          <w:sz w:val="28"/>
          <w:szCs w:val="28"/>
        </w:rPr>
      </w:pPr>
    </w:p>
    <w:p w14:paraId="451BA680" w14:textId="0252839B" w:rsidR="00A8214D" w:rsidRPr="00E320CE" w:rsidRDefault="00480DDE" w:rsidP="00022A41">
      <w:pPr>
        <w:pStyle w:val="Prrafodelista"/>
        <w:autoSpaceDE/>
        <w:autoSpaceDN/>
        <w:ind w:left="708" w:right="57"/>
        <w:jc w:val="both"/>
        <w:rPr>
          <w:b/>
          <w:bCs/>
          <w:sz w:val="28"/>
          <w:szCs w:val="28"/>
        </w:rPr>
      </w:pPr>
      <w:r w:rsidRPr="00E320CE">
        <w:rPr>
          <w:b/>
          <w:bCs/>
          <w:sz w:val="28"/>
          <w:szCs w:val="28"/>
        </w:rPr>
        <w:t>5</w:t>
      </w:r>
      <w:r w:rsidR="00022A41" w:rsidRPr="00E320CE">
        <w:rPr>
          <w:b/>
          <w:bCs/>
          <w:sz w:val="28"/>
          <w:szCs w:val="28"/>
        </w:rPr>
        <w:t xml:space="preserve">. </w:t>
      </w:r>
      <w:r w:rsidR="00A8214D" w:rsidRPr="00E320CE">
        <w:rPr>
          <w:b/>
          <w:bCs/>
          <w:sz w:val="28"/>
          <w:szCs w:val="28"/>
        </w:rPr>
        <w:t>Actuaciones surtidas en sede de revisión constitucional</w:t>
      </w:r>
    </w:p>
    <w:p w14:paraId="3E412CFE" w14:textId="77777777" w:rsidR="00A8214D" w:rsidRPr="00E320CE" w:rsidRDefault="00A8214D" w:rsidP="00A8214D">
      <w:pPr>
        <w:autoSpaceDE/>
        <w:autoSpaceDN/>
        <w:ind w:right="57"/>
        <w:jc w:val="both"/>
        <w:rPr>
          <w:sz w:val="28"/>
          <w:szCs w:val="28"/>
        </w:rPr>
      </w:pPr>
    </w:p>
    <w:p w14:paraId="2ECD31B8" w14:textId="3811607D" w:rsidR="00815480" w:rsidRPr="00E320CE" w:rsidRDefault="00815480" w:rsidP="00815480">
      <w:pPr>
        <w:pStyle w:val="Prrafodelista"/>
        <w:numPr>
          <w:ilvl w:val="0"/>
          <w:numId w:val="1"/>
        </w:numPr>
        <w:autoSpaceDE/>
        <w:autoSpaceDN/>
        <w:ind w:left="0" w:right="57" w:firstLine="0"/>
        <w:jc w:val="both"/>
        <w:rPr>
          <w:sz w:val="28"/>
          <w:szCs w:val="28"/>
        </w:rPr>
      </w:pPr>
      <w:r w:rsidRPr="00E320CE">
        <w:rPr>
          <w:sz w:val="28"/>
          <w:szCs w:val="28"/>
          <w:lang w:val="es-CO"/>
        </w:rPr>
        <w:t xml:space="preserve">El 29 de noviembre de 2024, la Sala de Selección de Tutelas Número </w:t>
      </w:r>
      <w:r w:rsidR="00543F8C" w:rsidRPr="00E320CE">
        <w:rPr>
          <w:sz w:val="28"/>
          <w:szCs w:val="28"/>
          <w:lang w:val="es-CO"/>
        </w:rPr>
        <w:t>O</w:t>
      </w:r>
      <w:r w:rsidRPr="00E320CE">
        <w:rPr>
          <w:sz w:val="28"/>
          <w:szCs w:val="28"/>
          <w:lang w:val="es-CO"/>
        </w:rPr>
        <w:t>nce</w:t>
      </w:r>
      <w:r w:rsidRPr="00E320CE">
        <w:rPr>
          <w:rStyle w:val="Refdenotaalpie"/>
          <w:rFonts w:eastAsiaTheme="majorEastAsia"/>
          <w:lang w:val="es-CO"/>
        </w:rPr>
        <w:footnoteReference w:id="62"/>
      </w:r>
      <w:r w:rsidRPr="00E320CE">
        <w:rPr>
          <w:sz w:val="28"/>
          <w:szCs w:val="28"/>
          <w:lang w:val="es-CO"/>
        </w:rPr>
        <w:t xml:space="preserve"> </w:t>
      </w:r>
      <w:r w:rsidR="005A02D2" w:rsidRPr="00E320CE">
        <w:rPr>
          <w:sz w:val="28"/>
          <w:szCs w:val="28"/>
          <w:lang w:val="es-CO"/>
        </w:rPr>
        <w:t xml:space="preserve">escogió </w:t>
      </w:r>
      <w:r w:rsidRPr="00E320CE">
        <w:rPr>
          <w:sz w:val="28"/>
          <w:szCs w:val="28"/>
          <w:lang w:val="es-CO"/>
        </w:rPr>
        <w:t>el expediente</w:t>
      </w:r>
      <w:r w:rsidR="005A02D2" w:rsidRPr="00E320CE">
        <w:rPr>
          <w:sz w:val="28"/>
          <w:szCs w:val="28"/>
          <w:lang w:val="es-CO"/>
        </w:rPr>
        <w:t xml:space="preserve"> de la referencia </w:t>
      </w:r>
      <w:r w:rsidRPr="00E320CE">
        <w:rPr>
          <w:sz w:val="28"/>
          <w:szCs w:val="28"/>
          <w:lang w:val="es-CO"/>
        </w:rPr>
        <w:t>para</w:t>
      </w:r>
      <w:r w:rsidR="005A02D2" w:rsidRPr="00E320CE">
        <w:rPr>
          <w:sz w:val="28"/>
          <w:szCs w:val="28"/>
          <w:lang w:val="es-CO"/>
        </w:rPr>
        <w:t xml:space="preserve"> su</w:t>
      </w:r>
      <w:r w:rsidRPr="00E320CE" w:rsidDel="005A02D2">
        <w:rPr>
          <w:sz w:val="28"/>
          <w:szCs w:val="28"/>
          <w:lang w:val="es-CO"/>
        </w:rPr>
        <w:t xml:space="preserve"> </w:t>
      </w:r>
      <w:r w:rsidRPr="00E320CE">
        <w:rPr>
          <w:sz w:val="28"/>
          <w:szCs w:val="28"/>
          <w:lang w:val="es-CO"/>
        </w:rPr>
        <w:t>revisión</w:t>
      </w:r>
      <w:r w:rsidR="005A02D2" w:rsidRPr="00E320CE">
        <w:rPr>
          <w:sz w:val="28"/>
          <w:szCs w:val="28"/>
          <w:lang w:val="es-CO"/>
        </w:rPr>
        <w:t xml:space="preserve">, y este fue asignado por reparto a la suscrita magistrada como sustanciadora de su trámite y decisión. </w:t>
      </w:r>
      <w:r w:rsidRPr="00E320CE" w:rsidDel="005A02D2">
        <w:rPr>
          <w:sz w:val="28"/>
          <w:szCs w:val="28"/>
          <w:lang w:val="es-ES"/>
        </w:rPr>
        <w:t xml:space="preserve"> </w:t>
      </w:r>
    </w:p>
    <w:p w14:paraId="2E9DA6ED" w14:textId="77777777" w:rsidR="00815480" w:rsidRPr="00E320CE" w:rsidRDefault="00815480" w:rsidP="00815480">
      <w:pPr>
        <w:pStyle w:val="Prrafodelista"/>
        <w:autoSpaceDE/>
        <w:autoSpaceDN/>
        <w:ind w:left="0" w:right="57"/>
        <w:jc w:val="both"/>
        <w:rPr>
          <w:sz w:val="28"/>
          <w:szCs w:val="28"/>
        </w:rPr>
      </w:pPr>
    </w:p>
    <w:p w14:paraId="5FFF2821" w14:textId="083D45BB" w:rsidR="00815480" w:rsidRPr="00E320CE" w:rsidRDefault="00815480" w:rsidP="00815480">
      <w:pPr>
        <w:pStyle w:val="Prrafodelista"/>
        <w:numPr>
          <w:ilvl w:val="0"/>
          <w:numId w:val="1"/>
        </w:numPr>
        <w:autoSpaceDE/>
        <w:autoSpaceDN/>
        <w:ind w:left="0" w:right="57" w:firstLine="0"/>
        <w:jc w:val="both"/>
        <w:rPr>
          <w:sz w:val="28"/>
          <w:szCs w:val="28"/>
        </w:rPr>
      </w:pPr>
      <w:r w:rsidRPr="00E320CE">
        <w:rPr>
          <w:sz w:val="28"/>
          <w:szCs w:val="28"/>
        </w:rPr>
        <w:lastRenderedPageBreak/>
        <w:t xml:space="preserve">Mediante auto del 5 de febrero de 2025, la magistrada sustanciadora </w:t>
      </w:r>
      <w:r w:rsidR="00CB3C87" w:rsidRPr="00E320CE">
        <w:rPr>
          <w:sz w:val="28"/>
          <w:szCs w:val="28"/>
        </w:rPr>
        <w:t>decretó varias pruebas</w:t>
      </w:r>
      <w:r w:rsidRPr="00E320CE">
        <w:rPr>
          <w:sz w:val="28"/>
          <w:szCs w:val="28"/>
        </w:rPr>
        <w:t>. En primer lugar,</w:t>
      </w:r>
      <w:r w:rsidR="00DB6E3F" w:rsidRPr="00E320CE">
        <w:rPr>
          <w:sz w:val="28"/>
          <w:szCs w:val="28"/>
        </w:rPr>
        <w:t xml:space="preserve"> requirió de</w:t>
      </w:r>
      <w:r w:rsidRPr="00E320CE" w:rsidDel="00DB6E3F">
        <w:rPr>
          <w:sz w:val="28"/>
          <w:szCs w:val="28"/>
        </w:rPr>
        <w:t xml:space="preserve"> </w:t>
      </w:r>
      <w:r w:rsidRPr="00E320CE">
        <w:rPr>
          <w:sz w:val="28"/>
          <w:szCs w:val="28"/>
        </w:rPr>
        <w:t xml:space="preserve">la accionante </w:t>
      </w:r>
      <w:r w:rsidR="007172DF" w:rsidRPr="00E320CE">
        <w:rPr>
          <w:sz w:val="28"/>
          <w:szCs w:val="28"/>
        </w:rPr>
        <w:t xml:space="preserve">la siguiente </w:t>
      </w:r>
      <w:r w:rsidRPr="00E320CE">
        <w:rPr>
          <w:sz w:val="28"/>
          <w:szCs w:val="28"/>
        </w:rPr>
        <w:t>información: (i) su número de cédula de ciudadanía y su situación económica actual; (</w:t>
      </w:r>
      <w:proofErr w:type="spellStart"/>
      <w:r w:rsidRPr="00E320CE">
        <w:rPr>
          <w:sz w:val="28"/>
          <w:szCs w:val="28"/>
        </w:rPr>
        <w:t>ii</w:t>
      </w:r>
      <w:proofErr w:type="spellEnd"/>
      <w:r w:rsidRPr="00E320CE">
        <w:rPr>
          <w:sz w:val="28"/>
          <w:szCs w:val="28"/>
        </w:rPr>
        <w:t xml:space="preserve">) </w:t>
      </w:r>
      <w:r w:rsidR="007172DF" w:rsidRPr="00E320CE">
        <w:rPr>
          <w:sz w:val="28"/>
          <w:szCs w:val="28"/>
        </w:rPr>
        <w:t>el estado reciente de su</w:t>
      </w:r>
      <w:r w:rsidRPr="00E320CE">
        <w:rPr>
          <w:sz w:val="28"/>
          <w:szCs w:val="28"/>
        </w:rPr>
        <w:t xml:space="preserve"> diagnóstico de cáncer, así como el tratamiento que actualmente está recibiendo y demás recomendaciones médicas; (</w:t>
      </w:r>
      <w:proofErr w:type="spellStart"/>
      <w:r w:rsidRPr="00E320CE">
        <w:rPr>
          <w:sz w:val="28"/>
          <w:szCs w:val="28"/>
        </w:rPr>
        <w:t>iii</w:t>
      </w:r>
      <w:proofErr w:type="spellEnd"/>
      <w:r w:rsidRPr="00E320CE">
        <w:rPr>
          <w:sz w:val="28"/>
          <w:szCs w:val="28"/>
        </w:rPr>
        <w:t xml:space="preserve">) las razones por las que sostuvo que </w:t>
      </w:r>
      <w:r w:rsidRPr="00E320CE">
        <w:rPr>
          <w:sz w:val="28"/>
          <w:szCs w:val="28"/>
          <w:lang w:val="es-CO"/>
        </w:rPr>
        <w:t xml:space="preserve">la Unión Temporal </w:t>
      </w:r>
      <w:proofErr w:type="spellStart"/>
      <w:r w:rsidRPr="00E320CE">
        <w:rPr>
          <w:sz w:val="28"/>
          <w:szCs w:val="28"/>
          <w:lang w:val="es-CO"/>
        </w:rPr>
        <w:t>Norsalud</w:t>
      </w:r>
      <w:proofErr w:type="spellEnd"/>
      <w:r w:rsidRPr="00E320CE">
        <w:rPr>
          <w:sz w:val="28"/>
          <w:szCs w:val="28"/>
          <w:lang w:val="es-CO"/>
        </w:rPr>
        <w:t xml:space="preserve"> PPL y la Unión Temporal Salud Integral PPL tienen el mismo representante legal; (</w:t>
      </w:r>
      <w:proofErr w:type="spellStart"/>
      <w:r w:rsidRPr="00E320CE">
        <w:rPr>
          <w:sz w:val="28"/>
          <w:szCs w:val="28"/>
          <w:lang w:val="es-CO"/>
        </w:rPr>
        <w:t>iv</w:t>
      </w:r>
      <w:proofErr w:type="spellEnd"/>
      <w:r w:rsidRPr="00E320CE">
        <w:rPr>
          <w:sz w:val="28"/>
          <w:szCs w:val="28"/>
          <w:lang w:val="es-CO"/>
        </w:rPr>
        <w:t xml:space="preserve">) su historial de contrataciones y las condiciones de trabajo en el </w:t>
      </w:r>
      <w:r w:rsidRPr="00E320CE">
        <w:rPr>
          <w:sz w:val="28"/>
          <w:szCs w:val="28"/>
        </w:rPr>
        <w:t>Establecimiento Penitenciario de Mediana Seguridad y Carcelario de Cartagena</w:t>
      </w:r>
      <w:r w:rsidRPr="00E320CE">
        <w:rPr>
          <w:sz w:val="28"/>
          <w:szCs w:val="28"/>
          <w:lang w:val="es-CO"/>
        </w:rPr>
        <w:t>; y (v) si inició una demanda contra las accionadas por estos hechos.</w:t>
      </w:r>
    </w:p>
    <w:p w14:paraId="3C18010E" w14:textId="77777777" w:rsidR="00815480" w:rsidRPr="00E320CE" w:rsidRDefault="00815480" w:rsidP="00815480">
      <w:pPr>
        <w:pStyle w:val="Prrafodelista"/>
        <w:rPr>
          <w:sz w:val="28"/>
          <w:szCs w:val="28"/>
        </w:rPr>
      </w:pPr>
    </w:p>
    <w:p w14:paraId="3511838E" w14:textId="5C24A888" w:rsidR="00815480" w:rsidRPr="00E320CE" w:rsidRDefault="00815480" w:rsidP="00815480">
      <w:pPr>
        <w:pStyle w:val="Prrafodelista"/>
        <w:numPr>
          <w:ilvl w:val="0"/>
          <w:numId w:val="1"/>
        </w:numPr>
        <w:autoSpaceDE/>
        <w:autoSpaceDN/>
        <w:ind w:left="0" w:right="57" w:firstLine="0"/>
        <w:jc w:val="both"/>
        <w:rPr>
          <w:sz w:val="28"/>
          <w:szCs w:val="28"/>
        </w:rPr>
      </w:pPr>
      <w:r w:rsidRPr="00E320CE">
        <w:rPr>
          <w:sz w:val="28"/>
          <w:szCs w:val="28"/>
        </w:rPr>
        <w:t xml:space="preserve">En segundo lugar, la magistrada le ordenó a </w:t>
      </w:r>
      <w:r w:rsidRPr="00E320CE">
        <w:rPr>
          <w:sz w:val="28"/>
          <w:szCs w:val="28"/>
          <w:lang w:val="es-CO"/>
        </w:rPr>
        <w:t>la Unión Temporal Salud Integral PPL suministrar información sobre: (i) el estado actual de su proceso de liquidación, y (</w:t>
      </w:r>
      <w:proofErr w:type="spellStart"/>
      <w:r w:rsidRPr="00E320CE">
        <w:rPr>
          <w:sz w:val="28"/>
          <w:szCs w:val="28"/>
          <w:lang w:val="es-CO"/>
        </w:rPr>
        <w:t>ii</w:t>
      </w:r>
      <w:proofErr w:type="spellEnd"/>
      <w:r w:rsidRPr="00E320CE">
        <w:rPr>
          <w:sz w:val="28"/>
          <w:szCs w:val="28"/>
          <w:lang w:val="es-CO"/>
        </w:rPr>
        <w:t xml:space="preserve">) la planta de personal que tenía en el </w:t>
      </w:r>
      <w:r w:rsidRPr="00E320CE">
        <w:rPr>
          <w:sz w:val="28"/>
          <w:szCs w:val="28"/>
        </w:rPr>
        <w:t>Establecimiento Penitenciario de Mediana Seguridad y Carcelario de Cartagena.</w:t>
      </w:r>
      <w:r w:rsidRPr="00E320CE">
        <w:rPr>
          <w:sz w:val="28"/>
          <w:szCs w:val="28"/>
          <w:lang w:val="es-CO"/>
        </w:rPr>
        <w:t xml:space="preserve"> Por otra parte, le ordenó a la Unión Temporal </w:t>
      </w:r>
      <w:proofErr w:type="spellStart"/>
      <w:r w:rsidRPr="00E320CE">
        <w:rPr>
          <w:sz w:val="28"/>
          <w:szCs w:val="28"/>
          <w:lang w:val="es-CO"/>
        </w:rPr>
        <w:t>Norsalud</w:t>
      </w:r>
      <w:proofErr w:type="spellEnd"/>
      <w:r w:rsidRPr="00E320CE">
        <w:rPr>
          <w:sz w:val="28"/>
          <w:szCs w:val="28"/>
          <w:lang w:val="es-CO"/>
        </w:rPr>
        <w:t xml:space="preserve"> PPL informar sobre: (i) los representantes legales que ha tenido desde su constitución; (</w:t>
      </w:r>
      <w:proofErr w:type="spellStart"/>
      <w:r w:rsidRPr="00E320CE">
        <w:rPr>
          <w:sz w:val="28"/>
          <w:szCs w:val="28"/>
          <w:lang w:val="es-CO"/>
        </w:rPr>
        <w:t>ii</w:t>
      </w:r>
      <w:proofErr w:type="spellEnd"/>
      <w:r w:rsidRPr="00E320CE">
        <w:rPr>
          <w:sz w:val="28"/>
          <w:szCs w:val="28"/>
          <w:lang w:val="es-CO"/>
        </w:rPr>
        <w:t>) las empresas que integran la unión temporal y el porcentaje asumido por cada miembro; y (</w:t>
      </w:r>
      <w:proofErr w:type="spellStart"/>
      <w:r w:rsidRPr="00E320CE">
        <w:rPr>
          <w:sz w:val="28"/>
          <w:szCs w:val="28"/>
          <w:lang w:val="es-CO"/>
        </w:rPr>
        <w:t>iii</w:t>
      </w:r>
      <w:proofErr w:type="spellEnd"/>
      <w:r w:rsidRPr="00E320CE">
        <w:rPr>
          <w:sz w:val="28"/>
          <w:szCs w:val="28"/>
          <w:lang w:val="es-CO"/>
        </w:rPr>
        <w:t xml:space="preserve">) la primera planta de personal que tuvo al servicio del </w:t>
      </w:r>
      <w:r w:rsidRPr="00E320CE">
        <w:rPr>
          <w:sz w:val="28"/>
          <w:szCs w:val="28"/>
        </w:rPr>
        <w:t xml:space="preserve">Establecimiento Penitenciario de Mediana Seguridad y Carcelario de Cartagena </w:t>
      </w:r>
      <w:r w:rsidRPr="00E320CE">
        <w:rPr>
          <w:sz w:val="28"/>
          <w:szCs w:val="28"/>
          <w:lang w:val="es-CO"/>
        </w:rPr>
        <w:t>“Cárcel San Sebastián de Ternera”</w:t>
      </w:r>
      <w:r w:rsidRPr="00E320CE">
        <w:rPr>
          <w:sz w:val="28"/>
          <w:szCs w:val="28"/>
        </w:rPr>
        <w:t>.</w:t>
      </w:r>
    </w:p>
    <w:p w14:paraId="282A5D7F" w14:textId="77777777" w:rsidR="00815480" w:rsidRPr="00E320CE" w:rsidRDefault="00815480" w:rsidP="00815480">
      <w:pPr>
        <w:pStyle w:val="Prrafodelista"/>
        <w:autoSpaceDE/>
        <w:autoSpaceDN/>
        <w:ind w:left="0" w:right="57"/>
        <w:jc w:val="both"/>
        <w:rPr>
          <w:sz w:val="28"/>
          <w:szCs w:val="28"/>
        </w:rPr>
      </w:pPr>
    </w:p>
    <w:p w14:paraId="3191A948" w14:textId="040C88E9" w:rsidR="00815480" w:rsidRPr="00E320CE" w:rsidRDefault="00815480" w:rsidP="00815480">
      <w:pPr>
        <w:pStyle w:val="Prrafodelista"/>
        <w:numPr>
          <w:ilvl w:val="0"/>
          <w:numId w:val="1"/>
        </w:numPr>
        <w:autoSpaceDE/>
        <w:autoSpaceDN/>
        <w:ind w:left="0" w:right="57" w:firstLine="0"/>
        <w:jc w:val="both"/>
        <w:rPr>
          <w:sz w:val="28"/>
          <w:szCs w:val="28"/>
        </w:rPr>
      </w:pPr>
      <w:r w:rsidRPr="00E320CE">
        <w:rPr>
          <w:sz w:val="28"/>
          <w:szCs w:val="28"/>
        </w:rPr>
        <w:t>Finalmente, la magistrada sustanciadora le ordenó a</w:t>
      </w:r>
      <w:r w:rsidR="008A059B" w:rsidRPr="00E320CE">
        <w:rPr>
          <w:sz w:val="28"/>
          <w:szCs w:val="28"/>
        </w:rPr>
        <w:t xml:space="preserve"> </w:t>
      </w:r>
      <w:r w:rsidRPr="00E320CE">
        <w:rPr>
          <w:sz w:val="28"/>
          <w:szCs w:val="28"/>
        </w:rPr>
        <w:t>l</w:t>
      </w:r>
      <w:r w:rsidR="008A059B" w:rsidRPr="00E320CE">
        <w:rPr>
          <w:sz w:val="28"/>
          <w:szCs w:val="28"/>
        </w:rPr>
        <w:t>a</w:t>
      </w:r>
      <w:r w:rsidRPr="00E320CE">
        <w:rPr>
          <w:sz w:val="28"/>
          <w:szCs w:val="28"/>
        </w:rPr>
        <w:t xml:space="preserve"> USPEC informar sobre: (i) las obligaciones que tienen las uniones temporales en relación con el derecho a la estabilidad laboral reforzada de los contratistas; y (</w:t>
      </w:r>
      <w:proofErr w:type="spellStart"/>
      <w:r w:rsidRPr="00E320CE">
        <w:rPr>
          <w:sz w:val="28"/>
          <w:szCs w:val="28"/>
        </w:rPr>
        <w:t>ii</w:t>
      </w:r>
      <w:proofErr w:type="spellEnd"/>
      <w:r w:rsidRPr="00E320CE">
        <w:rPr>
          <w:sz w:val="28"/>
          <w:szCs w:val="28"/>
        </w:rPr>
        <w:t>) las obligaciones que la entidad tiene con los contratistas de estas uniones temporales que prestan sus servicios en establecimientos penitenciarios y carcelarios.</w:t>
      </w:r>
    </w:p>
    <w:p w14:paraId="67BD5150" w14:textId="77777777" w:rsidR="0032020A" w:rsidRPr="00E320CE" w:rsidRDefault="0032020A" w:rsidP="0032020A">
      <w:pPr>
        <w:pStyle w:val="Prrafodelista"/>
        <w:rPr>
          <w:sz w:val="28"/>
          <w:szCs w:val="28"/>
        </w:rPr>
      </w:pPr>
    </w:p>
    <w:p w14:paraId="594E7D60" w14:textId="0F830058" w:rsidR="00575231" w:rsidRPr="00E320CE" w:rsidRDefault="0032020A" w:rsidP="00575231">
      <w:pPr>
        <w:pStyle w:val="Prrafodelista"/>
        <w:numPr>
          <w:ilvl w:val="0"/>
          <w:numId w:val="1"/>
        </w:numPr>
        <w:autoSpaceDE/>
        <w:autoSpaceDN/>
        <w:ind w:left="0" w:right="57" w:firstLine="0"/>
        <w:jc w:val="both"/>
        <w:rPr>
          <w:sz w:val="28"/>
          <w:szCs w:val="28"/>
        </w:rPr>
      </w:pPr>
      <w:r w:rsidRPr="00E320CE">
        <w:rPr>
          <w:sz w:val="28"/>
          <w:szCs w:val="28"/>
        </w:rPr>
        <w:t xml:space="preserve">El 11 de febrero de 2025,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rPr>
        <w:t>envió la información requerida. En primer lugar, indicó que no ha conseguido trabajo, por lo que</w:t>
      </w:r>
      <w:r w:rsidR="00575231" w:rsidRPr="00E320CE">
        <w:rPr>
          <w:sz w:val="28"/>
          <w:szCs w:val="28"/>
        </w:rPr>
        <w:t xml:space="preserve"> no</w:t>
      </w:r>
      <w:r w:rsidRPr="00E320CE">
        <w:rPr>
          <w:sz w:val="28"/>
          <w:szCs w:val="28"/>
        </w:rPr>
        <w:t xml:space="preserve"> ha </w:t>
      </w:r>
      <w:r w:rsidR="00575231" w:rsidRPr="00E320CE">
        <w:rPr>
          <w:sz w:val="28"/>
          <w:szCs w:val="28"/>
        </w:rPr>
        <w:t>p</w:t>
      </w:r>
      <w:r w:rsidR="007172DF" w:rsidRPr="00E320CE">
        <w:rPr>
          <w:sz w:val="28"/>
          <w:szCs w:val="28"/>
        </w:rPr>
        <w:t>o</w:t>
      </w:r>
      <w:r w:rsidR="00575231" w:rsidRPr="00E320CE">
        <w:rPr>
          <w:sz w:val="28"/>
          <w:szCs w:val="28"/>
        </w:rPr>
        <w:t>dido</w:t>
      </w:r>
      <w:r w:rsidRPr="00E320CE">
        <w:rPr>
          <w:sz w:val="28"/>
          <w:szCs w:val="28"/>
        </w:rPr>
        <w:t xml:space="preserve"> cubrir </w:t>
      </w:r>
      <w:r w:rsidR="00575231" w:rsidRPr="00E320CE">
        <w:rPr>
          <w:sz w:val="28"/>
          <w:szCs w:val="28"/>
        </w:rPr>
        <w:t xml:space="preserve">los gastos de </w:t>
      </w:r>
      <w:r w:rsidRPr="00E320CE">
        <w:rPr>
          <w:sz w:val="28"/>
          <w:szCs w:val="28"/>
        </w:rPr>
        <w:t xml:space="preserve">alimentación, servicios y transporte de ella y </w:t>
      </w:r>
      <w:r w:rsidR="007172DF" w:rsidRPr="00E320CE">
        <w:rPr>
          <w:sz w:val="28"/>
          <w:szCs w:val="28"/>
        </w:rPr>
        <w:t xml:space="preserve">de </w:t>
      </w:r>
      <w:r w:rsidRPr="00E320CE">
        <w:rPr>
          <w:sz w:val="28"/>
          <w:szCs w:val="28"/>
        </w:rPr>
        <w:t>sus dos hijos menores de 18 años, lo que la ha llevado a depender de la “caridad de sus hermanos y amigos”</w:t>
      </w:r>
      <w:r w:rsidRPr="00E320CE">
        <w:rPr>
          <w:rStyle w:val="Refdenotaalpie"/>
          <w:sz w:val="28"/>
          <w:szCs w:val="28"/>
        </w:rPr>
        <w:footnoteReference w:id="63"/>
      </w:r>
      <w:r w:rsidRPr="00E320CE">
        <w:rPr>
          <w:sz w:val="28"/>
          <w:szCs w:val="28"/>
        </w:rPr>
        <w:t>.</w:t>
      </w:r>
      <w:r w:rsidR="00575231" w:rsidRPr="00E320CE">
        <w:rPr>
          <w:sz w:val="28"/>
          <w:szCs w:val="28"/>
        </w:rPr>
        <w:t xml:space="preserve"> </w:t>
      </w:r>
      <w:r w:rsidR="007172DF" w:rsidRPr="00E320CE">
        <w:rPr>
          <w:sz w:val="28"/>
          <w:szCs w:val="28"/>
        </w:rPr>
        <w:t>Además, la accionante resaltó que está en situación de pobreza extrema, de acuerdo con la consulta en la base de datos del SISBÉN</w:t>
      </w:r>
      <w:r w:rsidR="00575231" w:rsidRPr="00E320CE">
        <w:rPr>
          <w:rStyle w:val="Refdenotaalpie"/>
          <w:sz w:val="28"/>
          <w:szCs w:val="28"/>
        </w:rPr>
        <w:footnoteReference w:id="64"/>
      </w:r>
      <w:r w:rsidR="00575231" w:rsidRPr="00E320CE">
        <w:rPr>
          <w:sz w:val="28"/>
          <w:szCs w:val="28"/>
        </w:rPr>
        <w:t>.</w:t>
      </w:r>
    </w:p>
    <w:p w14:paraId="332CBA05" w14:textId="77777777" w:rsidR="00575231" w:rsidRPr="00E320CE" w:rsidRDefault="00575231" w:rsidP="00575231">
      <w:pPr>
        <w:pStyle w:val="Prrafodelista"/>
        <w:rPr>
          <w:sz w:val="28"/>
          <w:szCs w:val="28"/>
        </w:rPr>
      </w:pPr>
    </w:p>
    <w:p w14:paraId="24BFA8D9" w14:textId="2EC20D38" w:rsidR="0032020A" w:rsidRPr="00E320CE" w:rsidRDefault="00575231" w:rsidP="00575231">
      <w:pPr>
        <w:pStyle w:val="Prrafodelista"/>
        <w:numPr>
          <w:ilvl w:val="0"/>
          <w:numId w:val="1"/>
        </w:numPr>
        <w:autoSpaceDE/>
        <w:autoSpaceDN/>
        <w:ind w:left="0" w:right="57" w:firstLine="0"/>
        <w:jc w:val="both"/>
        <w:rPr>
          <w:sz w:val="28"/>
          <w:szCs w:val="28"/>
        </w:rPr>
      </w:pPr>
      <w:r w:rsidRPr="00E320CE">
        <w:rPr>
          <w:sz w:val="28"/>
          <w:szCs w:val="28"/>
        </w:rPr>
        <w:t xml:space="preserve">En segundo lugar,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rPr>
        <w:t xml:space="preserve">explicó que </w:t>
      </w:r>
      <w:r w:rsidR="007B0D34" w:rsidRPr="00E320CE">
        <w:rPr>
          <w:sz w:val="28"/>
          <w:szCs w:val="28"/>
        </w:rPr>
        <w:t xml:space="preserve">está en tratamiento </w:t>
      </w:r>
      <w:r w:rsidR="007172DF" w:rsidRPr="00E320CE">
        <w:rPr>
          <w:sz w:val="28"/>
          <w:szCs w:val="28"/>
        </w:rPr>
        <w:t xml:space="preserve">por </w:t>
      </w:r>
      <w:r w:rsidR="007B0D34" w:rsidRPr="00E320CE">
        <w:rPr>
          <w:sz w:val="28"/>
          <w:szCs w:val="28"/>
        </w:rPr>
        <w:t xml:space="preserve">cáncer de cuello uterino, </w:t>
      </w:r>
      <w:r w:rsidR="001A29BC" w:rsidRPr="00E320CE">
        <w:rPr>
          <w:sz w:val="28"/>
          <w:szCs w:val="28"/>
        </w:rPr>
        <w:t xml:space="preserve">enfermedad </w:t>
      </w:r>
      <w:r w:rsidR="007B0D34" w:rsidRPr="00E320CE">
        <w:rPr>
          <w:sz w:val="28"/>
          <w:szCs w:val="28"/>
        </w:rPr>
        <w:t>diagnosticad</w:t>
      </w:r>
      <w:r w:rsidR="001A29BC" w:rsidRPr="00E320CE">
        <w:rPr>
          <w:sz w:val="28"/>
          <w:szCs w:val="28"/>
        </w:rPr>
        <w:t>a</w:t>
      </w:r>
      <w:r w:rsidR="007B0D34" w:rsidRPr="00E320CE">
        <w:rPr>
          <w:sz w:val="28"/>
          <w:szCs w:val="28"/>
        </w:rPr>
        <w:t xml:space="preserve"> en  2018</w:t>
      </w:r>
      <w:r w:rsidR="007B0D34" w:rsidRPr="00E320CE">
        <w:rPr>
          <w:rStyle w:val="Refdenotaalpie"/>
          <w:sz w:val="28"/>
          <w:szCs w:val="28"/>
        </w:rPr>
        <w:footnoteReference w:id="65"/>
      </w:r>
      <w:r w:rsidR="00F85815" w:rsidRPr="00E320CE">
        <w:rPr>
          <w:sz w:val="28"/>
          <w:szCs w:val="28"/>
        </w:rPr>
        <w:t xml:space="preserve"> </w:t>
      </w:r>
      <w:r w:rsidR="001A29BC" w:rsidRPr="00E320CE">
        <w:rPr>
          <w:sz w:val="28"/>
          <w:szCs w:val="28"/>
        </w:rPr>
        <w:t>y que</w:t>
      </w:r>
      <w:r w:rsidR="00F85815" w:rsidRPr="00E320CE">
        <w:rPr>
          <w:sz w:val="28"/>
          <w:szCs w:val="28"/>
        </w:rPr>
        <w:t xml:space="preserve"> </w:t>
      </w:r>
      <w:r w:rsidR="007B0D34" w:rsidRPr="00E320CE">
        <w:rPr>
          <w:sz w:val="28"/>
          <w:szCs w:val="28"/>
        </w:rPr>
        <w:t>hizo “</w:t>
      </w:r>
      <w:proofErr w:type="spellStart"/>
      <w:r w:rsidR="007B0D34" w:rsidRPr="00E320CE">
        <w:rPr>
          <w:sz w:val="28"/>
          <w:szCs w:val="28"/>
        </w:rPr>
        <w:t>metastasis</w:t>
      </w:r>
      <w:proofErr w:type="spellEnd"/>
      <w:r w:rsidR="007B0D34" w:rsidRPr="00E320CE">
        <w:rPr>
          <w:sz w:val="28"/>
          <w:szCs w:val="28"/>
        </w:rPr>
        <w:t xml:space="preserve"> a cuello y seno derecho”</w:t>
      </w:r>
      <w:r w:rsidR="007B0D34" w:rsidRPr="00E320CE">
        <w:rPr>
          <w:rStyle w:val="Refdenotaalpie"/>
          <w:sz w:val="28"/>
          <w:szCs w:val="28"/>
        </w:rPr>
        <w:footnoteReference w:id="66"/>
      </w:r>
      <w:r w:rsidR="00F85815" w:rsidRPr="00E320CE">
        <w:rPr>
          <w:sz w:val="28"/>
          <w:szCs w:val="28"/>
        </w:rPr>
        <w:t xml:space="preserve"> en 2022. Aunque la situación ha mejorado, </w:t>
      </w:r>
      <w:r w:rsidR="007D1D97" w:rsidRPr="00E320CE">
        <w:rPr>
          <w:sz w:val="28"/>
          <w:szCs w:val="28"/>
        </w:rPr>
        <w:t xml:space="preserve">la actora explicó que </w:t>
      </w:r>
      <w:r w:rsidR="001A29BC" w:rsidRPr="00E320CE">
        <w:rPr>
          <w:sz w:val="28"/>
          <w:szCs w:val="28"/>
        </w:rPr>
        <w:t xml:space="preserve">esta enfermedad </w:t>
      </w:r>
      <w:r w:rsidR="00F85815" w:rsidRPr="00E320CE">
        <w:rPr>
          <w:sz w:val="28"/>
          <w:szCs w:val="28"/>
        </w:rPr>
        <w:t>no ha desaparecido</w:t>
      </w:r>
      <w:r w:rsidR="001A29BC" w:rsidRPr="00E320CE">
        <w:rPr>
          <w:sz w:val="28"/>
          <w:szCs w:val="28"/>
        </w:rPr>
        <w:t xml:space="preserve"> por completo</w:t>
      </w:r>
      <w:r w:rsidR="00F85815" w:rsidRPr="00E320CE">
        <w:rPr>
          <w:sz w:val="28"/>
          <w:szCs w:val="28"/>
        </w:rPr>
        <w:t>,</w:t>
      </w:r>
      <w:r w:rsidR="007B0D34" w:rsidRPr="00E320CE">
        <w:rPr>
          <w:sz w:val="28"/>
          <w:szCs w:val="28"/>
        </w:rPr>
        <w:t xml:space="preserve"> lo</w:t>
      </w:r>
      <w:r w:rsidR="001A29BC" w:rsidRPr="00E320CE">
        <w:rPr>
          <w:sz w:val="28"/>
          <w:szCs w:val="28"/>
        </w:rPr>
        <w:t xml:space="preserve"> que le provoca </w:t>
      </w:r>
      <w:r w:rsidR="00B64A76" w:rsidRPr="00E320CE">
        <w:rPr>
          <w:sz w:val="28"/>
          <w:szCs w:val="28"/>
        </w:rPr>
        <w:t>calambres</w:t>
      </w:r>
      <w:r w:rsidR="001A29BC" w:rsidRPr="00E320CE">
        <w:rPr>
          <w:sz w:val="28"/>
          <w:szCs w:val="28"/>
        </w:rPr>
        <w:t xml:space="preserve"> frecuentes</w:t>
      </w:r>
      <w:r w:rsidR="00B64A76" w:rsidRPr="00E320CE">
        <w:rPr>
          <w:sz w:val="28"/>
          <w:szCs w:val="28"/>
        </w:rPr>
        <w:t xml:space="preserve"> en el cuello</w:t>
      </w:r>
      <w:r w:rsidR="007D1D97" w:rsidRPr="00E320CE">
        <w:rPr>
          <w:sz w:val="28"/>
          <w:szCs w:val="28"/>
        </w:rPr>
        <w:t xml:space="preserve"> </w:t>
      </w:r>
      <w:r w:rsidR="00B64A76" w:rsidRPr="00E320CE">
        <w:rPr>
          <w:sz w:val="28"/>
          <w:szCs w:val="28"/>
        </w:rPr>
        <w:t>y</w:t>
      </w:r>
      <w:r w:rsidR="001A29BC" w:rsidRPr="00E320CE">
        <w:rPr>
          <w:sz w:val="28"/>
          <w:szCs w:val="28"/>
        </w:rPr>
        <w:t xml:space="preserve"> la obliga a asistir </w:t>
      </w:r>
      <w:r w:rsidR="007B0D34" w:rsidRPr="00E320CE">
        <w:rPr>
          <w:sz w:val="28"/>
          <w:szCs w:val="28"/>
        </w:rPr>
        <w:t xml:space="preserve">a controles </w:t>
      </w:r>
      <w:r w:rsidR="007172DF" w:rsidRPr="00E320CE">
        <w:rPr>
          <w:sz w:val="28"/>
          <w:szCs w:val="28"/>
        </w:rPr>
        <w:t>de</w:t>
      </w:r>
      <w:r w:rsidR="007B0D34" w:rsidRPr="00E320CE">
        <w:rPr>
          <w:sz w:val="28"/>
          <w:szCs w:val="28"/>
        </w:rPr>
        <w:t xml:space="preserve"> ginecología dos </w:t>
      </w:r>
      <w:r w:rsidR="0087470F" w:rsidRPr="00E320CE">
        <w:rPr>
          <w:sz w:val="28"/>
          <w:szCs w:val="28"/>
        </w:rPr>
        <w:t>o</w:t>
      </w:r>
      <w:r w:rsidR="007B0D34" w:rsidRPr="00E320CE">
        <w:rPr>
          <w:sz w:val="28"/>
          <w:szCs w:val="28"/>
        </w:rPr>
        <w:t xml:space="preserve"> tres veces por semana</w:t>
      </w:r>
      <w:r w:rsidR="000E209C" w:rsidRPr="00E320CE">
        <w:rPr>
          <w:rStyle w:val="Refdenotaalpie"/>
          <w:sz w:val="28"/>
          <w:szCs w:val="28"/>
        </w:rPr>
        <w:footnoteReference w:id="67"/>
      </w:r>
      <w:r w:rsidR="007B0D34" w:rsidRPr="00E320CE">
        <w:rPr>
          <w:sz w:val="28"/>
          <w:szCs w:val="28"/>
        </w:rPr>
        <w:t xml:space="preserve">. </w:t>
      </w:r>
      <w:r w:rsidR="001A29BC" w:rsidRPr="00E320CE">
        <w:rPr>
          <w:sz w:val="28"/>
          <w:szCs w:val="28"/>
        </w:rPr>
        <w:t>Asimismo, l</w:t>
      </w:r>
      <w:r w:rsidR="007B0D34" w:rsidRPr="00E320CE">
        <w:rPr>
          <w:sz w:val="28"/>
          <w:szCs w:val="28"/>
        </w:rPr>
        <w:t xml:space="preserve">a accionante </w:t>
      </w:r>
      <w:r w:rsidR="007172DF" w:rsidRPr="00E320CE">
        <w:rPr>
          <w:sz w:val="28"/>
          <w:szCs w:val="28"/>
        </w:rPr>
        <w:t xml:space="preserve">refirió que en 2021 </w:t>
      </w:r>
      <w:r w:rsidR="001A29BC" w:rsidRPr="00E320CE">
        <w:rPr>
          <w:sz w:val="28"/>
          <w:szCs w:val="28"/>
        </w:rPr>
        <w:t xml:space="preserve">tuvo </w:t>
      </w:r>
      <w:r w:rsidR="007172DF" w:rsidRPr="00E320CE">
        <w:rPr>
          <w:sz w:val="28"/>
          <w:szCs w:val="28"/>
        </w:rPr>
        <w:t>un infarto agudo de miocardio</w:t>
      </w:r>
      <w:r w:rsidR="007172DF" w:rsidRPr="00E320CE">
        <w:rPr>
          <w:rStyle w:val="Refdecomentario"/>
        </w:rPr>
        <w:t xml:space="preserve"> </w:t>
      </w:r>
      <w:r w:rsidR="007172DF" w:rsidRPr="00E320CE">
        <w:rPr>
          <w:sz w:val="28"/>
          <w:szCs w:val="28"/>
        </w:rPr>
        <w:t>y  fue diagn</w:t>
      </w:r>
      <w:r w:rsidR="001A29BC" w:rsidRPr="00E320CE">
        <w:rPr>
          <w:sz w:val="28"/>
          <w:szCs w:val="28"/>
        </w:rPr>
        <w:t>osticada</w:t>
      </w:r>
      <w:r w:rsidR="007172DF" w:rsidRPr="00E320CE">
        <w:rPr>
          <w:sz w:val="28"/>
          <w:szCs w:val="28"/>
        </w:rPr>
        <w:t xml:space="preserve"> con trastorno mixto de ansiedad, depresión e insomnio, </w:t>
      </w:r>
      <w:r w:rsidR="001A29BC" w:rsidRPr="00E320CE">
        <w:rPr>
          <w:sz w:val="28"/>
          <w:szCs w:val="28"/>
        </w:rPr>
        <w:t xml:space="preserve">condiciones que </w:t>
      </w:r>
      <w:proofErr w:type="spellStart"/>
      <w:r w:rsidR="001A29BC" w:rsidRPr="00E320CE">
        <w:rPr>
          <w:sz w:val="28"/>
          <w:szCs w:val="28"/>
        </w:rPr>
        <w:t>persisiten</w:t>
      </w:r>
      <w:proofErr w:type="spellEnd"/>
      <w:r w:rsidR="007172DF" w:rsidRPr="00E320CE">
        <w:rPr>
          <w:sz w:val="28"/>
          <w:szCs w:val="28"/>
        </w:rPr>
        <w:t xml:space="preserve"> y por las </w:t>
      </w:r>
      <w:r w:rsidR="001A29BC" w:rsidRPr="00E320CE">
        <w:rPr>
          <w:sz w:val="28"/>
          <w:szCs w:val="28"/>
        </w:rPr>
        <w:t xml:space="preserve">cuales </w:t>
      </w:r>
      <w:r w:rsidR="007172DF" w:rsidRPr="00E320CE">
        <w:rPr>
          <w:sz w:val="28"/>
          <w:szCs w:val="28"/>
        </w:rPr>
        <w:t xml:space="preserve">le han recetado fluoxetina y </w:t>
      </w:r>
      <w:proofErr w:type="spellStart"/>
      <w:r w:rsidR="007172DF" w:rsidRPr="00E320CE">
        <w:rPr>
          <w:sz w:val="28"/>
          <w:szCs w:val="28"/>
        </w:rPr>
        <w:t>duloxetina</w:t>
      </w:r>
      <w:proofErr w:type="spellEnd"/>
      <w:r w:rsidR="007B0D34" w:rsidRPr="00E320CE">
        <w:rPr>
          <w:rStyle w:val="Refdenotaalpie"/>
          <w:sz w:val="28"/>
          <w:szCs w:val="28"/>
        </w:rPr>
        <w:footnoteReference w:id="68"/>
      </w:r>
      <w:r w:rsidR="007B0D34" w:rsidRPr="00E320CE">
        <w:rPr>
          <w:sz w:val="28"/>
          <w:szCs w:val="28"/>
        </w:rPr>
        <w:t>.</w:t>
      </w:r>
      <w:r w:rsidR="000E209C" w:rsidRPr="00E320CE">
        <w:rPr>
          <w:sz w:val="28"/>
          <w:szCs w:val="28"/>
        </w:rPr>
        <w:t xml:space="preserve"> </w:t>
      </w:r>
      <w:r w:rsidR="001A29BC" w:rsidRPr="00E320CE">
        <w:rPr>
          <w:sz w:val="28"/>
          <w:szCs w:val="28"/>
        </w:rPr>
        <w:t xml:space="preserve">Debido a </w:t>
      </w:r>
      <w:r w:rsidR="000E209C" w:rsidRPr="00E320CE">
        <w:rPr>
          <w:sz w:val="28"/>
          <w:szCs w:val="28"/>
        </w:rPr>
        <w:t>estas situaciones</w:t>
      </w:r>
      <w:r w:rsidR="001A29BC" w:rsidRPr="00E320CE">
        <w:rPr>
          <w:sz w:val="28"/>
          <w:szCs w:val="28"/>
        </w:rPr>
        <w:t>,</w:t>
      </w:r>
      <w:r w:rsidR="000E209C" w:rsidRPr="00E320CE">
        <w:rPr>
          <w:sz w:val="28"/>
          <w:szCs w:val="28"/>
        </w:rPr>
        <w:t xml:space="preserve"> la EPS Salud Total </w:t>
      </w:r>
      <w:r w:rsidR="001A29BC" w:rsidRPr="00E320CE">
        <w:rPr>
          <w:sz w:val="28"/>
          <w:szCs w:val="28"/>
        </w:rPr>
        <w:t xml:space="preserve">emitió un </w:t>
      </w:r>
      <w:r w:rsidR="00B64A76" w:rsidRPr="00E320CE">
        <w:rPr>
          <w:sz w:val="28"/>
          <w:szCs w:val="28"/>
        </w:rPr>
        <w:t xml:space="preserve">pronóstico y </w:t>
      </w:r>
      <w:r w:rsidR="000E209C" w:rsidRPr="00E320CE">
        <w:rPr>
          <w:sz w:val="28"/>
          <w:szCs w:val="28"/>
        </w:rPr>
        <w:t xml:space="preserve">concepto de rehabilitación </w:t>
      </w:r>
      <w:r w:rsidR="007172DF" w:rsidRPr="00E320CE">
        <w:rPr>
          <w:sz w:val="28"/>
          <w:szCs w:val="28"/>
        </w:rPr>
        <w:lastRenderedPageBreak/>
        <w:t xml:space="preserve">desfavorable </w:t>
      </w:r>
      <w:r w:rsidR="001A29BC" w:rsidRPr="00E320CE">
        <w:rPr>
          <w:sz w:val="28"/>
          <w:szCs w:val="28"/>
        </w:rPr>
        <w:t>para su caso, documento que fue elaborado</w:t>
      </w:r>
      <w:r w:rsidR="004D7780" w:rsidRPr="00E320CE">
        <w:rPr>
          <w:sz w:val="28"/>
          <w:szCs w:val="28"/>
        </w:rPr>
        <w:t xml:space="preserve"> el 2 de diciembre de 2024</w:t>
      </w:r>
      <w:r w:rsidR="000E209C" w:rsidRPr="00E320CE">
        <w:rPr>
          <w:rStyle w:val="Refdenotaalpie"/>
          <w:sz w:val="28"/>
          <w:szCs w:val="28"/>
        </w:rPr>
        <w:footnoteReference w:id="69"/>
      </w:r>
      <w:r w:rsidR="000E209C" w:rsidRPr="00E320CE">
        <w:rPr>
          <w:sz w:val="28"/>
          <w:szCs w:val="28"/>
        </w:rPr>
        <w:t>.</w:t>
      </w:r>
    </w:p>
    <w:p w14:paraId="689ED241" w14:textId="77777777" w:rsidR="000E209C" w:rsidRPr="00E320CE" w:rsidRDefault="000E209C" w:rsidP="000E209C">
      <w:pPr>
        <w:pStyle w:val="Prrafodelista"/>
        <w:rPr>
          <w:sz w:val="28"/>
          <w:szCs w:val="28"/>
        </w:rPr>
      </w:pPr>
    </w:p>
    <w:p w14:paraId="7772000A" w14:textId="4368151A" w:rsidR="007F6AF9" w:rsidRPr="00E320CE" w:rsidRDefault="000E209C" w:rsidP="00650812">
      <w:pPr>
        <w:pStyle w:val="Prrafodelista"/>
        <w:numPr>
          <w:ilvl w:val="0"/>
          <w:numId w:val="1"/>
        </w:numPr>
        <w:ind w:left="0" w:right="57" w:firstLine="0"/>
        <w:jc w:val="both"/>
        <w:rPr>
          <w:sz w:val="28"/>
          <w:szCs w:val="28"/>
          <w:lang w:val="es-CO"/>
        </w:rPr>
      </w:pPr>
      <w:r w:rsidRPr="00E320CE">
        <w:rPr>
          <w:sz w:val="28"/>
          <w:szCs w:val="28"/>
        </w:rPr>
        <w:t>En tercer lugar, la accionante adjunt</w:t>
      </w:r>
      <w:r w:rsidR="0029524E" w:rsidRPr="00E320CE">
        <w:rPr>
          <w:sz w:val="28"/>
          <w:szCs w:val="28"/>
        </w:rPr>
        <w:t>ó</w:t>
      </w:r>
      <w:r w:rsidRPr="00E320CE">
        <w:rPr>
          <w:sz w:val="28"/>
          <w:szCs w:val="28"/>
        </w:rPr>
        <w:t xml:space="preserve"> copia de la orden </w:t>
      </w:r>
      <w:r w:rsidR="00166139" w:rsidRPr="00E320CE">
        <w:rPr>
          <w:sz w:val="28"/>
          <w:szCs w:val="28"/>
        </w:rPr>
        <w:t xml:space="preserve">de prestación de servicios </w:t>
      </w:r>
      <w:r w:rsidRPr="00E320CE">
        <w:rPr>
          <w:sz w:val="28"/>
          <w:szCs w:val="28"/>
        </w:rPr>
        <w:t>del 1 de agosto de 2024</w:t>
      </w:r>
      <w:r w:rsidR="00166139" w:rsidRPr="00E320CE">
        <w:rPr>
          <w:sz w:val="28"/>
          <w:szCs w:val="28"/>
        </w:rPr>
        <w:t xml:space="preserve"> firmada por Paola Andrea Flórez Sánchez como representante legal de </w:t>
      </w:r>
      <w:r w:rsidR="00BF330B" w:rsidRPr="00E320CE">
        <w:rPr>
          <w:sz w:val="28"/>
          <w:szCs w:val="28"/>
        </w:rPr>
        <w:t xml:space="preserve">la </w:t>
      </w:r>
      <w:r w:rsidR="00166139" w:rsidRPr="00E320CE">
        <w:rPr>
          <w:sz w:val="28"/>
          <w:szCs w:val="28"/>
        </w:rPr>
        <w:t xml:space="preserve">UT </w:t>
      </w:r>
      <w:proofErr w:type="spellStart"/>
      <w:r w:rsidR="00166139" w:rsidRPr="00E320CE">
        <w:rPr>
          <w:sz w:val="28"/>
          <w:szCs w:val="28"/>
        </w:rPr>
        <w:t>Norsalud</w:t>
      </w:r>
      <w:proofErr w:type="spellEnd"/>
      <w:r w:rsidR="00166139" w:rsidRPr="00E320CE">
        <w:rPr>
          <w:sz w:val="28"/>
          <w:szCs w:val="28"/>
        </w:rPr>
        <w:t xml:space="preserve"> PPL, con el fin de demostrar que esa unión temporal y </w:t>
      </w:r>
      <w:r w:rsidR="00BF330B" w:rsidRPr="00E320CE">
        <w:rPr>
          <w:sz w:val="28"/>
          <w:szCs w:val="28"/>
        </w:rPr>
        <w:t xml:space="preserve">la </w:t>
      </w:r>
      <w:r w:rsidR="00166139" w:rsidRPr="00E320CE">
        <w:rPr>
          <w:sz w:val="28"/>
          <w:szCs w:val="28"/>
        </w:rPr>
        <w:t xml:space="preserve">UT Salud Integral PPL </w:t>
      </w:r>
      <w:r w:rsidR="00D819EA" w:rsidRPr="00E320CE">
        <w:rPr>
          <w:sz w:val="28"/>
          <w:szCs w:val="28"/>
        </w:rPr>
        <w:t xml:space="preserve">tienen la misma </w:t>
      </w:r>
      <w:r w:rsidR="00166139" w:rsidRPr="00E320CE">
        <w:rPr>
          <w:sz w:val="28"/>
          <w:szCs w:val="28"/>
        </w:rPr>
        <w:t>representante legal</w:t>
      </w:r>
      <w:r w:rsidR="00166139" w:rsidRPr="00E320CE">
        <w:rPr>
          <w:rStyle w:val="Refdenotaalpie"/>
          <w:sz w:val="28"/>
          <w:szCs w:val="28"/>
        </w:rPr>
        <w:footnoteReference w:id="70"/>
      </w:r>
      <w:r w:rsidR="00166139" w:rsidRPr="00E320CE">
        <w:rPr>
          <w:sz w:val="28"/>
          <w:szCs w:val="28"/>
        </w:rPr>
        <w:t xml:space="preserve">. En cuarto lugar, </w:t>
      </w:r>
      <w:r w:rsidR="00E320CE" w:rsidRPr="00E320CE">
        <w:rPr>
          <w:i/>
          <w:iCs/>
          <w:sz w:val="28"/>
          <w:szCs w:val="28"/>
          <w:lang w:val="es-CO"/>
        </w:rPr>
        <w:t>Greta</w:t>
      </w:r>
      <w:r w:rsidR="00E320CE" w:rsidRPr="00E320CE" w:rsidDel="006E6781">
        <w:rPr>
          <w:sz w:val="28"/>
          <w:szCs w:val="28"/>
          <w:lang w:val="es-CO"/>
        </w:rPr>
        <w:t xml:space="preserve"> </w:t>
      </w:r>
      <w:r w:rsidR="00166139" w:rsidRPr="00E320CE">
        <w:rPr>
          <w:sz w:val="28"/>
          <w:szCs w:val="28"/>
        </w:rPr>
        <w:t xml:space="preserve">indicó que le solicitó al INPEC reconocer que entre ella y la entidad existió un contrato realidad, y que, en </w:t>
      </w:r>
      <w:r w:rsidR="0029524E" w:rsidRPr="00E320CE">
        <w:rPr>
          <w:sz w:val="28"/>
          <w:szCs w:val="28"/>
        </w:rPr>
        <w:t>caso de que tal reclamación sea negada</w:t>
      </w:r>
      <w:r w:rsidR="00166139" w:rsidRPr="00E320CE">
        <w:rPr>
          <w:sz w:val="28"/>
          <w:szCs w:val="28"/>
        </w:rPr>
        <w:t xml:space="preserve">, presentaría </w:t>
      </w:r>
      <w:r w:rsidR="00650812" w:rsidRPr="00E320CE">
        <w:rPr>
          <w:sz w:val="28"/>
          <w:szCs w:val="28"/>
        </w:rPr>
        <w:t>una acción de nulidad y restablecimiento del derecho</w:t>
      </w:r>
      <w:r w:rsidR="00650812" w:rsidRPr="00E320CE">
        <w:rPr>
          <w:rStyle w:val="Refdenotaalpie"/>
          <w:sz w:val="28"/>
          <w:szCs w:val="28"/>
        </w:rPr>
        <w:footnoteReference w:id="71"/>
      </w:r>
      <w:r w:rsidR="00650812" w:rsidRPr="00E320CE">
        <w:rPr>
          <w:sz w:val="28"/>
          <w:szCs w:val="28"/>
        </w:rPr>
        <w:t>.</w:t>
      </w:r>
      <w:r w:rsidR="00166139" w:rsidRPr="00E320CE">
        <w:rPr>
          <w:sz w:val="28"/>
          <w:szCs w:val="28"/>
        </w:rPr>
        <w:t xml:space="preserve"> </w:t>
      </w:r>
    </w:p>
    <w:p w14:paraId="6B7888AD" w14:textId="77777777" w:rsidR="007F6AF9" w:rsidRPr="00E320CE" w:rsidRDefault="007F6AF9" w:rsidP="007F6AF9">
      <w:pPr>
        <w:pStyle w:val="Prrafodelista"/>
        <w:rPr>
          <w:sz w:val="28"/>
          <w:szCs w:val="28"/>
        </w:rPr>
      </w:pPr>
    </w:p>
    <w:p w14:paraId="0D85FF46" w14:textId="5DE5A97D" w:rsidR="000E209C" w:rsidRPr="00E320CE" w:rsidRDefault="00641FAE" w:rsidP="00641FAE">
      <w:pPr>
        <w:pStyle w:val="Prrafodelista"/>
        <w:numPr>
          <w:ilvl w:val="0"/>
          <w:numId w:val="1"/>
        </w:numPr>
        <w:ind w:left="0" w:right="57" w:firstLine="0"/>
        <w:jc w:val="both"/>
        <w:rPr>
          <w:sz w:val="28"/>
          <w:szCs w:val="28"/>
          <w:lang w:val="es-CO"/>
        </w:rPr>
      </w:pPr>
      <w:r w:rsidRPr="00E320CE">
        <w:rPr>
          <w:sz w:val="28"/>
          <w:szCs w:val="28"/>
        </w:rPr>
        <w:t xml:space="preserve">Por último,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rPr>
        <w:t>explicó</w:t>
      </w:r>
      <w:r w:rsidR="00650812" w:rsidRPr="00E320CE">
        <w:rPr>
          <w:sz w:val="28"/>
          <w:szCs w:val="28"/>
        </w:rPr>
        <w:t xml:space="preserve"> que trabajó aproximadamente </w:t>
      </w:r>
      <w:r w:rsidR="0029524E" w:rsidRPr="00E320CE">
        <w:rPr>
          <w:sz w:val="28"/>
          <w:szCs w:val="28"/>
        </w:rPr>
        <w:t xml:space="preserve">durante </w:t>
      </w:r>
      <w:r w:rsidR="00650812" w:rsidRPr="00E320CE">
        <w:rPr>
          <w:sz w:val="28"/>
          <w:szCs w:val="28"/>
        </w:rPr>
        <w:t xml:space="preserve">13 años como auxiliar de enfermería </w:t>
      </w:r>
      <w:r w:rsidR="00650812" w:rsidRPr="00E320CE">
        <w:rPr>
          <w:sz w:val="28"/>
          <w:szCs w:val="28"/>
          <w:lang w:val="es-CO"/>
        </w:rPr>
        <w:t xml:space="preserve">en el Establecimiento Penitenciario de Mediana Seguridad y Carcelario de Cartagena </w:t>
      </w:r>
      <w:r w:rsidR="0029524E" w:rsidRPr="00E320CE">
        <w:rPr>
          <w:sz w:val="28"/>
          <w:szCs w:val="28"/>
          <w:lang w:val="es-CO"/>
        </w:rPr>
        <w:t xml:space="preserve">a través </w:t>
      </w:r>
      <w:r w:rsidR="00650812" w:rsidRPr="00E320CE">
        <w:rPr>
          <w:sz w:val="28"/>
          <w:szCs w:val="28"/>
          <w:lang w:val="es-CO"/>
        </w:rPr>
        <w:t>de distintos operadores</w:t>
      </w:r>
      <w:r w:rsidR="00650812" w:rsidRPr="00E320CE">
        <w:rPr>
          <w:rStyle w:val="Refdenotaalpie"/>
          <w:sz w:val="28"/>
          <w:szCs w:val="28"/>
          <w:lang w:val="es-CO"/>
        </w:rPr>
        <w:footnoteReference w:id="72"/>
      </w:r>
      <w:r w:rsidR="00650812" w:rsidRPr="00E320CE">
        <w:rPr>
          <w:sz w:val="28"/>
          <w:szCs w:val="28"/>
          <w:lang w:val="es-CO"/>
        </w:rPr>
        <w:t>.</w:t>
      </w:r>
      <w:r w:rsidR="00B64A76" w:rsidRPr="00E320CE">
        <w:rPr>
          <w:sz w:val="28"/>
          <w:szCs w:val="28"/>
          <w:lang w:val="es-CO"/>
        </w:rPr>
        <w:t xml:space="preserve"> </w:t>
      </w:r>
      <w:r w:rsidR="00A72FFC" w:rsidRPr="00E320CE">
        <w:rPr>
          <w:sz w:val="28"/>
          <w:szCs w:val="28"/>
          <w:lang w:val="es-CO"/>
        </w:rPr>
        <w:t xml:space="preserve">Frente a su relación contractual con la UT Salud Integral PPL, </w:t>
      </w:r>
      <w:r w:rsidR="00DB7C71" w:rsidRPr="00E320CE">
        <w:rPr>
          <w:sz w:val="28"/>
          <w:szCs w:val="28"/>
          <w:lang w:val="es-CO"/>
        </w:rPr>
        <w:t xml:space="preserve">la accionante envió soportes </w:t>
      </w:r>
      <w:r w:rsidR="00C707AB" w:rsidRPr="00E320CE">
        <w:rPr>
          <w:sz w:val="28"/>
          <w:szCs w:val="28"/>
          <w:lang w:val="es-CO"/>
        </w:rPr>
        <w:t>para demostrar</w:t>
      </w:r>
      <w:r w:rsidR="00DB7C71" w:rsidRPr="00E320CE">
        <w:rPr>
          <w:sz w:val="28"/>
          <w:szCs w:val="28"/>
          <w:lang w:val="es-CO"/>
        </w:rPr>
        <w:t xml:space="preserve"> que: (i) estuvo vinculada a la unión temporal mediante sucesivos contratos de prestación de servicios</w:t>
      </w:r>
      <w:r w:rsidR="00DB7C71" w:rsidRPr="00E320CE">
        <w:rPr>
          <w:rStyle w:val="Refdenotaalpie"/>
          <w:sz w:val="28"/>
          <w:szCs w:val="28"/>
          <w:lang w:val="es-CO"/>
        </w:rPr>
        <w:footnoteReference w:id="73"/>
      </w:r>
      <w:r w:rsidR="00DB7C71" w:rsidRPr="00E320CE">
        <w:rPr>
          <w:sz w:val="28"/>
          <w:szCs w:val="28"/>
          <w:lang w:val="es-CO"/>
        </w:rPr>
        <w:t>; (</w:t>
      </w:r>
      <w:proofErr w:type="spellStart"/>
      <w:r w:rsidR="00DB7C71" w:rsidRPr="00E320CE">
        <w:rPr>
          <w:sz w:val="28"/>
          <w:szCs w:val="28"/>
          <w:lang w:val="es-CO"/>
        </w:rPr>
        <w:t>ii</w:t>
      </w:r>
      <w:proofErr w:type="spellEnd"/>
      <w:r w:rsidR="00DB7C71" w:rsidRPr="00E320CE">
        <w:rPr>
          <w:sz w:val="28"/>
          <w:szCs w:val="28"/>
          <w:lang w:val="es-CO"/>
        </w:rPr>
        <w:t>) tuvo entre sus</w:t>
      </w:r>
      <w:r w:rsidR="00DB7C71" w:rsidRPr="00E320CE" w:rsidDel="00554D32">
        <w:rPr>
          <w:sz w:val="28"/>
          <w:szCs w:val="28"/>
          <w:lang w:val="es-CO"/>
        </w:rPr>
        <w:t xml:space="preserve"> </w:t>
      </w:r>
      <w:r w:rsidR="00DB7C71" w:rsidRPr="00E320CE">
        <w:rPr>
          <w:sz w:val="28"/>
          <w:szCs w:val="28"/>
          <w:lang w:val="es-CO"/>
        </w:rPr>
        <w:t xml:space="preserve">actividades como auxiliar de enfermería </w:t>
      </w:r>
      <w:r w:rsidR="0029524E" w:rsidRPr="00E320CE">
        <w:rPr>
          <w:sz w:val="28"/>
          <w:szCs w:val="28"/>
          <w:lang w:val="es-CO"/>
        </w:rPr>
        <w:t>apoyar al</w:t>
      </w:r>
      <w:r w:rsidR="00DB7C71" w:rsidRPr="00E320CE">
        <w:rPr>
          <w:sz w:val="28"/>
          <w:szCs w:val="28"/>
          <w:lang w:val="es-CO"/>
        </w:rPr>
        <w:t xml:space="preserve"> personal médico</w:t>
      </w:r>
      <w:r w:rsidR="00954F2B" w:rsidRPr="00E320CE">
        <w:rPr>
          <w:sz w:val="28"/>
          <w:szCs w:val="28"/>
          <w:lang w:val="es-CO"/>
        </w:rPr>
        <w:t>,</w:t>
      </w:r>
      <w:r w:rsidR="00DB7C71" w:rsidRPr="00E320CE">
        <w:rPr>
          <w:sz w:val="28"/>
          <w:szCs w:val="28"/>
          <w:lang w:val="es-CO"/>
        </w:rPr>
        <w:t xml:space="preserve"> bajo su supervisión</w:t>
      </w:r>
      <w:r w:rsidR="00954F2B" w:rsidRPr="00E320CE">
        <w:rPr>
          <w:sz w:val="28"/>
          <w:szCs w:val="28"/>
          <w:lang w:val="es-CO"/>
        </w:rPr>
        <w:t>,</w:t>
      </w:r>
      <w:r w:rsidR="00DB7C71" w:rsidRPr="00E320CE">
        <w:rPr>
          <w:sz w:val="28"/>
          <w:szCs w:val="28"/>
          <w:lang w:val="es-CO"/>
        </w:rPr>
        <w:t xml:space="preserve"> </w:t>
      </w:r>
      <w:r w:rsidRPr="00E320CE">
        <w:rPr>
          <w:sz w:val="28"/>
          <w:szCs w:val="28"/>
          <w:lang w:val="es-CO"/>
        </w:rPr>
        <w:t>en</w:t>
      </w:r>
      <w:r w:rsidR="00DB7C71" w:rsidRPr="00E320CE">
        <w:rPr>
          <w:sz w:val="28"/>
          <w:szCs w:val="28"/>
          <w:lang w:val="es-CO"/>
        </w:rPr>
        <w:t xml:space="preserve"> la </w:t>
      </w:r>
      <w:r w:rsidR="00773B3B" w:rsidRPr="00E320CE">
        <w:rPr>
          <w:sz w:val="28"/>
          <w:szCs w:val="28"/>
          <w:lang w:val="es-CO"/>
        </w:rPr>
        <w:t>recolección</w:t>
      </w:r>
      <w:r w:rsidR="00DB7C71" w:rsidRPr="00E320CE">
        <w:rPr>
          <w:sz w:val="28"/>
          <w:szCs w:val="28"/>
          <w:lang w:val="es-CO"/>
        </w:rPr>
        <w:t xml:space="preserve"> de los datos termométricos</w:t>
      </w:r>
      <w:r w:rsidR="00BC340F" w:rsidRPr="00E320CE">
        <w:rPr>
          <w:sz w:val="28"/>
          <w:szCs w:val="28"/>
          <w:lang w:val="es-CO"/>
        </w:rPr>
        <w:t xml:space="preserve">, </w:t>
      </w:r>
      <w:r w:rsidRPr="00E320CE">
        <w:rPr>
          <w:sz w:val="28"/>
          <w:szCs w:val="28"/>
          <w:lang w:val="es-CO"/>
        </w:rPr>
        <w:t>ayudar</w:t>
      </w:r>
      <w:r w:rsidR="00BC340F" w:rsidRPr="00E320CE">
        <w:rPr>
          <w:sz w:val="28"/>
          <w:szCs w:val="28"/>
          <w:lang w:val="es-CO"/>
        </w:rPr>
        <w:t xml:space="preserve"> con la administración de medicamentos por indicación del jefe de enfermería, realizar un informe semanal </w:t>
      </w:r>
      <w:r w:rsidR="008D791F" w:rsidRPr="00E320CE">
        <w:rPr>
          <w:sz w:val="28"/>
          <w:szCs w:val="28"/>
          <w:lang w:val="es-CO"/>
        </w:rPr>
        <w:t>para</w:t>
      </w:r>
      <w:r w:rsidR="00BC340F" w:rsidRPr="00E320CE">
        <w:rPr>
          <w:sz w:val="28"/>
          <w:szCs w:val="28"/>
          <w:lang w:val="es-CO"/>
        </w:rPr>
        <w:t xml:space="preserve"> Salud Integral sobre el desarrollo de sus actividades, cuidar los equipos, materiales y suministros que le fueran asignados, cumplir las normas de seguridad y salud en el trabajo y los reglamentos propios de la UT, entre otr</w:t>
      </w:r>
      <w:r w:rsidR="0029524E" w:rsidRPr="00E320CE">
        <w:rPr>
          <w:sz w:val="28"/>
          <w:szCs w:val="28"/>
          <w:lang w:val="es-CO"/>
        </w:rPr>
        <w:t>a</w:t>
      </w:r>
      <w:r w:rsidR="00BC340F" w:rsidRPr="00E320CE">
        <w:rPr>
          <w:sz w:val="28"/>
          <w:szCs w:val="28"/>
          <w:lang w:val="es-CO"/>
        </w:rPr>
        <w:t>s</w:t>
      </w:r>
      <w:r w:rsidR="00BC340F" w:rsidRPr="00E320CE">
        <w:rPr>
          <w:rStyle w:val="Refdenotaalpie"/>
          <w:sz w:val="28"/>
          <w:szCs w:val="28"/>
          <w:lang w:val="es-CO"/>
        </w:rPr>
        <w:footnoteReference w:id="74"/>
      </w:r>
      <w:r w:rsidR="00DB7C71" w:rsidRPr="00E320CE">
        <w:rPr>
          <w:sz w:val="28"/>
          <w:szCs w:val="28"/>
          <w:lang w:val="es-CO"/>
        </w:rPr>
        <w:t>; (</w:t>
      </w:r>
      <w:proofErr w:type="spellStart"/>
      <w:r w:rsidR="00DB7C71" w:rsidRPr="00E320CE">
        <w:rPr>
          <w:sz w:val="28"/>
          <w:szCs w:val="28"/>
          <w:lang w:val="es-CO"/>
        </w:rPr>
        <w:t>iii</w:t>
      </w:r>
      <w:proofErr w:type="spellEnd"/>
      <w:r w:rsidR="00DB7C71" w:rsidRPr="00E320CE">
        <w:rPr>
          <w:sz w:val="28"/>
          <w:szCs w:val="28"/>
          <w:lang w:val="es-CO"/>
        </w:rPr>
        <w:t>)</w:t>
      </w:r>
      <w:r w:rsidRPr="00E320CE">
        <w:rPr>
          <w:sz w:val="28"/>
          <w:szCs w:val="28"/>
          <w:lang w:val="es-CO"/>
        </w:rPr>
        <w:t xml:space="preserve"> cumplía horario de acuerdo con el sistema de rotación de turnos fijado por Salud Integral PPL</w:t>
      </w:r>
      <w:r w:rsidRPr="00E320CE">
        <w:rPr>
          <w:rStyle w:val="Refdenotaalpie"/>
          <w:sz w:val="28"/>
          <w:szCs w:val="28"/>
          <w:lang w:val="es-CO"/>
        </w:rPr>
        <w:footnoteReference w:id="75"/>
      </w:r>
      <w:r w:rsidRPr="00E320CE">
        <w:rPr>
          <w:sz w:val="28"/>
          <w:szCs w:val="28"/>
          <w:lang w:val="es-CO"/>
        </w:rPr>
        <w:t>; (</w:t>
      </w:r>
      <w:proofErr w:type="spellStart"/>
      <w:r w:rsidRPr="00E320CE">
        <w:rPr>
          <w:sz w:val="28"/>
          <w:szCs w:val="28"/>
          <w:lang w:val="es-CO"/>
        </w:rPr>
        <w:t>iv</w:t>
      </w:r>
      <w:proofErr w:type="spellEnd"/>
      <w:r w:rsidRPr="00E320CE">
        <w:rPr>
          <w:sz w:val="28"/>
          <w:szCs w:val="28"/>
          <w:lang w:val="es-CO"/>
        </w:rPr>
        <w:t>) el lugar de ejecución del contrato era el Establecimiento Penitenciario de Mediana Seguridad y Carcelario de Cartagena “Cárcel San Sebastián de Ternera”</w:t>
      </w:r>
      <w:r w:rsidRPr="00E320CE">
        <w:rPr>
          <w:rStyle w:val="Refdenotaalpie"/>
          <w:sz w:val="28"/>
          <w:szCs w:val="28"/>
          <w:lang w:val="es-CO"/>
        </w:rPr>
        <w:footnoteReference w:id="76"/>
      </w:r>
      <w:r w:rsidRPr="00E320CE">
        <w:rPr>
          <w:sz w:val="28"/>
          <w:szCs w:val="28"/>
          <w:lang w:val="es-CO"/>
        </w:rPr>
        <w:t xml:space="preserve">; y (v) </w:t>
      </w:r>
      <w:r w:rsidR="00DB7C71" w:rsidRPr="00E320CE">
        <w:rPr>
          <w:sz w:val="28"/>
          <w:szCs w:val="28"/>
          <w:lang w:val="es-CO"/>
        </w:rPr>
        <w:t xml:space="preserve">la unión temporal designó una persona </w:t>
      </w:r>
      <w:r w:rsidR="00773B3B" w:rsidRPr="00E320CE">
        <w:rPr>
          <w:sz w:val="28"/>
          <w:szCs w:val="28"/>
          <w:lang w:val="es-CO"/>
        </w:rPr>
        <w:t xml:space="preserve">para </w:t>
      </w:r>
      <w:r w:rsidR="00DB7C71" w:rsidRPr="00E320CE">
        <w:rPr>
          <w:sz w:val="28"/>
          <w:szCs w:val="28"/>
          <w:lang w:val="es-CO"/>
        </w:rPr>
        <w:t xml:space="preserve">supervisar las actividades </w:t>
      </w:r>
      <w:r w:rsidR="00773B3B" w:rsidRPr="00E320CE">
        <w:rPr>
          <w:sz w:val="28"/>
          <w:szCs w:val="28"/>
          <w:lang w:val="es-CO"/>
        </w:rPr>
        <w:t xml:space="preserve">y el desempeño de las funciones </w:t>
      </w:r>
      <w:r w:rsidR="00DB7C71" w:rsidRPr="00E320CE">
        <w:rPr>
          <w:sz w:val="28"/>
          <w:szCs w:val="28"/>
          <w:lang w:val="es-CO"/>
        </w:rPr>
        <w:t>a cargo de la actora</w:t>
      </w:r>
      <w:r w:rsidR="00DB7C71" w:rsidRPr="00E320CE">
        <w:rPr>
          <w:rStyle w:val="Refdenotaalpie"/>
          <w:sz w:val="28"/>
          <w:szCs w:val="28"/>
          <w:lang w:val="es-CO"/>
        </w:rPr>
        <w:footnoteReference w:id="77"/>
      </w:r>
      <w:r w:rsidR="001D6D85" w:rsidRPr="00E320CE">
        <w:rPr>
          <w:sz w:val="28"/>
          <w:szCs w:val="28"/>
          <w:lang w:val="es-CO"/>
        </w:rPr>
        <w:t xml:space="preserve">. </w:t>
      </w:r>
    </w:p>
    <w:p w14:paraId="28B161F1" w14:textId="77777777" w:rsidR="007F2185" w:rsidRPr="00E320CE" w:rsidRDefault="007F2185" w:rsidP="007F2185">
      <w:pPr>
        <w:pStyle w:val="Prrafodelista"/>
        <w:rPr>
          <w:sz w:val="28"/>
          <w:szCs w:val="28"/>
          <w:lang w:val="es-CO"/>
        </w:rPr>
      </w:pPr>
    </w:p>
    <w:p w14:paraId="44BEBC69" w14:textId="42A1E01C" w:rsidR="004B56FD" w:rsidRPr="00E320CE" w:rsidRDefault="007F2185">
      <w:pPr>
        <w:pStyle w:val="Prrafodelista"/>
        <w:numPr>
          <w:ilvl w:val="0"/>
          <w:numId w:val="1"/>
        </w:numPr>
        <w:autoSpaceDE/>
        <w:autoSpaceDN/>
        <w:ind w:left="0" w:right="57" w:firstLine="0"/>
        <w:jc w:val="both"/>
        <w:rPr>
          <w:sz w:val="28"/>
          <w:szCs w:val="28"/>
          <w:lang w:val="es-ES"/>
        </w:rPr>
      </w:pPr>
      <w:r w:rsidRPr="00E320CE">
        <w:rPr>
          <w:sz w:val="28"/>
          <w:szCs w:val="28"/>
          <w:lang w:val="es-CO"/>
        </w:rPr>
        <w:t xml:space="preserve">El 12 de febrero de 2025, la Unión Temporal </w:t>
      </w:r>
      <w:proofErr w:type="spellStart"/>
      <w:r w:rsidRPr="00E320CE">
        <w:rPr>
          <w:sz w:val="28"/>
          <w:szCs w:val="28"/>
          <w:lang w:val="es-CO"/>
        </w:rPr>
        <w:t>Norsalud</w:t>
      </w:r>
      <w:proofErr w:type="spellEnd"/>
      <w:r w:rsidRPr="00E320CE">
        <w:rPr>
          <w:sz w:val="28"/>
          <w:szCs w:val="28"/>
          <w:lang w:val="es-CO"/>
        </w:rPr>
        <w:t xml:space="preserve"> PPL contestó el auto de pruebas. En primer lugar, anexó </w:t>
      </w:r>
      <w:r w:rsidR="00930084" w:rsidRPr="00E320CE">
        <w:rPr>
          <w:sz w:val="28"/>
          <w:szCs w:val="28"/>
          <w:lang w:val="es-CO"/>
        </w:rPr>
        <w:t>el</w:t>
      </w:r>
      <w:r w:rsidRPr="00E320CE">
        <w:rPr>
          <w:sz w:val="28"/>
          <w:szCs w:val="28"/>
          <w:lang w:val="es-CO"/>
        </w:rPr>
        <w:t xml:space="preserve"> acta de </w:t>
      </w:r>
      <w:r w:rsidR="00930084" w:rsidRPr="00E320CE">
        <w:rPr>
          <w:sz w:val="28"/>
          <w:szCs w:val="28"/>
          <w:lang w:val="es-CO"/>
        </w:rPr>
        <w:t xml:space="preserve">su </w:t>
      </w:r>
      <w:r w:rsidRPr="00E320CE">
        <w:rPr>
          <w:sz w:val="28"/>
          <w:szCs w:val="28"/>
          <w:lang w:val="es-CO"/>
        </w:rPr>
        <w:t xml:space="preserve">constitución y </w:t>
      </w:r>
      <w:r w:rsidR="00773B3B" w:rsidRPr="00E320CE">
        <w:rPr>
          <w:sz w:val="28"/>
          <w:szCs w:val="28"/>
          <w:lang w:val="es-CO"/>
        </w:rPr>
        <w:t>el</w:t>
      </w:r>
      <w:r w:rsidRPr="00E320CE">
        <w:rPr>
          <w:sz w:val="28"/>
          <w:szCs w:val="28"/>
          <w:lang w:val="es-CO"/>
        </w:rPr>
        <w:t xml:space="preserve"> RUT. </w:t>
      </w:r>
      <w:r w:rsidR="00436046" w:rsidRPr="00E320CE">
        <w:rPr>
          <w:sz w:val="28"/>
          <w:szCs w:val="28"/>
          <w:lang w:val="es-CO"/>
        </w:rPr>
        <w:t xml:space="preserve">Ambos documentos indican que la unión temporal está conformada por </w:t>
      </w:r>
      <w:r w:rsidR="00436046" w:rsidRPr="00E320CE">
        <w:rPr>
          <w:sz w:val="28"/>
          <w:szCs w:val="28"/>
        </w:rPr>
        <w:t xml:space="preserve">Salud Plus IPS S.A.S. (45%), ADI Salud IPS S.A.S. (20%), Nuestra Salud Integral IPS S.A.S. (20%), </w:t>
      </w:r>
      <w:proofErr w:type="spellStart"/>
      <w:r w:rsidR="00436046" w:rsidRPr="00E320CE">
        <w:rPr>
          <w:sz w:val="28"/>
          <w:szCs w:val="28"/>
        </w:rPr>
        <w:t>Sumimedical</w:t>
      </w:r>
      <w:proofErr w:type="spellEnd"/>
      <w:r w:rsidR="00436046" w:rsidRPr="00E320CE">
        <w:rPr>
          <w:sz w:val="28"/>
          <w:szCs w:val="28"/>
        </w:rPr>
        <w:t xml:space="preserve"> S.A.S. (10%) y </w:t>
      </w:r>
      <w:proofErr w:type="spellStart"/>
      <w:r w:rsidR="00436046" w:rsidRPr="00E320CE">
        <w:rPr>
          <w:sz w:val="28"/>
          <w:szCs w:val="28"/>
        </w:rPr>
        <w:t>Lanus</w:t>
      </w:r>
      <w:proofErr w:type="spellEnd"/>
      <w:r w:rsidR="00436046" w:rsidRPr="00E320CE">
        <w:rPr>
          <w:sz w:val="28"/>
          <w:szCs w:val="28"/>
        </w:rPr>
        <w:t xml:space="preserve"> S.A.S. (10%)</w:t>
      </w:r>
      <w:r w:rsidR="00436046" w:rsidRPr="00E320CE">
        <w:rPr>
          <w:rStyle w:val="Refdenotaalpie"/>
          <w:sz w:val="28"/>
          <w:szCs w:val="28"/>
        </w:rPr>
        <w:footnoteReference w:id="78"/>
      </w:r>
      <w:r w:rsidR="00436046" w:rsidRPr="00E320CE">
        <w:rPr>
          <w:sz w:val="28"/>
          <w:szCs w:val="28"/>
        </w:rPr>
        <w:t xml:space="preserve">. También, </w:t>
      </w:r>
      <w:r w:rsidR="00773B3B" w:rsidRPr="00E320CE">
        <w:rPr>
          <w:sz w:val="28"/>
          <w:szCs w:val="28"/>
        </w:rPr>
        <w:t>informaron que</w:t>
      </w:r>
      <w:r w:rsidR="00436046" w:rsidRPr="00E320CE">
        <w:rPr>
          <w:sz w:val="28"/>
          <w:szCs w:val="28"/>
        </w:rPr>
        <w:t xml:space="preserve"> Martha Josefa Rueda Bustos </w:t>
      </w:r>
      <w:r w:rsidR="00773B3B" w:rsidRPr="00E320CE">
        <w:rPr>
          <w:sz w:val="28"/>
          <w:szCs w:val="28"/>
        </w:rPr>
        <w:t>es</w:t>
      </w:r>
      <w:r w:rsidR="00436046" w:rsidRPr="00E320CE">
        <w:rPr>
          <w:sz w:val="28"/>
          <w:szCs w:val="28"/>
        </w:rPr>
        <w:t xml:space="preserve"> la representante legal de </w:t>
      </w:r>
      <w:proofErr w:type="spellStart"/>
      <w:r w:rsidR="00436046" w:rsidRPr="00E320CE">
        <w:rPr>
          <w:sz w:val="28"/>
          <w:szCs w:val="28"/>
        </w:rPr>
        <w:t>Norsalud</w:t>
      </w:r>
      <w:proofErr w:type="spellEnd"/>
      <w:r w:rsidR="00436046" w:rsidRPr="00E320CE">
        <w:rPr>
          <w:sz w:val="28"/>
          <w:szCs w:val="28"/>
        </w:rPr>
        <w:t xml:space="preserve"> PPL y </w:t>
      </w:r>
      <w:r w:rsidR="00773B3B" w:rsidRPr="00E320CE">
        <w:rPr>
          <w:sz w:val="28"/>
          <w:szCs w:val="28"/>
        </w:rPr>
        <w:t>que</w:t>
      </w:r>
      <w:r w:rsidR="00436046" w:rsidRPr="00E320CE">
        <w:rPr>
          <w:sz w:val="28"/>
          <w:szCs w:val="28"/>
        </w:rPr>
        <w:t xml:space="preserve"> Paola Andrea Flórez Sánchez </w:t>
      </w:r>
      <w:r w:rsidR="00773B3B" w:rsidRPr="00E320CE">
        <w:rPr>
          <w:sz w:val="28"/>
          <w:szCs w:val="28"/>
        </w:rPr>
        <w:t>es</w:t>
      </w:r>
      <w:r w:rsidR="00436046" w:rsidRPr="00E320CE">
        <w:rPr>
          <w:sz w:val="28"/>
          <w:szCs w:val="28"/>
        </w:rPr>
        <w:t xml:space="preserve"> la representante </w:t>
      </w:r>
      <w:r w:rsidR="00436046" w:rsidRPr="00E320CE">
        <w:rPr>
          <w:sz w:val="28"/>
          <w:szCs w:val="28"/>
        </w:rPr>
        <w:lastRenderedPageBreak/>
        <w:t>suplente</w:t>
      </w:r>
      <w:r w:rsidR="00436046" w:rsidRPr="00E320CE">
        <w:rPr>
          <w:rStyle w:val="Refdenotaalpie"/>
          <w:sz w:val="28"/>
          <w:szCs w:val="28"/>
        </w:rPr>
        <w:footnoteReference w:id="79"/>
      </w:r>
      <w:r w:rsidR="00436046" w:rsidRPr="00E320CE">
        <w:rPr>
          <w:sz w:val="28"/>
          <w:szCs w:val="28"/>
        </w:rPr>
        <w:t>.</w:t>
      </w:r>
      <w:r w:rsidR="00E562D8" w:rsidRPr="00E320CE">
        <w:rPr>
          <w:sz w:val="28"/>
          <w:szCs w:val="28"/>
        </w:rPr>
        <w:t xml:space="preserve"> En segundo lugar, </w:t>
      </w:r>
      <w:r w:rsidR="00E562D8" w:rsidRPr="00E320CE">
        <w:rPr>
          <w:sz w:val="28"/>
          <w:szCs w:val="28"/>
          <w:lang w:val="es-CO"/>
        </w:rPr>
        <w:t xml:space="preserve">la Unión Temporal </w:t>
      </w:r>
      <w:proofErr w:type="spellStart"/>
      <w:r w:rsidR="00E562D8" w:rsidRPr="00E320CE">
        <w:rPr>
          <w:sz w:val="28"/>
          <w:szCs w:val="28"/>
          <w:lang w:val="es-CO"/>
        </w:rPr>
        <w:t>Norsalud</w:t>
      </w:r>
      <w:proofErr w:type="spellEnd"/>
      <w:r w:rsidR="00E562D8" w:rsidRPr="00E320CE">
        <w:rPr>
          <w:sz w:val="28"/>
          <w:szCs w:val="28"/>
          <w:lang w:val="es-CO"/>
        </w:rPr>
        <w:t xml:space="preserve"> PPL envió la lista de personas que contrató y el tipo de contrato que </w:t>
      </w:r>
      <w:r w:rsidR="00773B3B" w:rsidRPr="00E320CE">
        <w:rPr>
          <w:sz w:val="28"/>
          <w:szCs w:val="28"/>
          <w:lang w:val="es-CO"/>
        </w:rPr>
        <w:t>implementó</w:t>
      </w:r>
      <w:r w:rsidR="00E562D8" w:rsidRPr="00E320CE">
        <w:rPr>
          <w:rStyle w:val="Refdenotaalpie"/>
          <w:sz w:val="28"/>
          <w:szCs w:val="28"/>
          <w:lang w:val="es-CO"/>
        </w:rPr>
        <w:footnoteReference w:id="80"/>
      </w:r>
      <w:r w:rsidR="00E562D8" w:rsidRPr="00E320CE">
        <w:rPr>
          <w:sz w:val="28"/>
          <w:szCs w:val="28"/>
          <w:lang w:val="es-CO"/>
        </w:rPr>
        <w:t>.</w:t>
      </w:r>
    </w:p>
    <w:p w14:paraId="31B97481" w14:textId="77777777" w:rsidR="006F2C75" w:rsidRPr="00E320CE" w:rsidRDefault="006F2C75" w:rsidP="006F2C75">
      <w:pPr>
        <w:pStyle w:val="Prrafodelista"/>
        <w:rPr>
          <w:sz w:val="28"/>
          <w:szCs w:val="28"/>
          <w:lang w:val="es-ES"/>
        </w:rPr>
      </w:pPr>
    </w:p>
    <w:p w14:paraId="56024FBA" w14:textId="29F6AA51" w:rsidR="006F2C75" w:rsidRPr="00E320CE" w:rsidRDefault="006F2C75">
      <w:pPr>
        <w:pStyle w:val="Prrafodelista"/>
        <w:numPr>
          <w:ilvl w:val="0"/>
          <w:numId w:val="1"/>
        </w:numPr>
        <w:autoSpaceDE/>
        <w:autoSpaceDN/>
        <w:ind w:left="0" w:right="57" w:firstLine="0"/>
        <w:jc w:val="both"/>
        <w:rPr>
          <w:sz w:val="28"/>
          <w:szCs w:val="28"/>
          <w:lang w:val="es-ES"/>
        </w:rPr>
      </w:pPr>
      <w:r w:rsidRPr="00E320CE">
        <w:rPr>
          <w:sz w:val="28"/>
          <w:szCs w:val="28"/>
          <w:lang w:val="es-ES"/>
        </w:rPr>
        <w:t xml:space="preserve">El 13 de febrero de 2025, la Unión Temporal Salud Integral PPL contestó </w:t>
      </w:r>
      <w:r w:rsidR="00773B3B" w:rsidRPr="00E320CE">
        <w:rPr>
          <w:sz w:val="28"/>
          <w:szCs w:val="28"/>
          <w:lang w:val="es-ES"/>
        </w:rPr>
        <w:t xml:space="preserve">parcialmente </w:t>
      </w:r>
      <w:r w:rsidRPr="00E320CE">
        <w:rPr>
          <w:sz w:val="28"/>
          <w:szCs w:val="28"/>
          <w:lang w:val="es-ES"/>
        </w:rPr>
        <w:t>a los requerimientos hechos por la magistrada sustanciadora. Explicó, en primer lugar, que el proceso de liquidación</w:t>
      </w:r>
      <w:r w:rsidR="00773B3B" w:rsidRPr="00E320CE">
        <w:rPr>
          <w:sz w:val="28"/>
          <w:szCs w:val="28"/>
          <w:lang w:val="es-ES"/>
        </w:rPr>
        <w:t xml:space="preserve"> es consecuencia del</w:t>
      </w:r>
      <w:r w:rsidRPr="00E320CE">
        <w:rPr>
          <w:sz w:val="28"/>
          <w:szCs w:val="28"/>
          <w:lang w:val="es-ES"/>
        </w:rPr>
        <w:t xml:space="preserve"> cumplimiento del contrato celebrado con la Fiduprevisora, </w:t>
      </w:r>
      <w:r w:rsidR="00773B3B" w:rsidRPr="00E320CE">
        <w:rPr>
          <w:sz w:val="28"/>
          <w:szCs w:val="28"/>
          <w:lang w:val="es-ES"/>
        </w:rPr>
        <w:t>para</w:t>
      </w:r>
      <w:r w:rsidR="00CC6587" w:rsidRPr="00E320CE">
        <w:rPr>
          <w:sz w:val="28"/>
          <w:szCs w:val="28"/>
          <w:lang w:val="es-ES"/>
        </w:rPr>
        <w:t xml:space="preserve"> </w:t>
      </w:r>
      <w:r w:rsidR="00773B3B" w:rsidRPr="00E320CE">
        <w:rPr>
          <w:sz w:val="28"/>
          <w:szCs w:val="28"/>
          <w:lang w:val="es-ES"/>
        </w:rPr>
        <w:t>lo</w:t>
      </w:r>
      <w:r w:rsidR="00CC6587" w:rsidRPr="00E320CE">
        <w:rPr>
          <w:sz w:val="28"/>
          <w:szCs w:val="28"/>
          <w:lang w:val="es-ES"/>
        </w:rPr>
        <w:t xml:space="preserve"> </w:t>
      </w:r>
      <w:r w:rsidRPr="00E320CE">
        <w:rPr>
          <w:sz w:val="28"/>
          <w:szCs w:val="28"/>
          <w:lang w:val="es-ES"/>
        </w:rPr>
        <w:t>cual la unión temporal fue creada</w:t>
      </w:r>
      <w:r w:rsidRPr="00E320CE">
        <w:rPr>
          <w:rStyle w:val="Refdenotaalpie"/>
          <w:sz w:val="28"/>
          <w:szCs w:val="28"/>
          <w:lang w:val="es-ES"/>
        </w:rPr>
        <w:footnoteReference w:id="81"/>
      </w:r>
      <w:r w:rsidRPr="00E320CE">
        <w:rPr>
          <w:sz w:val="28"/>
          <w:szCs w:val="28"/>
          <w:lang w:val="es-ES"/>
        </w:rPr>
        <w:t>.</w:t>
      </w:r>
      <w:r w:rsidR="00CC6587" w:rsidRPr="00E320CE">
        <w:rPr>
          <w:sz w:val="28"/>
          <w:szCs w:val="28"/>
          <w:lang w:val="es-ES"/>
        </w:rPr>
        <w:t xml:space="preserve"> En segundo lugar, </w:t>
      </w:r>
      <w:r w:rsidR="00350474" w:rsidRPr="00E320CE">
        <w:rPr>
          <w:sz w:val="28"/>
          <w:szCs w:val="28"/>
          <w:lang w:val="es-ES"/>
        </w:rPr>
        <w:t>la UT</w:t>
      </w:r>
      <w:r w:rsidR="00CC6587" w:rsidRPr="00E320CE">
        <w:rPr>
          <w:sz w:val="28"/>
          <w:szCs w:val="28"/>
          <w:lang w:val="es-ES"/>
        </w:rPr>
        <w:t xml:space="preserve"> Salud Integral indicó que está revisando sus responsabilidades tributarias del período fiscal 2024 con el fin de adelantar su proceso de liquidación</w:t>
      </w:r>
      <w:r w:rsidR="00CC6587" w:rsidRPr="00E320CE">
        <w:rPr>
          <w:rStyle w:val="Refdenotaalpie"/>
          <w:sz w:val="28"/>
          <w:szCs w:val="28"/>
          <w:lang w:val="es-ES"/>
        </w:rPr>
        <w:footnoteReference w:id="82"/>
      </w:r>
      <w:r w:rsidR="00CC6587" w:rsidRPr="00E320CE">
        <w:rPr>
          <w:sz w:val="28"/>
          <w:szCs w:val="28"/>
          <w:lang w:val="es-ES"/>
        </w:rPr>
        <w:t>.</w:t>
      </w:r>
      <w:r w:rsidR="00773B3B" w:rsidRPr="00E320CE">
        <w:rPr>
          <w:sz w:val="28"/>
          <w:szCs w:val="28"/>
          <w:lang w:val="es-ES"/>
        </w:rPr>
        <w:t xml:space="preserve"> Sobre la planta de personal </w:t>
      </w:r>
      <w:r w:rsidR="001D6D85" w:rsidRPr="00E320CE">
        <w:rPr>
          <w:sz w:val="28"/>
          <w:szCs w:val="28"/>
          <w:lang w:val="es-ES"/>
        </w:rPr>
        <w:t xml:space="preserve">requerida </w:t>
      </w:r>
      <w:r w:rsidR="00773B3B" w:rsidRPr="00E320CE">
        <w:rPr>
          <w:sz w:val="28"/>
          <w:szCs w:val="28"/>
          <w:lang w:val="es-ES"/>
        </w:rPr>
        <w:t>no hizo ningún pronunciamiento.</w:t>
      </w:r>
    </w:p>
    <w:p w14:paraId="5F368B36" w14:textId="77777777" w:rsidR="00123712" w:rsidRPr="00E320CE" w:rsidRDefault="00123712" w:rsidP="00123712">
      <w:pPr>
        <w:pStyle w:val="Prrafodelista"/>
        <w:rPr>
          <w:sz w:val="28"/>
          <w:szCs w:val="28"/>
          <w:lang w:val="es-ES"/>
        </w:rPr>
      </w:pPr>
    </w:p>
    <w:p w14:paraId="688D7A98" w14:textId="0678FBC2" w:rsidR="00123712" w:rsidRPr="00E320CE" w:rsidRDefault="00123712" w:rsidP="1C4EC2A0">
      <w:pPr>
        <w:pStyle w:val="Prrafodelista"/>
        <w:numPr>
          <w:ilvl w:val="0"/>
          <w:numId w:val="1"/>
        </w:numPr>
        <w:ind w:left="0" w:right="57" w:firstLine="0"/>
        <w:jc w:val="both"/>
        <w:rPr>
          <w:sz w:val="28"/>
          <w:szCs w:val="28"/>
        </w:rPr>
      </w:pPr>
      <w:r w:rsidRPr="00E320CE">
        <w:rPr>
          <w:sz w:val="28"/>
          <w:szCs w:val="28"/>
          <w:lang w:val="es-ES"/>
        </w:rPr>
        <w:t xml:space="preserve">El 24 de febrero de 2025, la magistrada sustanciadora </w:t>
      </w:r>
      <w:r w:rsidR="001D6D85" w:rsidRPr="00E320CE">
        <w:rPr>
          <w:sz w:val="28"/>
          <w:szCs w:val="28"/>
          <w:lang w:val="es-ES"/>
        </w:rPr>
        <w:t>decretó pruebas adicionales</w:t>
      </w:r>
      <w:r w:rsidRPr="00E320CE">
        <w:rPr>
          <w:sz w:val="28"/>
          <w:szCs w:val="28"/>
          <w:lang w:val="es-ES"/>
        </w:rPr>
        <w:t xml:space="preserve">. En primer lugar, le ordenó a </w:t>
      </w:r>
      <w:r w:rsidRPr="00E320CE">
        <w:rPr>
          <w:sz w:val="28"/>
          <w:szCs w:val="28"/>
          <w:lang w:val="es-CO"/>
        </w:rPr>
        <w:t xml:space="preserve">la Unión Temporal </w:t>
      </w:r>
      <w:proofErr w:type="spellStart"/>
      <w:r w:rsidRPr="00E320CE">
        <w:rPr>
          <w:sz w:val="28"/>
          <w:szCs w:val="28"/>
          <w:lang w:val="es-CO"/>
        </w:rPr>
        <w:t>Norsalud</w:t>
      </w:r>
      <w:proofErr w:type="spellEnd"/>
      <w:r w:rsidRPr="00E320CE">
        <w:rPr>
          <w:sz w:val="28"/>
          <w:szCs w:val="28"/>
          <w:lang w:val="es-CO"/>
        </w:rPr>
        <w:t xml:space="preserve"> PPL informar sobre la fecha en que fue seleccionada para la prestación de servicios de salud de baja y mediana complejidad a</w:t>
      </w:r>
      <w:r w:rsidR="003A7793" w:rsidRPr="00E320CE">
        <w:rPr>
          <w:sz w:val="28"/>
          <w:szCs w:val="28"/>
          <w:lang w:val="es-CO"/>
        </w:rPr>
        <w:t xml:space="preserve"> favor de</w:t>
      </w:r>
      <w:r w:rsidRPr="00E320CE">
        <w:rPr>
          <w:sz w:val="28"/>
          <w:szCs w:val="28"/>
          <w:lang w:val="es-CO"/>
        </w:rPr>
        <w:t xml:space="preserve"> las personas privadas de la libertad a cargo del INPEC, en los establecimientos de reclusión del orden nacional de las regiones Noroeste, Norte y Oriente. </w:t>
      </w:r>
      <w:r w:rsidRPr="00E320CE">
        <w:rPr>
          <w:sz w:val="28"/>
          <w:szCs w:val="28"/>
        </w:rPr>
        <w:t xml:space="preserve">En segundo lugar, la magistrada le ordenó a </w:t>
      </w:r>
      <w:r w:rsidRPr="00E320CE">
        <w:rPr>
          <w:sz w:val="28"/>
          <w:szCs w:val="28"/>
          <w:lang w:val="es-CO"/>
        </w:rPr>
        <w:t>la Unión Temporal Salud Integral PPL</w:t>
      </w:r>
      <w:r w:rsidR="003A7793" w:rsidRPr="00E320CE">
        <w:rPr>
          <w:sz w:val="28"/>
          <w:szCs w:val="28"/>
          <w:lang w:val="es-CO"/>
        </w:rPr>
        <w:t>, por segunda vez,</w:t>
      </w:r>
      <w:r w:rsidRPr="00E320CE">
        <w:rPr>
          <w:sz w:val="28"/>
          <w:szCs w:val="28"/>
          <w:lang w:val="es-CO"/>
        </w:rPr>
        <w:t xml:space="preserve"> brindar información </w:t>
      </w:r>
      <w:r w:rsidRPr="00E320CE">
        <w:rPr>
          <w:sz w:val="28"/>
          <w:szCs w:val="28"/>
        </w:rPr>
        <w:t>sobre</w:t>
      </w:r>
      <w:r w:rsidRPr="00E320CE">
        <w:rPr>
          <w:sz w:val="28"/>
          <w:szCs w:val="28"/>
          <w:lang w:val="es-CO"/>
        </w:rPr>
        <w:t xml:space="preserve"> la planta de personal que prestaba los servicios de salud en el </w:t>
      </w:r>
      <w:r w:rsidRPr="00E320CE">
        <w:rPr>
          <w:sz w:val="28"/>
          <w:szCs w:val="28"/>
        </w:rPr>
        <w:t>Establecimiento Penitenciario de Mediana Seguridad y Carcelario de Cartagena</w:t>
      </w:r>
      <w:r w:rsidRPr="00E320CE">
        <w:rPr>
          <w:sz w:val="28"/>
          <w:szCs w:val="28"/>
          <w:lang w:val="es-CO"/>
        </w:rPr>
        <w:t xml:space="preserve"> antes de la finalización del último contrato </w:t>
      </w:r>
      <w:r w:rsidRPr="00E320CE">
        <w:rPr>
          <w:sz w:val="28"/>
          <w:szCs w:val="28"/>
        </w:rPr>
        <w:t xml:space="preserve">con el fideicomiso Fondo Nacional de Salud PPL. Por último, ofició al </w:t>
      </w:r>
      <w:r w:rsidRPr="00E320CE">
        <w:rPr>
          <w:sz w:val="28"/>
          <w:szCs w:val="28"/>
          <w:lang w:val="es-CO"/>
        </w:rPr>
        <w:t xml:space="preserve">Juzgado Once Civil Municipal de Cartagena para que remitiera el expediente digitalizado de la acción de tutela </w:t>
      </w:r>
      <w:r w:rsidRPr="00E320CE">
        <w:rPr>
          <w:sz w:val="28"/>
          <w:szCs w:val="28"/>
        </w:rPr>
        <w:t xml:space="preserve">promovida por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rPr>
        <w:t>contra la UT Salud Integral PPL y el Establecimiento Penitenciario de Mediana Seguridad y Carcelario de Cartagena “Cárcel San Sebastián de Ternera”, bajo el radicado No. 13001400301120220048000.</w:t>
      </w:r>
    </w:p>
    <w:p w14:paraId="457AC874" w14:textId="79C5A749" w:rsidR="000647DF" w:rsidRPr="00E320CE" w:rsidRDefault="000647DF" w:rsidP="1C4EC2A0">
      <w:pPr>
        <w:pStyle w:val="Prrafodelista"/>
        <w:ind w:left="0" w:right="57"/>
        <w:jc w:val="both"/>
        <w:rPr>
          <w:sz w:val="28"/>
          <w:szCs w:val="28"/>
        </w:rPr>
      </w:pPr>
    </w:p>
    <w:p w14:paraId="08F849A0" w14:textId="5D7D3A2C" w:rsidR="001F0B39" w:rsidRPr="00E320CE" w:rsidRDefault="001F3D79" w:rsidP="1C4EC2A0">
      <w:pPr>
        <w:pStyle w:val="Prrafodelista"/>
        <w:numPr>
          <w:ilvl w:val="0"/>
          <w:numId w:val="1"/>
        </w:numPr>
        <w:ind w:left="0" w:right="57" w:firstLine="0"/>
        <w:jc w:val="both"/>
        <w:rPr>
          <w:sz w:val="28"/>
          <w:szCs w:val="28"/>
        </w:rPr>
      </w:pPr>
      <w:r w:rsidRPr="00E320CE">
        <w:rPr>
          <w:sz w:val="28"/>
          <w:szCs w:val="28"/>
        </w:rPr>
        <w:t xml:space="preserve">El Juzgado Once Civil Municipal de Cartagena y la UT </w:t>
      </w:r>
      <w:proofErr w:type="spellStart"/>
      <w:r w:rsidRPr="00E320CE">
        <w:rPr>
          <w:sz w:val="28"/>
          <w:szCs w:val="28"/>
        </w:rPr>
        <w:t>Norsalud</w:t>
      </w:r>
      <w:proofErr w:type="spellEnd"/>
      <w:r w:rsidRPr="00E320CE">
        <w:rPr>
          <w:sz w:val="28"/>
          <w:szCs w:val="28"/>
        </w:rPr>
        <w:t xml:space="preserve"> PPL presentaron la información requerida, pero el UT Salud Integral PPL </w:t>
      </w:r>
      <w:r w:rsidR="001F0B39" w:rsidRPr="00E320CE">
        <w:rPr>
          <w:sz w:val="28"/>
          <w:szCs w:val="28"/>
        </w:rPr>
        <w:t>no suministró la información</w:t>
      </w:r>
      <w:r w:rsidR="001F0B39" w:rsidRPr="00E320CE">
        <w:rPr>
          <w:sz w:val="28"/>
          <w:szCs w:val="28"/>
          <w:lang w:val="es-CO"/>
        </w:rPr>
        <w:t xml:space="preserve"> </w:t>
      </w:r>
      <w:r w:rsidR="000206F9" w:rsidRPr="00E320CE">
        <w:rPr>
          <w:sz w:val="28"/>
          <w:szCs w:val="28"/>
          <w:lang w:val="es-CO"/>
        </w:rPr>
        <w:t xml:space="preserve">sobre </w:t>
      </w:r>
      <w:r w:rsidR="001F0B39" w:rsidRPr="00E320CE">
        <w:rPr>
          <w:sz w:val="28"/>
          <w:szCs w:val="28"/>
          <w:lang w:val="es-CO"/>
        </w:rPr>
        <w:t xml:space="preserve">la planta de personal que prestaba los servicios de salud en el </w:t>
      </w:r>
      <w:r w:rsidR="001F0B39" w:rsidRPr="00E320CE">
        <w:rPr>
          <w:sz w:val="28"/>
          <w:szCs w:val="28"/>
        </w:rPr>
        <w:t>Establecimiento Penitenciario de Mediana Seguridad y Carcelario de Cartagena</w:t>
      </w:r>
      <w:r w:rsidR="001F0B39" w:rsidRPr="00E320CE">
        <w:rPr>
          <w:sz w:val="28"/>
          <w:szCs w:val="28"/>
          <w:lang w:val="es-CO"/>
        </w:rPr>
        <w:t xml:space="preserve"> antes de la finalización del último contrato </w:t>
      </w:r>
      <w:r w:rsidR="001F0B39" w:rsidRPr="00E320CE">
        <w:rPr>
          <w:sz w:val="28"/>
          <w:szCs w:val="28"/>
        </w:rPr>
        <w:t xml:space="preserve">con el fideicomiso Fondo Nacional de Salud PPL, </w:t>
      </w:r>
      <w:r w:rsidR="00AB6556" w:rsidRPr="00E320CE">
        <w:rPr>
          <w:sz w:val="28"/>
          <w:szCs w:val="28"/>
        </w:rPr>
        <w:t xml:space="preserve">la cual fue </w:t>
      </w:r>
      <w:r w:rsidR="001F0B39" w:rsidRPr="00E320CE">
        <w:rPr>
          <w:sz w:val="28"/>
          <w:szCs w:val="28"/>
        </w:rPr>
        <w:t>requerida por la magistrada sustanciadora</w:t>
      </w:r>
      <w:r w:rsidRPr="00E320CE">
        <w:rPr>
          <w:sz w:val="28"/>
          <w:szCs w:val="28"/>
        </w:rPr>
        <w:t xml:space="preserve">. </w:t>
      </w:r>
    </w:p>
    <w:p w14:paraId="382D34B3" w14:textId="77777777" w:rsidR="001F0B39" w:rsidRPr="00E320CE" w:rsidRDefault="001F0B39" w:rsidP="00B42696">
      <w:pPr>
        <w:pStyle w:val="Prrafodelista"/>
        <w:rPr>
          <w:sz w:val="28"/>
          <w:szCs w:val="28"/>
        </w:rPr>
      </w:pPr>
    </w:p>
    <w:p w14:paraId="50DF4977" w14:textId="587A9FB7" w:rsidR="005B2A52" w:rsidRPr="00E320CE" w:rsidRDefault="000647DF" w:rsidP="1C4EC2A0">
      <w:pPr>
        <w:pStyle w:val="Prrafodelista"/>
        <w:numPr>
          <w:ilvl w:val="0"/>
          <w:numId w:val="1"/>
        </w:numPr>
        <w:ind w:left="0" w:right="57" w:firstLine="0"/>
        <w:jc w:val="both"/>
        <w:rPr>
          <w:sz w:val="28"/>
          <w:szCs w:val="28"/>
        </w:rPr>
      </w:pPr>
      <w:r w:rsidRPr="00E320CE">
        <w:rPr>
          <w:sz w:val="28"/>
          <w:szCs w:val="28"/>
        </w:rPr>
        <w:t xml:space="preserve">El 26 de febrero de 2025, el </w:t>
      </w:r>
      <w:r w:rsidRPr="00E320CE">
        <w:rPr>
          <w:sz w:val="28"/>
          <w:szCs w:val="28"/>
          <w:lang w:val="es-CO"/>
        </w:rPr>
        <w:t xml:space="preserve">Juzgado Once Civil Municipal de Cartagena remitió el expediente digitalizado de la acción de tutela </w:t>
      </w:r>
      <w:r w:rsidRPr="00E320CE">
        <w:rPr>
          <w:sz w:val="28"/>
          <w:szCs w:val="28"/>
        </w:rPr>
        <w:t xml:space="preserve">promovida por </w:t>
      </w:r>
      <w:r w:rsidR="00E320CE" w:rsidRPr="00E320CE">
        <w:rPr>
          <w:i/>
          <w:iCs/>
          <w:sz w:val="28"/>
          <w:szCs w:val="28"/>
          <w:lang w:val="es-CO"/>
        </w:rPr>
        <w:t>Greta</w:t>
      </w:r>
      <w:r w:rsidRPr="00E320CE">
        <w:rPr>
          <w:sz w:val="28"/>
          <w:szCs w:val="28"/>
        </w:rPr>
        <w:t xml:space="preserve"> contra la UT Salud Integral PPL y el Establecimiento Penitenciario de Mediana Seguridad y Carcelario de Cartagena “Cárcel San Sebastián de Ternera”, bajo el radicado No. 13001400301120220048000.</w:t>
      </w:r>
    </w:p>
    <w:p w14:paraId="6ED4BEEE" w14:textId="4BDDF310" w:rsidR="1C4EC2A0" w:rsidRPr="00E320CE" w:rsidRDefault="1C4EC2A0" w:rsidP="1C4EC2A0">
      <w:pPr>
        <w:pStyle w:val="Prrafodelista"/>
        <w:ind w:left="0" w:right="57"/>
        <w:jc w:val="both"/>
        <w:rPr>
          <w:sz w:val="28"/>
          <w:szCs w:val="28"/>
        </w:rPr>
      </w:pPr>
    </w:p>
    <w:p w14:paraId="42F52027" w14:textId="7DFF43F8" w:rsidR="005B2A52" w:rsidRPr="00E320CE" w:rsidRDefault="00210BA3" w:rsidP="000647DF">
      <w:pPr>
        <w:pStyle w:val="Prrafodelista"/>
        <w:numPr>
          <w:ilvl w:val="0"/>
          <w:numId w:val="1"/>
        </w:numPr>
        <w:autoSpaceDE/>
        <w:autoSpaceDN/>
        <w:ind w:left="0" w:right="57" w:firstLine="0"/>
        <w:jc w:val="both"/>
        <w:rPr>
          <w:sz w:val="28"/>
          <w:szCs w:val="28"/>
        </w:rPr>
      </w:pPr>
      <w:r w:rsidRPr="00E320CE">
        <w:rPr>
          <w:sz w:val="28"/>
          <w:szCs w:val="28"/>
        </w:rPr>
        <w:t xml:space="preserve">El 3 de marzo de 2025, la Unión Temporal </w:t>
      </w:r>
      <w:proofErr w:type="spellStart"/>
      <w:r w:rsidRPr="00E320CE">
        <w:rPr>
          <w:sz w:val="28"/>
          <w:szCs w:val="28"/>
        </w:rPr>
        <w:t>Norsalud</w:t>
      </w:r>
      <w:proofErr w:type="spellEnd"/>
      <w:r w:rsidRPr="00E320CE">
        <w:rPr>
          <w:sz w:val="28"/>
          <w:szCs w:val="28"/>
        </w:rPr>
        <w:t xml:space="preserve"> PPL </w:t>
      </w:r>
      <w:r w:rsidR="00C83767" w:rsidRPr="00E320CE">
        <w:rPr>
          <w:sz w:val="28"/>
          <w:szCs w:val="28"/>
        </w:rPr>
        <w:t>respondió q</w:t>
      </w:r>
      <w:r w:rsidR="00E9602C" w:rsidRPr="00E320CE">
        <w:rPr>
          <w:sz w:val="28"/>
          <w:szCs w:val="28"/>
        </w:rPr>
        <w:t>ue le fue adjudicado el contrato de prestación de servicios de salud a la población privada de la libertad</w:t>
      </w:r>
      <w:r w:rsidR="00AA78C3" w:rsidRPr="00E320CE">
        <w:rPr>
          <w:sz w:val="28"/>
          <w:szCs w:val="28"/>
        </w:rPr>
        <w:t xml:space="preserve"> el 24 de julio de 2024</w:t>
      </w:r>
      <w:r w:rsidR="00AA78C3" w:rsidRPr="00E320CE">
        <w:rPr>
          <w:rStyle w:val="Refdenotaalpie"/>
          <w:sz w:val="28"/>
          <w:szCs w:val="28"/>
        </w:rPr>
        <w:footnoteReference w:id="83"/>
      </w:r>
      <w:r w:rsidR="00AA78C3" w:rsidRPr="00E320CE">
        <w:rPr>
          <w:sz w:val="28"/>
          <w:szCs w:val="28"/>
        </w:rPr>
        <w:t>.</w:t>
      </w:r>
      <w:r w:rsidR="00906C66" w:rsidRPr="00E320CE">
        <w:rPr>
          <w:sz w:val="28"/>
          <w:szCs w:val="28"/>
        </w:rPr>
        <w:t xml:space="preserve"> Adicionalmente, anexó el cronograma de contratación </w:t>
      </w:r>
      <w:r w:rsidR="00F50ABF" w:rsidRPr="00E320CE">
        <w:rPr>
          <w:sz w:val="28"/>
          <w:szCs w:val="28"/>
        </w:rPr>
        <w:t xml:space="preserve">hecho por la Fiduprevisora, </w:t>
      </w:r>
      <w:r w:rsidR="00A73E53" w:rsidRPr="00E320CE">
        <w:rPr>
          <w:sz w:val="28"/>
          <w:szCs w:val="28"/>
        </w:rPr>
        <w:t xml:space="preserve">según </w:t>
      </w:r>
      <w:r w:rsidR="00F50ABF" w:rsidRPr="00E320CE">
        <w:rPr>
          <w:sz w:val="28"/>
          <w:szCs w:val="28"/>
        </w:rPr>
        <w:t>el cual</w:t>
      </w:r>
      <w:r w:rsidR="0032679B" w:rsidRPr="00E320CE">
        <w:rPr>
          <w:sz w:val="28"/>
          <w:szCs w:val="28"/>
        </w:rPr>
        <w:t>: (i)</w:t>
      </w:r>
      <w:r w:rsidR="00735D7F" w:rsidRPr="00E320CE">
        <w:rPr>
          <w:sz w:val="28"/>
          <w:szCs w:val="28"/>
        </w:rPr>
        <w:t xml:space="preserve"> el 24 </w:t>
      </w:r>
      <w:r w:rsidR="00735D7F" w:rsidRPr="00E320CE">
        <w:rPr>
          <w:sz w:val="28"/>
          <w:szCs w:val="28"/>
        </w:rPr>
        <w:lastRenderedPageBreak/>
        <w:t>de julio de 2024 se hizo la adjudicación</w:t>
      </w:r>
      <w:r w:rsidR="00A73E53" w:rsidRPr="00E320CE">
        <w:rPr>
          <w:sz w:val="28"/>
          <w:szCs w:val="28"/>
        </w:rPr>
        <w:t xml:space="preserve"> del contrato</w:t>
      </w:r>
      <w:r w:rsidR="0032679B" w:rsidRPr="00E320CE">
        <w:rPr>
          <w:sz w:val="28"/>
          <w:szCs w:val="28"/>
        </w:rPr>
        <w:t>; (</w:t>
      </w:r>
      <w:proofErr w:type="spellStart"/>
      <w:r w:rsidR="0032679B" w:rsidRPr="00E320CE">
        <w:rPr>
          <w:sz w:val="28"/>
          <w:szCs w:val="28"/>
        </w:rPr>
        <w:t>ii</w:t>
      </w:r>
      <w:proofErr w:type="spellEnd"/>
      <w:r w:rsidR="0032679B" w:rsidRPr="00E320CE">
        <w:rPr>
          <w:sz w:val="28"/>
          <w:szCs w:val="28"/>
        </w:rPr>
        <w:t>)</w:t>
      </w:r>
      <w:r w:rsidR="00735D7F" w:rsidRPr="00E320CE">
        <w:rPr>
          <w:sz w:val="28"/>
          <w:szCs w:val="28"/>
        </w:rPr>
        <w:t xml:space="preserve"> el 25 de julio</w:t>
      </w:r>
      <w:r w:rsidR="004F0FFD" w:rsidRPr="00E320CE">
        <w:rPr>
          <w:sz w:val="28"/>
          <w:szCs w:val="28"/>
        </w:rPr>
        <w:t xml:space="preserve"> se firmó el contrato</w:t>
      </w:r>
      <w:r w:rsidR="0032679B" w:rsidRPr="00E320CE">
        <w:rPr>
          <w:sz w:val="28"/>
          <w:szCs w:val="28"/>
        </w:rPr>
        <w:t>; (</w:t>
      </w:r>
      <w:proofErr w:type="spellStart"/>
      <w:r w:rsidR="0032679B" w:rsidRPr="00E320CE">
        <w:rPr>
          <w:sz w:val="28"/>
          <w:szCs w:val="28"/>
        </w:rPr>
        <w:t>iii</w:t>
      </w:r>
      <w:proofErr w:type="spellEnd"/>
      <w:r w:rsidR="0032679B" w:rsidRPr="00E320CE">
        <w:rPr>
          <w:sz w:val="28"/>
          <w:szCs w:val="28"/>
        </w:rPr>
        <w:t xml:space="preserve">) </w:t>
      </w:r>
      <w:r w:rsidR="004F0FFD" w:rsidRPr="00E320CE">
        <w:rPr>
          <w:sz w:val="28"/>
          <w:szCs w:val="28"/>
        </w:rPr>
        <w:t>entre el</w:t>
      </w:r>
      <w:r w:rsidR="0032679B" w:rsidRPr="00E320CE">
        <w:rPr>
          <w:sz w:val="28"/>
          <w:szCs w:val="28"/>
        </w:rPr>
        <w:t xml:space="preserve"> 25 </w:t>
      </w:r>
      <w:r w:rsidR="004F0FFD" w:rsidRPr="00E320CE">
        <w:rPr>
          <w:sz w:val="28"/>
          <w:szCs w:val="28"/>
        </w:rPr>
        <w:t>y el</w:t>
      </w:r>
      <w:r w:rsidR="0032679B" w:rsidRPr="00E320CE">
        <w:rPr>
          <w:sz w:val="28"/>
          <w:szCs w:val="28"/>
        </w:rPr>
        <w:t xml:space="preserve"> 31 de julio</w:t>
      </w:r>
      <w:r w:rsidR="005A34E9" w:rsidRPr="00E320CE">
        <w:rPr>
          <w:sz w:val="28"/>
          <w:szCs w:val="28"/>
        </w:rPr>
        <w:t xml:space="preserve"> se hizo</w:t>
      </w:r>
      <w:r w:rsidR="0032679B" w:rsidRPr="00E320CE">
        <w:rPr>
          <w:sz w:val="28"/>
          <w:szCs w:val="28"/>
        </w:rPr>
        <w:t xml:space="preserve"> el empalme; y</w:t>
      </w:r>
      <w:r w:rsidR="005A34E9" w:rsidRPr="00E320CE">
        <w:rPr>
          <w:sz w:val="28"/>
          <w:szCs w:val="28"/>
        </w:rPr>
        <w:t>,</w:t>
      </w:r>
      <w:r w:rsidR="0032679B" w:rsidRPr="00E320CE">
        <w:rPr>
          <w:sz w:val="28"/>
          <w:szCs w:val="28"/>
        </w:rPr>
        <w:t xml:space="preserve"> (</w:t>
      </w:r>
      <w:proofErr w:type="spellStart"/>
      <w:r w:rsidR="0032679B" w:rsidRPr="00E320CE">
        <w:rPr>
          <w:sz w:val="28"/>
          <w:szCs w:val="28"/>
        </w:rPr>
        <w:t>iv</w:t>
      </w:r>
      <w:proofErr w:type="spellEnd"/>
      <w:r w:rsidR="0032679B" w:rsidRPr="00E320CE">
        <w:rPr>
          <w:sz w:val="28"/>
          <w:szCs w:val="28"/>
        </w:rPr>
        <w:t xml:space="preserve">) el 31 de </w:t>
      </w:r>
      <w:r w:rsidR="00D058B9" w:rsidRPr="00E320CE">
        <w:rPr>
          <w:sz w:val="28"/>
          <w:szCs w:val="28"/>
        </w:rPr>
        <w:t>julio se firmó el acta de inicio</w:t>
      </w:r>
      <w:r w:rsidR="005D6113" w:rsidRPr="00E320CE">
        <w:rPr>
          <w:rStyle w:val="Refdenotaalpie"/>
          <w:sz w:val="28"/>
          <w:szCs w:val="28"/>
        </w:rPr>
        <w:footnoteReference w:id="84"/>
      </w:r>
      <w:r w:rsidR="00D058B9" w:rsidRPr="00E320CE">
        <w:rPr>
          <w:sz w:val="28"/>
          <w:szCs w:val="28"/>
        </w:rPr>
        <w:t>.</w:t>
      </w:r>
    </w:p>
    <w:p w14:paraId="1B49A9D3" w14:textId="77777777" w:rsidR="00436046" w:rsidRPr="00E320CE" w:rsidRDefault="00436046" w:rsidP="00436046">
      <w:pPr>
        <w:pStyle w:val="Prrafodelista"/>
        <w:autoSpaceDE/>
        <w:autoSpaceDN/>
        <w:ind w:left="0" w:right="57"/>
        <w:jc w:val="both"/>
        <w:rPr>
          <w:sz w:val="28"/>
          <w:szCs w:val="28"/>
          <w:lang w:val="es-ES"/>
        </w:rPr>
      </w:pPr>
    </w:p>
    <w:p w14:paraId="0CED1839" w14:textId="4B3DEF6C" w:rsidR="00AE4C27" w:rsidRPr="00E320CE" w:rsidRDefault="00AE4C27" w:rsidP="0099734A">
      <w:pPr>
        <w:pStyle w:val="Prrafodelista"/>
        <w:numPr>
          <w:ilvl w:val="0"/>
          <w:numId w:val="14"/>
        </w:numPr>
        <w:ind w:left="567" w:hanging="567"/>
        <w:jc w:val="both"/>
        <w:rPr>
          <w:b/>
          <w:bCs/>
          <w:sz w:val="28"/>
          <w:szCs w:val="28"/>
          <w:lang w:val="es-ES"/>
        </w:rPr>
      </w:pPr>
      <w:r w:rsidRPr="00E320CE">
        <w:rPr>
          <w:b/>
          <w:bCs/>
          <w:sz w:val="28"/>
          <w:szCs w:val="28"/>
          <w:lang w:val="es-ES"/>
        </w:rPr>
        <w:t>CONSIDERACIONES</w:t>
      </w:r>
    </w:p>
    <w:p w14:paraId="470521C6" w14:textId="77777777" w:rsidR="00EC1A41" w:rsidRPr="00E320CE" w:rsidRDefault="00EC1A41" w:rsidP="00C327B6">
      <w:pPr>
        <w:autoSpaceDE/>
        <w:autoSpaceDN/>
        <w:ind w:right="57"/>
        <w:jc w:val="both"/>
        <w:rPr>
          <w:sz w:val="28"/>
          <w:szCs w:val="28"/>
        </w:rPr>
      </w:pPr>
    </w:p>
    <w:p w14:paraId="442E43FE" w14:textId="574AECBE" w:rsidR="00480DDE" w:rsidRPr="00E320CE" w:rsidRDefault="0099734A" w:rsidP="00480DDE">
      <w:pPr>
        <w:pStyle w:val="Prrafodelista"/>
        <w:numPr>
          <w:ilvl w:val="0"/>
          <w:numId w:val="33"/>
        </w:numPr>
        <w:rPr>
          <w:b/>
          <w:bCs/>
          <w:sz w:val="28"/>
          <w:szCs w:val="28"/>
          <w:lang w:val="es-MX"/>
        </w:rPr>
      </w:pPr>
      <w:r w:rsidRPr="00E320CE">
        <w:rPr>
          <w:b/>
          <w:bCs/>
          <w:sz w:val="28"/>
          <w:szCs w:val="28"/>
          <w:lang w:val="es-MX"/>
        </w:rPr>
        <w:t>Competencia</w:t>
      </w:r>
    </w:p>
    <w:p w14:paraId="4C1839AD" w14:textId="77777777" w:rsidR="0099734A" w:rsidRPr="00E320CE" w:rsidRDefault="0099734A" w:rsidP="0099734A">
      <w:pPr>
        <w:pStyle w:val="Prrafodelista"/>
        <w:ind w:left="0"/>
        <w:rPr>
          <w:b/>
          <w:bCs/>
          <w:sz w:val="28"/>
          <w:szCs w:val="28"/>
          <w:lang w:val="es-MX"/>
        </w:rPr>
      </w:pPr>
    </w:p>
    <w:p w14:paraId="58697624" w14:textId="77777777" w:rsidR="0099734A" w:rsidRPr="00E320CE" w:rsidRDefault="0099734A" w:rsidP="0099734A">
      <w:pPr>
        <w:pStyle w:val="Prrafodelista"/>
        <w:numPr>
          <w:ilvl w:val="0"/>
          <w:numId w:val="1"/>
        </w:numPr>
        <w:autoSpaceDE/>
        <w:autoSpaceDN/>
        <w:ind w:left="0" w:firstLine="0"/>
        <w:contextualSpacing w:val="0"/>
        <w:jc w:val="both"/>
        <w:rPr>
          <w:rFonts w:eastAsia="SimSun"/>
          <w:b/>
          <w:bCs/>
          <w:sz w:val="28"/>
          <w:szCs w:val="28"/>
          <w:lang w:val="es-MX"/>
        </w:rPr>
      </w:pPr>
      <w:r w:rsidRPr="00E320CE">
        <w:rPr>
          <w:sz w:val="28"/>
          <w:szCs w:val="28"/>
          <w:lang w:val="es-MX"/>
        </w:rPr>
        <w:t>Corresponde a la Sala Primera de Revisión analizar el fallo proferido dentro de la acción de tutela en referencia, con fundamento en los artículos 86 y 241.9 de la Constitución y 31 a 36 del Decreto 2591 de 1991.</w:t>
      </w:r>
    </w:p>
    <w:p w14:paraId="079FBFDE" w14:textId="77777777" w:rsidR="0099734A" w:rsidRPr="00E320CE" w:rsidRDefault="0099734A" w:rsidP="0099734A">
      <w:pPr>
        <w:autoSpaceDE/>
        <w:autoSpaceDN/>
        <w:jc w:val="both"/>
        <w:rPr>
          <w:rFonts w:eastAsia="SimSun"/>
          <w:b/>
          <w:bCs/>
          <w:sz w:val="28"/>
          <w:szCs w:val="28"/>
          <w:lang w:val="es-MX"/>
        </w:rPr>
      </w:pPr>
    </w:p>
    <w:p w14:paraId="5C145CE9" w14:textId="5AA59B10" w:rsidR="00F65FB5" w:rsidRPr="00E320CE" w:rsidRDefault="00F65FB5" w:rsidP="00B07ED3">
      <w:pPr>
        <w:pStyle w:val="Prrafodelista"/>
        <w:numPr>
          <w:ilvl w:val="0"/>
          <w:numId w:val="33"/>
        </w:numPr>
        <w:jc w:val="both"/>
        <w:rPr>
          <w:rFonts w:eastAsia="SimSun"/>
          <w:b/>
          <w:bCs/>
          <w:sz w:val="28"/>
          <w:szCs w:val="28"/>
          <w:lang w:val="es-MX"/>
        </w:rPr>
      </w:pPr>
      <w:r w:rsidRPr="00E320CE">
        <w:rPr>
          <w:rFonts w:eastAsia="SimSun"/>
          <w:b/>
          <w:bCs/>
          <w:sz w:val="28"/>
          <w:szCs w:val="28"/>
          <w:lang w:val="es-MX"/>
        </w:rPr>
        <w:t>Cuestión previa. Sobre la configuración de la cosa juzgada constitucional</w:t>
      </w:r>
    </w:p>
    <w:p w14:paraId="143D45D7" w14:textId="77777777" w:rsidR="00F65FB5" w:rsidRPr="00E320CE" w:rsidRDefault="00F65FB5" w:rsidP="00F65FB5">
      <w:pPr>
        <w:pStyle w:val="Prrafodelista"/>
        <w:rPr>
          <w:rFonts w:eastAsia="SimSun"/>
          <w:b/>
          <w:bCs/>
          <w:sz w:val="28"/>
          <w:szCs w:val="28"/>
          <w:lang w:val="es-MX"/>
        </w:rPr>
      </w:pPr>
    </w:p>
    <w:p w14:paraId="0DAD11DD" w14:textId="65DC1AC4" w:rsidR="00F65FB5" w:rsidRPr="00E320CE" w:rsidRDefault="00F65FB5" w:rsidP="00F65FB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De manera preliminar, la Corte debe entrar a establecer si en el presente caso se configura el efecto de cosa juzgada, de conformidad </w:t>
      </w:r>
      <w:r w:rsidR="0023547B" w:rsidRPr="00E320CE">
        <w:rPr>
          <w:rFonts w:eastAsia="SimSun"/>
          <w:sz w:val="28"/>
          <w:szCs w:val="28"/>
          <w:lang w:val="es-MX"/>
        </w:rPr>
        <w:t xml:space="preserve">con </w:t>
      </w:r>
      <w:r w:rsidRPr="00E320CE">
        <w:rPr>
          <w:rFonts w:eastAsia="SimSun"/>
          <w:sz w:val="28"/>
          <w:szCs w:val="28"/>
          <w:lang w:val="es-MX"/>
        </w:rPr>
        <w:t xml:space="preserve">las pruebas obrantes en el expediente, especialmente, el fallo de tutela proferido el 22 de agosto de 2022 por el Juzgado </w:t>
      </w:r>
      <w:r w:rsidR="0023547B" w:rsidRPr="00E320CE">
        <w:rPr>
          <w:rFonts w:eastAsia="SimSun"/>
          <w:sz w:val="28"/>
          <w:szCs w:val="28"/>
          <w:lang w:val="es-MX"/>
        </w:rPr>
        <w:t xml:space="preserve">11 </w:t>
      </w:r>
      <w:r w:rsidRPr="00E320CE">
        <w:rPr>
          <w:rFonts w:eastAsia="SimSun"/>
          <w:sz w:val="28"/>
          <w:szCs w:val="28"/>
          <w:lang w:val="es-MX"/>
        </w:rPr>
        <w:t xml:space="preserve">Civil Municipal de </w:t>
      </w:r>
      <w:proofErr w:type="spellStart"/>
      <w:r w:rsidRPr="00E320CE">
        <w:rPr>
          <w:rFonts w:eastAsia="SimSun"/>
          <w:sz w:val="28"/>
          <w:szCs w:val="28"/>
          <w:lang w:val="es-MX"/>
        </w:rPr>
        <w:t>Cartegena</w:t>
      </w:r>
      <w:proofErr w:type="spellEnd"/>
      <w:r w:rsidRPr="00E320CE">
        <w:rPr>
          <w:rStyle w:val="Refdenotaalpie"/>
          <w:rFonts w:eastAsia="SimSun"/>
          <w:sz w:val="28"/>
          <w:szCs w:val="28"/>
          <w:lang w:val="es-MX"/>
        </w:rPr>
        <w:footnoteReference w:id="85"/>
      </w:r>
      <w:r w:rsidRPr="00E320CE">
        <w:rPr>
          <w:rFonts w:eastAsia="SimSun"/>
          <w:sz w:val="28"/>
          <w:szCs w:val="28"/>
          <w:lang w:val="es-MX"/>
        </w:rPr>
        <w:t xml:space="preserve">. </w:t>
      </w:r>
    </w:p>
    <w:p w14:paraId="43930D13" w14:textId="77777777" w:rsidR="00F65FB5" w:rsidRPr="00E320CE" w:rsidRDefault="00F65FB5" w:rsidP="00B07ED3">
      <w:pPr>
        <w:pStyle w:val="Prrafodelista"/>
        <w:autoSpaceDE/>
        <w:autoSpaceDN/>
        <w:ind w:left="0"/>
        <w:contextualSpacing w:val="0"/>
        <w:jc w:val="both"/>
        <w:rPr>
          <w:rFonts w:eastAsia="SimSun"/>
          <w:sz w:val="28"/>
          <w:szCs w:val="28"/>
          <w:lang w:val="es-MX"/>
        </w:rPr>
      </w:pPr>
    </w:p>
    <w:p w14:paraId="135A8C19" w14:textId="0EB12B42" w:rsidR="00F65FB5" w:rsidRPr="00E320CE" w:rsidRDefault="00F65FB5" w:rsidP="009E25EE">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 Sobre la materia, esta Corporación se ha pronunciado sobre el efecto de cosa juzgada constitucional de los fallos que dicta la Corte en ejercicio de su control jurisdiccional, de conformidad con lo establecido en el artículo 243 de la Constitución</w:t>
      </w:r>
      <w:r w:rsidRPr="00E320CE">
        <w:rPr>
          <w:rStyle w:val="Refdenotaalpie"/>
          <w:rFonts w:eastAsia="SimSun"/>
          <w:sz w:val="28"/>
          <w:szCs w:val="28"/>
          <w:lang w:val="es-MX"/>
        </w:rPr>
        <w:footnoteReference w:id="86"/>
      </w:r>
      <w:r w:rsidRPr="00E320CE">
        <w:rPr>
          <w:rFonts w:eastAsia="SimSun"/>
          <w:sz w:val="28"/>
          <w:szCs w:val="28"/>
          <w:lang w:val="es-MX"/>
        </w:rPr>
        <w:t>. Por esta razón, el artículo 37 del Decreto 2591 de 1991 establece que aquel que interpo</w:t>
      </w:r>
      <w:r w:rsidR="00D64B64" w:rsidRPr="00E320CE">
        <w:rPr>
          <w:rFonts w:eastAsia="SimSun"/>
          <w:sz w:val="28"/>
          <w:szCs w:val="28"/>
          <w:lang w:val="es-MX"/>
        </w:rPr>
        <w:t>ng</w:t>
      </w:r>
      <w:r w:rsidRPr="00E320CE">
        <w:rPr>
          <w:rFonts w:eastAsia="SimSun"/>
          <w:sz w:val="28"/>
          <w:szCs w:val="28"/>
          <w:lang w:val="es-MX"/>
        </w:rPr>
        <w:t xml:space="preserve">a la acción de tutela deberá manifestar, bajo la gravedad de juramento, “que no ha presentado otra tutela por los mismos hechos y derechos”. </w:t>
      </w:r>
    </w:p>
    <w:p w14:paraId="360463EB" w14:textId="77777777" w:rsidR="009E25EE" w:rsidRPr="00E320CE" w:rsidRDefault="009E25EE" w:rsidP="009E25EE">
      <w:pPr>
        <w:pStyle w:val="Prrafodelista"/>
        <w:autoSpaceDE/>
        <w:autoSpaceDN/>
        <w:ind w:left="0"/>
        <w:contextualSpacing w:val="0"/>
        <w:jc w:val="both"/>
        <w:rPr>
          <w:rFonts w:eastAsia="SimSun"/>
          <w:sz w:val="28"/>
          <w:szCs w:val="28"/>
          <w:lang w:val="es-MX"/>
        </w:rPr>
      </w:pPr>
    </w:p>
    <w:p w14:paraId="63B77060" w14:textId="5F6E3FE0" w:rsidR="00F65FB5" w:rsidRPr="00E320CE" w:rsidRDefault="00F65FB5" w:rsidP="009E25EE">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En esa línea, el fenómeno de cosa juzgada tiene como finalidad evitar que se reabran discusiones que ya fueron dirimidas por una autoridad judicial, mediante sentencias que se encuentran ejecutoriadas y, por ello, tienen el carácter de inmutables, vinculantes y definitivas. Así las cosas, de acuerdo </w:t>
      </w:r>
      <w:r w:rsidRPr="00E320CE">
        <w:rPr>
          <w:sz w:val="28"/>
          <w:szCs w:val="28"/>
        </w:rPr>
        <w:t>con el artículo 38 del Decreto 2591 de 1991, “[c]</w:t>
      </w:r>
      <w:proofErr w:type="spellStart"/>
      <w:r w:rsidRPr="00E320CE">
        <w:rPr>
          <w:sz w:val="28"/>
          <w:szCs w:val="28"/>
        </w:rPr>
        <w:t>uando</w:t>
      </w:r>
      <w:proofErr w:type="spellEnd"/>
      <w:r w:rsidRPr="00E320CE">
        <w:rPr>
          <w:sz w:val="28"/>
          <w:szCs w:val="28"/>
        </w:rPr>
        <w:t xml:space="preserve">, sin motivo expresamente justificado, la misma acción de tutela sea presentada por la misma persona o su representante ante varios jueces o tribunales, se rechazarán o decidirán desfavorablemente todas las solicitudes”. </w:t>
      </w:r>
    </w:p>
    <w:p w14:paraId="07CC0A7E" w14:textId="77777777" w:rsidR="009E25EE" w:rsidRPr="00E320CE" w:rsidRDefault="009E25EE" w:rsidP="009E25EE">
      <w:pPr>
        <w:pStyle w:val="Prrafodelista"/>
        <w:autoSpaceDE/>
        <w:autoSpaceDN/>
        <w:ind w:left="0"/>
        <w:contextualSpacing w:val="0"/>
        <w:jc w:val="both"/>
        <w:rPr>
          <w:rFonts w:eastAsia="SimSun"/>
          <w:sz w:val="28"/>
          <w:szCs w:val="28"/>
          <w:lang w:val="es-MX"/>
        </w:rPr>
      </w:pPr>
    </w:p>
    <w:p w14:paraId="0F5EEEAA" w14:textId="20B795C7" w:rsidR="00F65FB5" w:rsidRPr="00E320CE" w:rsidRDefault="00F65FB5" w:rsidP="00F65FB5">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rPr>
        <w:t>Bajo esa premisa, la</w:t>
      </w:r>
      <w:r w:rsidR="009E25EE" w:rsidRPr="00E320CE">
        <w:rPr>
          <w:sz w:val="28"/>
          <w:szCs w:val="28"/>
        </w:rPr>
        <w:t xml:space="preserve"> </w:t>
      </w:r>
      <w:r w:rsidRPr="00E320CE">
        <w:rPr>
          <w:sz w:val="28"/>
          <w:szCs w:val="28"/>
        </w:rPr>
        <w:t xml:space="preserve">Corte Constitucional ha definido los criterios que se deben tener en cuenta para analizar la posible configuración del efecto de cosa juzgada constitucional. Con ese propósito, es esencial que se presente una identidad </w:t>
      </w:r>
      <w:r w:rsidR="00D33A6E" w:rsidRPr="00E320CE">
        <w:rPr>
          <w:sz w:val="28"/>
          <w:szCs w:val="28"/>
        </w:rPr>
        <w:t>entre los</w:t>
      </w:r>
      <w:r w:rsidRPr="00E320CE">
        <w:rPr>
          <w:sz w:val="28"/>
          <w:szCs w:val="28"/>
        </w:rPr>
        <w:t xml:space="preserve"> procesos, de forma que las acciones de tutela presentadas simultánea o sucesivamente tengan las mismas partes, la </w:t>
      </w:r>
      <w:proofErr w:type="gramStart"/>
      <w:r w:rsidRPr="00E320CE">
        <w:rPr>
          <w:sz w:val="28"/>
          <w:szCs w:val="28"/>
        </w:rPr>
        <w:t>misma causa y la misma solicitud</w:t>
      </w:r>
      <w:proofErr w:type="gramEnd"/>
      <w:r w:rsidRPr="00E320CE">
        <w:rPr>
          <w:rStyle w:val="Refdenotaalpie"/>
          <w:sz w:val="28"/>
          <w:szCs w:val="28"/>
        </w:rPr>
        <w:footnoteReference w:id="87"/>
      </w:r>
      <w:r w:rsidRPr="00E320CE">
        <w:rPr>
          <w:sz w:val="28"/>
          <w:szCs w:val="28"/>
        </w:rPr>
        <w:t>. El contenido específico de</w:t>
      </w:r>
      <w:r w:rsidR="000E37CD" w:rsidRPr="00E320CE">
        <w:rPr>
          <w:sz w:val="28"/>
          <w:szCs w:val="28"/>
        </w:rPr>
        <w:t xml:space="preserve"> esta triple identidad</w:t>
      </w:r>
      <w:r w:rsidRPr="00E320CE">
        <w:rPr>
          <w:sz w:val="28"/>
          <w:szCs w:val="28"/>
        </w:rPr>
        <w:t xml:space="preserve"> es: </w:t>
      </w:r>
    </w:p>
    <w:p w14:paraId="47F6B6CA" w14:textId="77777777" w:rsidR="00F65FB5" w:rsidRPr="00E320CE" w:rsidRDefault="00F65FB5" w:rsidP="00F65FB5">
      <w:pPr>
        <w:autoSpaceDE/>
        <w:autoSpaceDN/>
        <w:jc w:val="both"/>
        <w:rPr>
          <w:rFonts w:eastAsia="SimSun"/>
          <w:sz w:val="28"/>
          <w:szCs w:val="28"/>
          <w:lang w:val="es-MX"/>
        </w:rPr>
      </w:pPr>
    </w:p>
    <w:p w14:paraId="0A3AE291" w14:textId="77777777" w:rsidR="00245CF4" w:rsidRPr="00E320CE" w:rsidRDefault="00F65FB5" w:rsidP="00F65FB5">
      <w:pPr>
        <w:pStyle w:val="Lista"/>
        <w:ind w:left="708" w:firstLine="0"/>
        <w:rPr>
          <w:lang w:val="es-CO"/>
        </w:rPr>
      </w:pPr>
      <w:r w:rsidRPr="00E320CE">
        <w:t>“</w:t>
      </w:r>
      <w:r w:rsidRPr="00E320CE">
        <w:rPr>
          <w:lang w:val="es-CO"/>
        </w:rPr>
        <w:t>(i) La </w:t>
      </w:r>
      <w:r w:rsidRPr="00E320CE">
        <w:rPr>
          <w:b/>
          <w:lang w:val="es-CO"/>
        </w:rPr>
        <w:t>identidad de partes</w:t>
      </w:r>
      <w:r w:rsidRPr="00E320CE">
        <w:rPr>
          <w:lang w:val="es-CO"/>
        </w:rPr>
        <w:t>, es decir, que ambas acciones de tutela se dirijan contra el mismo demandado y, a su vez, sean propuestas por el mismo sujeto en su condición de persona natural, ya sea obrando a nombre propio o a través de apoderado judicial, o por la misma persona jurídica a través de cualquiera de sus representantes legales.</w:t>
      </w:r>
    </w:p>
    <w:p w14:paraId="5ECF44B7" w14:textId="4B8A0DA9" w:rsidR="00F65FB5" w:rsidRPr="00E320CE" w:rsidRDefault="00F65FB5" w:rsidP="00F65FB5">
      <w:pPr>
        <w:pStyle w:val="Lista"/>
        <w:ind w:left="708" w:firstLine="0"/>
        <w:rPr>
          <w:lang w:val="es-CO"/>
        </w:rPr>
      </w:pPr>
      <w:r w:rsidRPr="00E320CE">
        <w:rPr>
          <w:lang w:val="es-CO"/>
        </w:rPr>
        <w:t> </w:t>
      </w:r>
    </w:p>
    <w:p w14:paraId="508BF872" w14:textId="77777777" w:rsidR="00F65FB5" w:rsidRPr="00E320CE" w:rsidRDefault="00F65FB5" w:rsidP="00F65FB5">
      <w:pPr>
        <w:pStyle w:val="Lista"/>
        <w:ind w:left="708" w:firstLine="0"/>
        <w:rPr>
          <w:lang w:val="es-CO"/>
        </w:rPr>
      </w:pPr>
      <w:r w:rsidRPr="00E320CE">
        <w:rPr>
          <w:lang w:val="es-CO"/>
        </w:rPr>
        <w:t>(</w:t>
      </w:r>
      <w:proofErr w:type="spellStart"/>
      <w:r w:rsidRPr="00E320CE">
        <w:rPr>
          <w:lang w:val="es-CO"/>
        </w:rPr>
        <w:t>ii</w:t>
      </w:r>
      <w:proofErr w:type="spellEnd"/>
      <w:r w:rsidRPr="00E320CE">
        <w:rPr>
          <w:lang w:val="es-CO"/>
        </w:rPr>
        <w:t>) la </w:t>
      </w:r>
      <w:r w:rsidRPr="00E320CE">
        <w:rPr>
          <w:b/>
          <w:lang w:val="es-CO"/>
        </w:rPr>
        <w:t>identidad de causa petendi</w:t>
      </w:r>
      <w:r w:rsidRPr="00E320CE">
        <w:rPr>
          <w:lang w:val="es-CO"/>
        </w:rPr>
        <w:t>, es decir, que el ejercicio repetido de la acción se fundamente en unos mismos hechos que le sirvan de causa; </w:t>
      </w:r>
    </w:p>
    <w:p w14:paraId="16612ED3" w14:textId="77777777" w:rsidR="00245CF4" w:rsidRPr="00E320CE" w:rsidRDefault="00245CF4" w:rsidP="00F65FB5">
      <w:pPr>
        <w:pStyle w:val="Lista"/>
        <w:ind w:left="708" w:firstLine="0"/>
        <w:rPr>
          <w:lang w:val="es-CO"/>
        </w:rPr>
      </w:pPr>
    </w:p>
    <w:p w14:paraId="24C710B2" w14:textId="77777777" w:rsidR="00F65FB5" w:rsidRPr="00E320CE" w:rsidRDefault="00F65FB5" w:rsidP="00F65FB5">
      <w:pPr>
        <w:pStyle w:val="Lista"/>
        <w:ind w:left="708" w:firstLine="1"/>
        <w:rPr>
          <w:lang w:val="es-CO"/>
        </w:rPr>
      </w:pPr>
      <w:r w:rsidRPr="00E320CE">
        <w:rPr>
          <w:lang w:val="es-CO"/>
        </w:rPr>
        <w:t>(</w:t>
      </w:r>
      <w:proofErr w:type="spellStart"/>
      <w:r w:rsidRPr="00E320CE">
        <w:rPr>
          <w:lang w:val="es-CO"/>
        </w:rPr>
        <w:t>iii</w:t>
      </w:r>
      <w:proofErr w:type="spellEnd"/>
      <w:r w:rsidRPr="00E320CE">
        <w:rPr>
          <w:lang w:val="es-CO"/>
        </w:rPr>
        <w:t>) la </w:t>
      </w:r>
      <w:r w:rsidRPr="00E320CE">
        <w:rPr>
          <w:b/>
          <w:bCs/>
          <w:lang w:val="es-CO"/>
        </w:rPr>
        <w:t>identidad de objeto</w:t>
      </w:r>
      <w:r w:rsidRPr="00E320CE">
        <w:rPr>
          <w:lang w:val="es-CO"/>
        </w:rPr>
        <w:t>, esto es, que las demandas busquen la satisfacción de una misma pretensión tutelar o sobre todo el amparo de un mismo derecho fundamental”</w:t>
      </w:r>
      <w:r w:rsidRPr="00E320CE">
        <w:rPr>
          <w:rStyle w:val="Refdenotaalpie"/>
        </w:rPr>
        <w:footnoteReference w:id="88"/>
      </w:r>
      <w:r w:rsidRPr="00E320CE">
        <w:rPr>
          <w:lang w:val="es-CO"/>
        </w:rPr>
        <w:t>.</w:t>
      </w:r>
    </w:p>
    <w:p w14:paraId="13AFF67C" w14:textId="77777777" w:rsidR="000D7456" w:rsidRPr="00E320CE" w:rsidRDefault="000D7456" w:rsidP="000D7456">
      <w:pPr>
        <w:pStyle w:val="Prrafodelista"/>
        <w:autoSpaceDE/>
        <w:autoSpaceDN/>
        <w:ind w:left="0"/>
        <w:contextualSpacing w:val="0"/>
        <w:jc w:val="both"/>
        <w:rPr>
          <w:rFonts w:eastAsia="SimSun"/>
          <w:sz w:val="28"/>
          <w:szCs w:val="28"/>
          <w:lang w:val="es-MX"/>
        </w:rPr>
      </w:pPr>
    </w:p>
    <w:p w14:paraId="1B9B5A23" w14:textId="31C262B8" w:rsidR="00F65FB5" w:rsidRPr="00E320CE" w:rsidRDefault="00AD13F3" w:rsidP="000D7456">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rPr>
        <w:t>Si se presenta</w:t>
      </w:r>
      <w:r w:rsidR="00F65FB5" w:rsidRPr="00E320CE">
        <w:rPr>
          <w:sz w:val="28"/>
          <w:szCs w:val="28"/>
        </w:rPr>
        <w:t xml:space="preserve"> esta triple identidad, el juez deberá declarar la improcedencia de la acción de tutela.</w:t>
      </w:r>
      <w:r w:rsidR="000D7456" w:rsidRPr="00E320CE">
        <w:rPr>
          <w:sz w:val="28"/>
          <w:szCs w:val="28"/>
        </w:rPr>
        <w:t xml:space="preserve"> </w:t>
      </w:r>
      <w:r w:rsidR="003E2CA8" w:rsidRPr="00E320CE">
        <w:rPr>
          <w:sz w:val="28"/>
          <w:szCs w:val="28"/>
        </w:rPr>
        <w:t xml:space="preserve">Es </w:t>
      </w:r>
      <w:r w:rsidR="000D7456" w:rsidRPr="00E320CE">
        <w:rPr>
          <w:sz w:val="28"/>
          <w:szCs w:val="28"/>
        </w:rPr>
        <w:t xml:space="preserve">importante reiterar que, </w:t>
      </w:r>
      <w:r w:rsidR="000D7456" w:rsidRPr="00E320CE">
        <w:rPr>
          <w:rFonts w:eastAsia="SimSun"/>
          <w:sz w:val="28"/>
          <w:szCs w:val="28"/>
          <w:lang w:val="es-MX"/>
        </w:rPr>
        <w:t xml:space="preserve">en casos relacionados con </w:t>
      </w:r>
      <w:r w:rsidR="002546C8" w:rsidRPr="00E320CE">
        <w:rPr>
          <w:rFonts w:eastAsia="SimSun"/>
          <w:sz w:val="28"/>
          <w:szCs w:val="28"/>
          <w:lang w:val="es-MX"/>
        </w:rPr>
        <w:t>sujetos de protección constitucional por</w:t>
      </w:r>
      <w:r w:rsidRPr="00E320CE">
        <w:rPr>
          <w:rFonts w:eastAsia="SimSun"/>
          <w:sz w:val="28"/>
          <w:szCs w:val="28"/>
          <w:lang w:val="es-MX"/>
        </w:rPr>
        <w:t xml:space="preserve"> razones</w:t>
      </w:r>
      <w:r w:rsidR="000D7456" w:rsidRPr="00E320CE">
        <w:rPr>
          <w:rFonts w:eastAsia="SimSun"/>
          <w:sz w:val="28"/>
          <w:szCs w:val="28"/>
          <w:lang w:val="es-MX"/>
        </w:rPr>
        <w:t xml:space="preserve"> de salud, la Corte Constitucional </w:t>
      </w:r>
      <w:r w:rsidRPr="00E320CE">
        <w:rPr>
          <w:rFonts w:eastAsia="SimSun"/>
          <w:sz w:val="28"/>
          <w:szCs w:val="28"/>
          <w:lang w:val="es-MX"/>
        </w:rPr>
        <w:t xml:space="preserve">ha reconocido </w:t>
      </w:r>
      <w:r w:rsidR="000D7456" w:rsidRPr="00E320CE">
        <w:rPr>
          <w:rFonts w:eastAsia="SimSun"/>
          <w:sz w:val="28"/>
          <w:szCs w:val="28"/>
          <w:lang w:val="es-MX"/>
        </w:rPr>
        <w:t>que pueden existir coincidencias parciales en el objeto</w:t>
      </w:r>
      <w:r w:rsidRPr="00E320CE">
        <w:rPr>
          <w:rFonts w:eastAsia="SimSun"/>
          <w:sz w:val="28"/>
          <w:szCs w:val="28"/>
          <w:lang w:val="es-MX"/>
        </w:rPr>
        <w:t xml:space="preserve"> y las partes</w:t>
      </w:r>
      <w:r w:rsidR="000D7456" w:rsidRPr="00E320CE">
        <w:rPr>
          <w:rFonts w:eastAsia="SimSun"/>
          <w:sz w:val="28"/>
          <w:szCs w:val="28"/>
          <w:lang w:val="es-MX"/>
        </w:rPr>
        <w:t xml:space="preserve"> de las</w:t>
      </w:r>
      <w:r w:rsidRPr="00E320CE">
        <w:rPr>
          <w:rFonts w:eastAsia="SimSun"/>
          <w:sz w:val="28"/>
          <w:szCs w:val="28"/>
          <w:lang w:val="es-MX"/>
        </w:rPr>
        <w:t xml:space="preserve"> acciones</w:t>
      </w:r>
      <w:r w:rsidR="000D7456" w:rsidRPr="00E320CE">
        <w:rPr>
          <w:rFonts w:eastAsia="SimSun"/>
          <w:sz w:val="28"/>
          <w:szCs w:val="28"/>
          <w:lang w:val="es-MX"/>
        </w:rPr>
        <w:t xml:space="preserve"> tutela</w:t>
      </w:r>
      <w:r w:rsidR="003E2CA8" w:rsidRPr="00E320CE">
        <w:rPr>
          <w:rStyle w:val="Refdenotaalpie"/>
          <w:rFonts w:eastAsia="SimSun"/>
          <w:sz w:val="28"/>
          <w:szCs w:val="28"/>
          <w:lang w:val="es-MX"/>
        </w:rPr>
        <w:footnoteReference w:id="89"/>
      </w:r>
      <w:r w:rsidR="003E2CA8" w:rsidRPr="00E320CE">
        <w:rPr>
          <w:rFonts w:eastAsia="SimSun"/>
          <w:sz w:val="28"/>
          <w:szCs w:val="28"/>
          <w:lang w:val="es-MX"/>
        </w:rPr>
        <w:t xml:space="preserve">. Sin embargo, </w:t>
      </w:r>
      <w:r w:rsidRPr="00E320CE">
        <w:rPr>
          <w:rFonts w:eastAsia="SimSun"/>
          <w:sz w:val="28"/>
          <w:szCs w:val="28"/>
          <w:lang w:val="es-MX"/>
        </w:rPr>
        <w:t>cuando</w:t>
      </w:r>
      <w:r w:rsidR="003E2CA8" w:rsidRPr="00E320CE">
        <w:rPr>
          <w:rFonts w:eastAsia="SimSun"/>
          <w:sz w:val="28"/>
          <w:szCs w:val="28"/>
          <w:lang w:val="es-MX"/>
        </w:rPr>
        <w:t xml:space="preserve"> las pretensiones </w:t>
      </w:r>
      <w:r w:rsidR="00A137DF" w:rsidRPr="00E320CE">
        <w:rPr>
          <w:rFonts w:eastAsia="SimSun"/>
          <w:sz w:val="28"/>
          <w:szCs w:val="28"/>
          <w:lang w:val="es-MX"/>
        </w:rPr>
        <w:t xml:space="preserve">se </w:t>
      </w:r>
      <w:r w:rsidRPr="00E320CE">
        <w:rPr>
          <w:rFonts w:eastAsia="SimSun"/>
          <w:sz w:val="28"/>
          <w:szCs w:val="28"/>
          <w:lang w:val="es-MX"/>
        </w:rPr>
        <w:t>fundamentan</w:t>
      </w:r>
      <w:r w:rsidR="00A137DF" w:rsidRPr="00E320CE">
        <w:rPr>
          <w:rFonts w:eastAsia="SimSun"/>
          <w:sz w:val="28"/>
          <w:szCs w:val="28"/>
          <w:lang w:val="es-MX"/>
        </w:rPr>
        <w:t xml:space="preserve"> </w:t>
      </w:r>
      <w:r w:rsidR="003E2CA8" w:rsidRPr="00E320CE">
        <w:rPr>
          <w:rFonts w:eastAsia="SimSun"/>
          <w:sz w:val="28"/>
          <w:szCs w:val="28"/>
          <w:lang w:val="es-MX"/>
        </w:rPr>
        <w:t xml:space="preserve">en </w:t>
      </w:r>
      <w:r w:rsidRPr="00E320CE">
        <w:rPr>
          <w:rFonts w:eastAsia="SimSun"/>
          <w:sz w:val="28"/>
          <w:szCs w:val="28"/>
          <w:lang w:val="es-MX"/>
        </w:rPr>
        <w:t xml:space="preserve">hechos </w:t>
      </w:r>
      <w:r w:rsidR="003E2CA8" w:rsidRPr="00E320CE">
        <w:rPr>
          <w:rFonts w:eastAsia="SimSun"/>
          <w:sz w:val="28"/>
          <w:szCs w:val="28"/>
          <w:lang w:val="es-MX"/>
        </w:rPr>
        <w:t>nuevos y distinto</w:t>
      </w:r>
      <w:r w:rsidR="00861498" w:rsidRPr="00E320CE">
        <w:rPr>
          <w:rFonts w:eastAsia="SimSun"/>
          <w:sz w:val="28"/>
          <w:szCs w:val="28"/>
          <w:lang w:val="es-MX"/>
        </w:rPr>
        <w:t>s</w:t>
      </w:r>
      <w:r w:rsidR="002546C8" w:rsidRPr="00E320CE">
        <w:rPr>
          <w:rFonts w:eastAsia="SimSun"/>
          <w:sz w:val="28"/>
          <w:szCs w:val="28"/>
          <w:lang w:val="es-MX"/>
        </w:rPr>
        <w:t xml:space="preserve"> </w:t>
      </w:r>
      <w:r w:rsidR="003E2CA8" w:rsidRPr="00E320CE">
        <w:rPr>
          <w:rFonts w:eastAsia="SimSun"/>
          <w:sz w:val="28"/>
          <w:szCs w:val="28"/>
          <w:lang w:val="es-MX"/>
        </w:rPr>
        <w:t>–</w:t>
      </w:r>
      <w:r w:rsidRPr="00E320CE">
        <w:rPr>
          <w:rFonts w:eastAsia="SimSun"/>
          <w:sz w:val="28"/>
          <w:szCs w:val="28"/>
          <w:lang w:val="es-MX"/>
        </w:rPr>
        <w:t>como</w:t>
      </w:r>
      <w:r w:rsidR="003E2CA8" w:rsidRPr="00E320CE">
        <w:rPr>
          <w:rFonts w:eastAsia="SimSun"/>
          <w:sz w:val="28"/>
          <w:szCs w:val="28"/>
          <w:lang w:val="es-MX"/>
        </w:rPr>
        <w:t xml:space="preserve"> </w:t>
      </w:r>
      <w:r w:rsidR="00D05B13" w:rsidRPr="00E320CE">
        <w:rPr>
          <w:rFonts w:eastAsia="SimSun"/>
          <w:sz w:val="28"/>
          <w:szCs w:val="28"/>
          <w:lang w:val="es-MX"/>
        </w:rPr>
        <w:t xml:space="preserve">nuevos </w:t>
      </w:r>
      <w:r w:rsidR="003E2CA8" w:rsidRPr="00E320CE">
        <w:rPr>
          <w:rFonts w:eastAsia="SimSun"/>
          <w:sz w:val="28"/>
          <w:szCs w:val="28"/>
          <w:lang w:val="es-MX"/>
        </w:rPr>
        <w:t xml:space="preserve">diagnósticos, </w:t>
      </w:r>
      <w:proofErr w:type="spellStart"/>
      <w:r w:rsidR="00A137DF" w:rsidRPr="00E320CE">
        <w:rPr>
          <w:rFonts w:eastAsia="SimSun"/>
          <w:sz w:val="28"/>
          <w:szCs w:val="28"/>
          <w:lang w:val="es-MX"/>
        </w:rPr>
        <w:t>órdenenes</w:t>
      </w:r>
      <w:proofErr w:type="spellEnd"/>
      <w:r w:rsidR="00A137DF" w:rsidRPr="00E320CE">
        <w:rPr>
          <w:rFonts w:eastAsia="SimSun"/>
          <w:sz w:val="28"/>
          <w:szCs w:val="28"/>
          <w:lang w:val="es-MX"/>
        </w:rPr>
        <w:t xml:space="preserve"> m</w:t>
      </w:r>
      <w:r w:rsidR="002546C8" w:rsidRPr="00E320CE">
        <w:rPr>
          <w:rFonts w:eastAsia="SimSun"/>
          <w:sz w:val="28"/>
          <w:szCs w:val="28"/>
          <w:lang w:val="es-MX"/>
        </w:rPr>
        <w:t>é</w:t>
      </w:r>
      <w:r w:rsidR="00A137DF" w:rsidRPr="00E320CE">
        <w:rPr>
          <w:rFonts w:eastAsia="SimSun"/>
          <w:sz w:val="28"/>
          <w:szCs w:val="28"/>
          <w:lang w:val="es-MX"/>
        </w:rPr>
        <w:t>dicas</w:t>
      </w:r>
      <w:r w:rsidRPr="00E320CE">
        <w:rPr>
          <w:rFonts w:eastAsia="SimSun"/>
          <w:sz w:val="28"/>
          <w:szCs w:val="28"/>
          <w:lang w:val="es-MX"/>
        </w:rPr>
        <w:t xml:space="preserve"> o</w:t>
      </w:r>
      <w:r w:rsidR="00A137DF" w:rsidRPr="00E320CE">
        <w:rPr>
          <w:rFonts w:eastAsia="SimSun"/>
          <w:sz w:val="28"/>
          <w:szCs w:val="28"/>
          <w:lang w:val="es-MX"/>
        </w:rPr>
        <w:t xml:space="preserve"> </w:t>
      </w:r>
      <w:r w:rsidR="003E2CA8" w:rsidRPr="00E320CE">
        <w:rPr>
          <w:rFonts w:eastAsia="SimSun"/>
          <w:sz w:val="28"/>
          <w:szCs w:val="28"/>
          <w:lang w:val="es-MX"/>
        </w:rPr>
        <w:t>terminaciones, entre otros–</w:t>
      </w:r>
      <w:r w:rsidR="002546C8" w:rsidRPr="00E320CE">
        <w:rPr>
          <w:rFonts w:eastAsia="SimSun"/>
          <w:sz w:val="28"/>
          <w:szCs w:val="28"/>
          <w:lang w:val="es-MX"/>
        </w:rPr>
        <w:t xml:space="preserve"> </w:t>
      </w:r>
      <w:r w:rsidRPr="00E320CE">
        <w:rPr>
          <w:rFonts w:eastAsia="SimSun"/>
          <w:sz w:val="28"/>
          <w:szCs w:val="28"/>
          <w:lang w:val="es-MX"/>
        </w:rPr>
        <w:t xml:space="preserve">no se configura </w:t>
      </w:r>
      <w:r w:rsidR="003E2CA8" w:rsidRPr="00E320CE">
        <w:rPr>
          <w:rFonts w:eastAsia="SimSun"/>
          <w:sz w:val="28"/>
          <w:szCs w:val="28"/>
          <w:lang w:val="es-MX"/>
        </w:rPr>
        <w:t xml:space="preserve">identidad de causa y, por </w:t>
      </w:r>
      <w:r w:rsidRPr="00E320CE">
        <w:rPr>
          <w:rFonts w:eastAsia="SimSun"/>
          <w:sz w:val="28"/>
          <w:szCs w:val="28"/>
          <w:lang w:val="es-MX"/>
        </w:rPr>
        <w:t xml:space="preserve">lo tanto, </w:t>
      </w:r>
      <w:r w:rsidR="003E2CA8" w:rsidRPr="00E320CE">
        <w:rPr>
          <w:rFonts w:eastAsia="SimSun"/>
          <w:sz w:val="28"/>
          <w:szCs w:val="28"/>
          <w:lang w:val="es-MX"/>
        </w:rPr>
        <w:t xml:space="preserve">no </w:t>
      </w:r>
      <w:r w:rsidRPr="00E320CE">
        <w:rPr>
          <w:rFonts w:eastAsia="SimSun"/>
          <w:sz w:val="28"/>
          <w:szCs w:val="28"/>
          <w:lang w:val="es-MX"/>
        </w:rPr>
        <w:t xml:space="preserve">opera </w:t>
      </w:r>
      <w:r w:rsidR="002546C8" w:rsidRPr="00E320CE">
        <w:rPr>
          <w:rFonts w:eastAsia="SimSun"/>
          <w:sz w:val="28"/>
          <w:szCs w:val="28"/>
          <w:lang w:val="es-MX"/>
        </w:rPr>
        <w:t>el efecto de</w:t>
      </w:r>
      <w:r w:rsidR="003E2CA8" w:rsidRPr="00E320CE">
        <w:rPr>
          <w:rFonts w:eastAsia="SimSun"/>
          <w:sz w:val="28"/>
          <w:szCs w:val="28"/>
          <w:lang w:val="es-MX"/>
        </w:rPr>
        <w:t xml:space="preserve"> cosa juzgada.</w:t>
      </w:r>
    </w:p>
    <w:p w14:paraId="31DDA16B" w14:textId="77777777" w:rsidR="00F65FB5" w:rsidRPr="00E320CE" w:rsidRDefault="00F65FB5" w:rsidP="00F65FB5">
      <w:pPr>
        <w:pStyle w:val="Prrafodelista"/>
        <w:autoSpaceDE/>
        <w:autoSpaceDN/>
        <w:ind w:left="0"/>
        <w:contextualSpacing w:val="0"/>
        <w:jc w:val="both"/>
        <w:rPr>
          <w:rFonts w:eastAsia="SimSun"/>
          <w:sz w:val="28"/>
          <w:szCs w:val="28"/>
          <w:lang w:val="es-MX"/>
        </w:rPr>
      </w:pPr>
    </w:p>
    <w:p w14:paraId="1E866243" w14:textId="77777777" w:rsidR="00F65FB5" w:rsidRPr="00E320CE" w:rsidRDefault="00F65FB5" w:rsidP="00F65FB5">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rPr>
        <w:t>A partir de los hechos expuestos, la Sala Primera de Revisión encuentra que no existe una identidad de procesos como se observa en la siguiente tabla:</w:t>
      </w:r>
    </w:p>
    <w:p w14:paraId="24745665" w14:textId="77777777" w:rsidR="00F65FB5" w:rsidRPr="00E320CE" w:rsidRDefault="00F65FB5" w:rsidP="00F65FB5">
      <w:pPr>
        <w:pStyle w:val="Prrafodelista"/>
        <w:rPr>
          <w:rFonts w:eastAsia="SimSun"/>
          <w:sz w:val="28"/>
          <w:szCs w:val="28"/>
          <w:lang w:val="es-MX"/>
        </w:rPr>
      </w:pPr>
    </w:p>
    <w:tbl>
      <w:tblPr>
        <w:tblStyle w:val="Tablaconcuadrcula"/>
        <w:tblW w:w="0" w:type="auto"/>
        <w:tblLook w:val="04A0" w:firstRow="1" w:lastRow="0" w:firstColumn="1" w:lastColumn="0" w:noHBand="0" w:noVBand="1"/>
      </w:tblPr>
      <w:tblGrid>
        <w:gridCol w:w="1555"/>
        <w:gridCol w:w="3685"/>
        <w:gridCol w:w="3588"/>
      </w:tblGrid>
      <w:tr w:rsidR="00F65FB5" w:rsidRPr="00E320CE" w14:paraId="44B7F10D" w14:textId="77777777">
        <w:tc>
          <w:tcPr>
            <w:tcW w:w="8828" w:type="dxa"/>
            <w:gridSpan w:val="3"/>
          </w:tcPr>
          <w:p w14:paraId="1E23210F" w14:textId="77777777" w:rsidR="00F65FB5" w:rsidRPr="00E320CE" w:rsidRDefault="00F65FB5">
            <w:pPr>
              <w:autoSpaceDE/>
              <w:autoSpaceDN/>
              <w:jc w:val="center"/>
              <w:rPr>
                <w:rFonts w:eastAsia="SimSun"/>
                <w:b/>
                <w:bCs/>
                <w:sz w:val="24"/>
                <w:szCs w:val="24"/>
                <w:lang w:val="es-MX"/>
              </w:rPr>
            </w:pPr>
            <w:r w:rsidRPr="00E320CE">
              <w:rPr>
                <w:rFonts w:eastAsia="SimSun"/>
                <w:b/>
                <w:bCs/>
                <w:sz w:val="24"/>
                <w:szCs w:val="24"/>
                <w:lang w:val="es-MX"/>
              </w:rPr>
              <w:t>Verificación de los tres presupuestos para la configuración de una identidad de procesos y, por ende, de la cosa juzgada constitucional</w:t>
            </w:r>
          </w:p>
        </w:tc>
      </w:tr>
      <w:tr w:rsidR="00F65FB5" w:rsidRPr="00E320CE" w14:paraId="0DEB0B04" w14:textId="77777777">
        <w:tc>
          <w:tcPr>
            <w:tcW w:w="1555" w:type="dxa"/>
          </w:tcPr>
          <w:p w14:paraId="5FA746D4" w14:textId="77777777" w:rsidR="00F65FB5" w:rsidRPr="00E320CE" w:rsidRDefault="00F65FB5">
            <w:pPr>
              <w:autoSpaceDE/>
              <w:autoSpaceDN/>
              <w:jc w:val="both"/>
              <w:rPr>
                <w:rFonts w:eastAsia="SimSun"/>
                <w:b/>
                <w:bCs/>
                <w:sz w:val="24"/>
                <w:szCs w:val="24"/>
                <w:lang w:val="es-MX"/>
              </w:rPr>
            </w:pPr>
            <w:r w:rsidRPr="00E320CE">
              <w:rPr>
                <w:rFonts w:eastAsia="SimSun"/>
                <w:b/>
                <w:bCs/>
                <w:sz w:val="24"/>
                <w:szCs w:val="24"/>
                <w:lang w:val="es-MX"/>
              </w:rPr>
              <w:t>Supuestos de identidad</w:t>
            </w:r>
          </w:p>
        </w:tc>
        <w:tc>
          <w:tcPr>
            <w:tcW w:w="3685" w:type="dxa"/>
          </w:tcPr>
          <w:p w14:paraId="2F551B51" w14:textId="77777777" w:rsidR="00F65FB5" w:rsidRPr="00E320CE" w:rsidRDefault="00F65FB5">
            <w:pPr>
              <w:autoSpaceDE/>
              <w:autoSpaceDN/>
              <w:jc w:val="center"/>
              <w:rPr>
                <w:rFonts w:eastAsia="SimSun"/>
                <w:sz w:val="24"/>
                <w:szCs w:val="24"/>
                <w:lang w:val="es-MX"/>
              </w:rPr>
            </w:pPr>
            <w:r w:rsidRPr="00E320CE">
              <w:rPr>
                <w:sz w:val="24"/>
                <w:szCs w:val="24"/>
              </w:rPr>
              <w:t>Juzgado Once Civil Municipal de Cartagena (rad 13001-40-03-011-2022-00480-00)</w:t>
            </w:r>
          </w:p>
        </w:tc>
        <w:tc>
          <w:tcPr>
            <w:tcW w:w="3588" w:type="dxa"/>
          </w:tcPr>
          <w:p w14:paraId="6F05C645" w14:textId="77777777" w:rsidR="00F65FB5" w:rsidRPr="00E320CE" w:rsidRDefault="00F65FB5">
            <w:pPr>
              <w:autoSpaceDE/>
              <w:autoSpaceDN/>
              <w:jc w:val="center"/>
              <w:rPr>
                <w:sz w:val="24"/>
                <w:szCs w:val="24"/>
                <w:lang w:val="es-CO"/>
              </w:rPr>
            </w:pPr>
            <w:r w:rsidRPr="00E320CE">
              <w:rPr>
                <w:sz w:val="24"/>
                <w:szCs w:val="24"/>
                <w:lang w:val="es-CO"/>
              </w:rPr>
              <w:t>Juzgado Primero Penal del Circuito de Cartagena con Funciones de Conocimiento (rad</w:t>
            </w:r>
          </w:p>
          <w:p w14:paraId="4B9428B8" w14:textId="77777777" w:rsidR="00F65FB5" w:rsidRPr="00E320CE" w:rsidRDefault="00F65FB5">
            <w:pPr>
              <w:autoSpaceDE/>
              <w:autoSpaceDN/>
              <w:jc w:val="center"/>
              <w:rPr>
                <w:rFonts w:eastAsia="SimSun"/>
                <w:sz w:val="24"/>
                <w:szCs w:val="24"/>
                <w:lang w:val="es-CO"/>
              </w:rPr>
            </w:pPr>
            <w:r w:rsidRPr="00E320CE">
              <w:rPr>
                <w:sz w:val="24"/>
                <w:szCs w:val="24"/>
                <w:lang w:val="es-CO"/>
              </w:rPr>
              <w:t>13001-31-09-001-2024-00060-00)</w:t>
            </w:r>
          </w:p>
        </w:tc>
      </w:tr>
      <w:tr w:rsidR="00F65FB5" w:rsidRPr="00E320CE" w14:paraId="20482E1C" w14:textId="77777777">
        <w:tc>
          <w:tcPr>
            <w:tcW w:w="1555" w:type="dxa"/>
          </w:tcPr>
          <w:p w14:paraId="0D1248B6" w14:textId="77777777" w:rsidR="00F65FB5" w:rsidRPr="00E320CE" w:rsidRDefault="00F65FB5">
            <w:pPr>
              <w:autoSpaceDE/>
              <w:autoSpaceDN/>
              <w:jc w:val="both"/>
              <w:rPr>
                <w:rFonts w:eastAsia="SimSun"/>
                <w:b/>
                <w:bCs/>
                <w:sz w:val="24"/>
                <w:szCs w:val="24"/>
                <w:lang w:val="es-MX"/>
              </w:rPr>
            </w:pPr>
            <w:r w:rsidRPr="00E320CE">
              <w:rPr>
                <w:rFonts w:eastAsia="SimSun"/>
                <w:b/>
                <w:bCs/>
                <w:sz w:val="24"/>
                <w:szCs w:val="24"/>
                <w:lang w:val="es-MX"/>
              </w:rPr>
              <w:t>Partes</w:t>
            </w:r>
          </w:p>
        </w:tc>
        <w:tc>
          <w:tcPr>
            <w:tcW w:w="3685" w:type="dxa"/>
          </w:tcPr>
          <w:p w14:paraId="117C20B2" w14:textId="77777777" w:rsidR="00F65FB5" w:rsidRPr="00E320CE" w:rsidRDefault="00F65FB5">
            <w:pPr>
              <w:autoSpaceDE/>
              <w:autoSpaceDN/>
              <w:jc w:val="both"/>
              <w:rPr>
                <w:rFonts w:eastAsia="SimSun"/>
                <w:i/>
                <w:iCs/>
                <w:sz w:val="24"/>
                <w:szCs w:val="24"/>
                <w:lang w:val="es-MX"/>
              </w:rPr>
            </w:pPr>
          </w:p>
          <w:p w14:paraId="61FF1771" w14:textId="4E563B7B" w:rsidR="00F65FB5" w:rsidRPr="00E320CE" w:rsidRDefault="00F65FB5">
            <w:pPr>
              <w:autoSpaceDE/>
              <w:autoSpaceDN/>
              <w:jc w:val="both"/>
              <w:rPr>
                <w:rFonts w:eastAsia="SimSun"/>
                <w:sz w:val="24"/>
                <w:szCs w:val="24"/>
                <w:lang w:val="es-MX"/>
              </w:rPr>
            </w:pPr>
            <w:r w:rsidRPr="00E320CE">
              <w:rPr>
                <w:rFonts w:eastAsia="SimSun"/>
                <w:i/>
                <w:iCs/>
                <w:sz w:val="24"/>
                <w:szCs w:val="24"/>
                <w:lang w:val="es-MX"/>
              </w:rPr>
              <w:t>Accionante</w:t>
            </w:r>
            <w:r w:rsidRPr="00E320CE">
              <w:rPr>
                <w:rFonts w:eastAsia="SimSun"/>
                <w:sz w:val="24"/>
                <w:szCs w:val="24"/>
                <w:lang w:val="es-MX"/>
              </w:rPr>
              <w:t xml:space="preserve">: </w:t>
            </w:r>
            <w:r w:rsidR="00E320CE" w:rsidRPr="00E320CE">
              <w:rPr>
                <w:rFonts w:eastAsia="SimSun"/>
                <w:i/>
                <w:iCs/>
                <w:sz w:val="24"/>
                <w:szCs w:val="24"/>
                <w:lang w:val="es-CO"/>
              </w:rPr>
              <w:t>Greta</w:t>
            </w:r>
          </w:p>
          <w:p w14:paraId="12332E88" w14:textId="77777777" w:rsidR="00F65FB5" w:rsidRPr="00E320CE" w:rsidRDefault="00F65FB5">
            <w:pPr>
              <w:autoSpaceDE/>
              <w:autoSpaceDN/>
              <w:jc w:val="both"/>
              <w:rPr>
                <w:rFonts w:eastAsia="SimSun"/>
                <w:sz w:val="24"/>
                <w:szCs w:val="24"/>
                <w:lang w:val="es-MX"/>
              </w:rPr>
            </w:pPr>
          </w:p>
          <w:p w14:paraId="508CE123" w14:textId="77777777" w:rsidR="00F65FB5" w:rsidRPr="00E320CE" w:rsidRDefault="00F65FB5">
            <w:pPr>
              <w:autoSpaceDE/>
              <w:autoSpaceDN/>
              <w:jc w:val="both"/>
              <w:rPr>
                <w:rFonts w:eastAsia="SimSun"/>
                <w:sz w:val="24"/>
                <w:szCs w:val="24"/>
                <w:lang w:val="es-MX"/>
              </w:rPr>
            </w:pPr>
            <w:r w:rsidRPr="00E320CE">
              <w:rPr>
                <w:rFonts w:eastAsia="SimSun"/>
                <w:i/>
                <w:iCs/>
                <w:sz w:val="24"/>
                <w:szCs w:val="24"/>
                <w:lang w:val="es-MX"/>
              </w:rPr>
              <w:t>Accionada</w:t>
            </w:r>
            <w:r w:rsidRPr="00E320CE">
              <w:rPr>
                <w:rFonts w:eastAsia="SimSun"/>
                <w:sz w:val="24"/>
                <w:szCs w:val="24"/>
                <w:lang w:val="es-MX"/>
              </w:rPr>
              <w:t>: Unión Temporal Salud Integral PPL y Unidad de Servicios Penitenciarios y Carcelarios - USPEC.</w:t>
            </w:r>
          </w:p>
          <w:p w14:paraId="47A5CB5D" w14:textId="77777777" w:rsidR="00F65FB5" w:rsidRPr="00E320CE" w:rsidRDefault="00F65FB5">
            <w:pPr>
              <w:autoSpaceDE/>
              <w:autoSpaceDN/>
              <w:jc w:val="both"/>
              <w:rPr>
                <w:rFonts w:eastAsia="SimSun"/>
                <w:sz w:val="24"/>
                <w:szCs w:val="24"/>
                <w:lang w:val="es-MX"/>
              </w:rPr>
            </w:pPr>
          </w:p>
        </w:tc>
        <w:tc>
          <w:tcPr>
            <w:tcW w:w="3588" w:type="dxa"/>
          </w:tcPr>
          <w:p w14:paraId="3E778BD9" w14:textId="77777777" w:rsidR="00F65FB5" w:rsidRPr="00E320CE" w:rsidRDefault="00F65FB5">
            <w:pPr>
              <w:autoSpaceDE/>
              <w:autoSpaceDN/>
              <w:jc w:val="both"/>
              <w:rPr>
                <w:rFonts w:eastAsia="SimSun"/>
                <w:i/>
                <w:iCs/>
                <w:sz w:val="24"/>
                <w:szCs w:val="24"/>
                <w:lang w:val="es-MX"/>
              </w:rPr>
            </w:pPr>
          </w:p>
          <w:p w14:paraId="0B3CCE3D" w14:textId="5B75AE24" w:rsidR="00F65FB5" w:rsidRPr="00E320CE" w:rsidRDefault="00F65FB5">
            <w:pPr>
              <w:autoSpaceDE/>
              <w:autoSpaceDN/>
              <w:jc w:val="both"/>
              <w:rPr>
                <w:rFonts w:eastAsia="SimSun"/>
                <w:sz w:val="24"/>
                <w:szCs w:val="24"/>
                <w:lang w:val="es-MX"/>
              </w:rPr>
            </w:pPr>
            <w:r w:rsidRPr="00E320CE">
              <w:rPr>
                <w:rFonts w:eastAsia="SimSun"/>
                <w:i/>
                <w:iCs/>
                <w:sz w:val="24"/>
                <w:szCs w:val="24"/>
                <w:lang w:val="es-MX"/>
              </w:rPr>
              <w:t>Accionante</w:t>
            </w:r>
            <w:r w:rsidRPr="00E320CE">
              <w:rPr>
                <w:rFonts w:eastAsia="SimSun"/>
                <w:sz w:val="24"/>
                <w:szCs w:val="24"/>
                <w:lang w:val="es-MX"/>
              </w:rPr>
              <w:t xml:space="preserve">: </w:t>
            </w:r>
            <w:r w:rsidR="00E320CE" w:rsidRPr="00E320CE">
              <w:rPr>
                <w:rFonts w:eastAsia="SimSun"/>
                <w:i/>
                <w:iCs/>
                <w:sz w:val="24"/>
                <w:szCs w:val="24"/>
                <w:lang w:val="es-CO"/>
              </w:rPr>
              <w:t>Greta</w:t>
            </w:r>
          </w:p>
          <w:p w14:paraId="36C0BBCC" w14:textId="77777777" w:rsidR="00F65FB5" w:rsidRPr="00E320CE" w:rsidRDefault="00F65FB5">
            <w:pPr>
              <w:autoSpaceDE/>
              <w:autoSpaceDN/>
              <w:jc w:val="both"/>
              <w:rPr>
                <w:rFonts w:eastAsia="SimSun"/>
                <w:sz w:val="24"/>
                <w:szCs w:val="24"/>
                <w:lang w:val="es-MX"/>
              </w:rPr>
            </w:pPr>
          </w:p>
          <w:p w14:paraId="1AF15F72" w14:textId="77777777" w:rsidR="00F65FB5" w:rsidRPr="00E320CE" w:rsidRDefault="00F65FB5">
            <w:pPr>
              <w:autoSpaceDE/>
              <w:autoSpaceDN/>
              <w:jc w:val="both"/>
              <w:rPr>
                <w:rFonts w:eastAsia="SimSun"/>
                <w:sz w:val="24"/>
                <w:szCs w:val="24"/>
                <w:lang w:val="es-MX"/>
              </w:rPr>
            </w:pPr>
            <w:r w:rsidRPr="00E320CE">
              <w:rPr>
                <w:rFonts w:eastAsia="SimSun"/>
                <w:i/>
                <w:iCs/>
                <w:sz w:val="24"/>
                <w:szCs w:val="24"/>
                <w:lang w:val="es-MX"/>
              </w:rPr>
              <w:t>Accionada</w:t>
            </w:r>
            <w:r w:rsidRPr="00E320CE">
              <w:rPr>
                <w:rFonts w:eastAsia="SimSun"/>
                <w:sz w:val="24"/>
                <w:szCs w:val="24"/>
                <w:lang w:val="es-MX"/>
              </w:rPr>
              <w:t xml:space="preserve">: </w:t>
            </w:r>
            <w:r w:rsidRPr="00E320CE">
              <w:rPr>
                <w:rFonts w:eastAsia="SimSun"/>
                <w:b/>
                <w:bCs/>
                <w:sz w:val="24"/>
                <w:szCs w:val="24"/>
                <w:lang w:val="es-MX"/>
              </w:rPr>
              <w:t xml:space="preserve">Unión Temporal </w:t>
            </w:r>
            <w:proofErr w:type="spellStart"/>
            <w:r w:rsidRPr="00E320CE">
              <w:rPr>
                <w:rFonts w:eastAsia="SimSun"/>
                <w:b/>
                <w:bCs/>
                <w:sz w:val="24"/>
                <w:szCs w:val="24"/>
                <w:lang w:val="es-MX"/>
              </w:rPr>
              <w:t>Norsalud</w:t>
            </w:r>
            <w:proofErr w:type="spellEnd"/>
            <w:r w:rsidRPr="00E320CE">
              <w:rPr>
                <w:rFonts w:eastAsia="SimSun"/>
                <w:b/>
                <w:bCs/>
                <w:sz w:val="24"/>
                <w:szCs w:val="24"/>
                <w:lang w:val="es-MX"/>
              </w:rPr>
              <w:t xml:space="preserve"> PPL,</w:t>
            </w:r>
            <w:r w:rsidRPr="00E320CE">
              <w:rPr>
                <w:rFonts w:eastAsia="SimSun"/>
                <w:sz w:val="24"/>
                <w:szCs w:val="24"/>
                <w:lang w:val="es-MX"/>
              </w:rPr>
              <w:t xml:space="preserve"> Unión Temporal Salud Integral PPL y Unidad de Servicios Penitenciarios y Carcelarios - USPEC.</w:t>
            </w:r>
          </w:p>
          <w:p w14:paraId="38E76631" w14:textId="77777777" w:rsidR="00F65FB5" w:rsidRPr="00E320CE" w:rsidRDefault="00F65FB5">
            <w:pPr>
              <w:autoSpaceDE/>
              <w:autoSpaceDN/>
              <w:jc w:val="both"/>
              <w:rPr>
                <w:rFonts w:eastAsia="SimSun"/>
                <w:sz w:val="24"/>
                <w:szCs w:val="24"/>
                <w:lang w:val="es-MX"/>
              </w:rPr>
            </w:pPr>
          </w:p>
        </w:tc>
      </w:tr>
      <w:tr w:rsidR="00F65FB5" w:rsidRPr="00E320CE" w14:paraId="45D2DB1E" w14:textId="77777777">
        <w:tc>
          <w:tcPr>
            <w:tcW w:w="1555" w:type="dxa"/>
          </w:tcPr>
          <w:p w14:paraId="0C1DA684" w14:textId="77777777" w:rsidR="00F65FB5" w:rsidRPr="00E320CE" w:rsidRDefault="00F65FB5">
            <w:pPr>
              <w:autoSpaceDE/>
              <w:autoSpaceDN/>
              <w:jc w:val="both"/>
              <w:rPr>
                <w:rFonts w:eastAsia="SimSun"/>
                <w:b/>
                <w:bCs/>
                <w:sz w:val="24"/>
                <w:szCs w:val="24"/>
                <w:lang w:val="es-MX"/>
              </w:rPr>
            </w:pPr>
            <w:r w:rsidRPr="00E320CE">
              <w:rPr>
                <w:rFonts w:eastAsia="SimSun"/>
                <w:b/>
                <w:bCs/>
                <w:sz w:val="24"/>
                <w:szCs w:val="24"/>
                <w:lang w:val="es-MX"/>
              </w:rPr>
              <w:t>Objeto</w:t>
            </w:r>
          </w:p>
        </w:tc>
        <w:tc>
          <w:tcPr>
            <w:tcW w:w="3685" w:type="dxa"/>
          </w:tcPr>
          <w:p w14:paraId="6889CE39" w14:textId="77777777" w:rsidR="00F65FB5" w:rsidRPr="00E320CE" w:rsidRDefault="00F65FB5">
            <w:pPr>
              <w:autoSpaceDE/>
              <w:autoSpaceDN/>
              <w:jc w:val="both"/>
              <w:rPr>
                <w:sz w:val="24"/>
                <w:szCs w:val="24"/>
              </w:rPr>
            </w:pPr>
            <w:r w:rsidRPr="00E320CE">
              <w:rPr>
                <w:rFonts w:eastAsia="SimSun"/>
                <w:sz w:val="24"/>
                <w:szCs w:val="24"/>
                <w:lang w:val="es-MX"/>
              </w:rPr>
              <w:t>Ordenar a la UT Salud Integral PPL  reintegrar y pagar los salarios dejados de percibir y la indemnización por discriminación a la accionante.</w:t>
            </w:r>
          </w:p>
          <w:p w14:paraId="09B94A5C" w14:textId="77777777" w:rsidR="00F65FB5" w:rsidRPr="00E320CE" w:rsidRDefault="00F65FB5">
            <w:pPr>
              <w:autoSpaceDE/>
              <w:autoSpaceDN/>
              <w:jc w:val="both"/>
              <w:rPr>
                <w:rFonts w:eastAsia="SimSun"/>
                <w:sz w:val="24"/>
                <w:szCs w:val="24"/>
                <w:lang w:val="es-MX"/>
              </w:rPr>
            </w:pPr>
          </w:p>
        </w:tc>
        <w:tc>
          <w:tcPr>
            <w:tcW w:w="3588" w:type="dxa"/>
          </w:tcPr>
          <w:p w14:paraId="2466633F" w14:textId="77777777" w:rsidR="00F65FB5" w:rsidRPr="00E320CE" w:rsidRDefault="00F65FB5">
            <w:pPr>
              <w:autoSpaceDE/>
              <w:autoSpaceDN/>
              <w:jc w:val="both"/>
              <w:rPr>
                <w:sz w:val="24"/>
                <w:szCs w:val="24"/>
                <w:lang w:val="es-CO"/>
              </w:rPr>
            </w:pPr>
            <w:r w:rsidRPr="00E320CE">
              <w:rPr>
                <w:rFonts w:eastAsia="SimSun"/>
                <w:sz w:val="24"/>
                <w:szCs w:val="24"/>
                <w:lang w:val="es-MX"/>
              </w:rPr>
              <w:t>Ordenar a las entidades accionadas reintegrar–en caso de que la Unión  Temporal Salud Integral PPL no haya sido liquidada–, afiliar a la seguridad social y pagar los salarios dejados de percibir; y la indemnización contemplada en el artículo 26 de la Ley 361 de 1997 a la accionante.</w:t>
            </w:r>
          </w:p>
          <w:p w14:paraId="06FA27BB" w14:textId="77777777" w:rsidR="00F65FB5" w:rsidRPr="00E320CE" w:rsidRDefault="00F65FB5">
            <w:pPr>
              <w:autoSpaceDE/>
              <w:autoSpaceDN/>
              <w:jc w:val="both"/>
              <w:rPr>
                <w:rFonts w:eastAsia="SimSun"/>
                <w:sz w:val="24"/>
                <w:szCs w:val="24"/>
                <w:lang w:val="es-MX"/>
              </w:rPr>
            </w:pPr>
          </w:p>
        </w:tc>
      </w:tr>
      <w:tr w:rsidR="00F65FB5" w:rsidRPr="00E320CE" w14:paraId="0F80935A" w14:textId="77777777">
        <w:tc>
          <w:tcPr>
            <w:tcW w:w="1555" w:type="dxa"/>
          </w:tcPr>
          <w:p w14:paraId="452CF1DA" w14:textId="77777777" w:rsidR="00F65FB5" w:rsidRPr="00E320CE" w:rsidRDefault="00F65FB5">
            <w:pPr>
              <w:autoSpaceDE/>
              <w:autoSpaceDN/>
              <w:jc w:val="both"/>
              <w:rPr>
                <w:rFonts w:eastAsia="SimSun"/>
                <w:b/>
                <w:bCs/>
                <w:sz w:val="24"/>
                <w:szCs w:val="24"/>
                <w:lang w:val="es-MX"/>
              </w:rPr>
            </w:pPr>
            <w:r w:rsidRPr="00E320CE">
              <w:rPr>
                <w:rFonts w:eastAsia="SimSun"/>
                <w:b/>
                <w:bCs/>
                <w:sz w:val="24"/>
                <w:szCs w:val="24"/>
                <w:lang w:val="es-MX"/>
              </w:rPr>
              <w:t>Causa</w:t>
            </w:r>
          </w:p>
        </w:tc>
        <w:tc>
          <w:tcPr>
            <w:tcW w:w="3685" w:type="dxa"/>
          </w:tcPr>
          <w:p w14:paraId="68471DDF" w14:textId="3D9BA6D5" w:rsidR="00F65FB5" w:rsidRPr="00E320CE" w:rsidRDefault="00F65FB5">
            <w:pPr>
              <w:autoSpaceDE/>
              <w:autoSpaceDN/>
              <w:jc w:val="both"/>
              <w:rPr>
                <w:sz w:val="24"/>
                <w:szCs w:val="24"/>
                <w:lang w:val="es-CO"/>
              </w:rPr>
            </w:pPr>
            <w:r w:rsidRPr="00E320CE">
              <w:rPr>
                <w:rFonts w:eastAsia="SimSun"/>
                <w:sz w:val="24"/>
                <w:szCs w:val="24"/>
                <w:lang w:val="es-MX"/>
              </w:rPr>
              <w:t>La decisión tomada por la Unión Temporal Salud Integral de no renovar el contrato de prestación de servicios del 4 de abril de 2022 celebrado con la accionante, pese a que se encontraba en una condición de salud que presuntamente le permitía tener estabilidad laboral reforzada.</w:t>
            </w:r>
          </w:p>
          <w:p w14:paraId="0B51E083" w14:textId="77777777" w:rsidR="00F65FB5" w:rsidRPr="00E320CE" w:rsidRDefault="00F65FB5">
            <w:pPr>
              <w:autoSpaceDE/>
              <w:autoSpaceDN/>
              <w:jc w:val="both"/>
              <w:rPr>
                <w:rFonts w:eastAsia="SimSun"/>
                <w:sz w:val="24"/>
                <w:szCs w:val="24"/>
                <w:lang w:val="es-CO"/>
              </w:rPr>
            </w:pPr>
          </w:p>
        </w:tc>
        <w:tc>
          <w:tcPr>
            <w:tcW w:w="3588" w:type="dxa"/>
          </w:tcPr>
          <w:p w14:paraId="5F1EB5AA" w14:textId="591C84D7" w:rsidR="00F65FB5" w:rsidRPr="00E320CE" w:rsidRDefault="00F65FB5">
            <w:pPr>
              <w:autoSpaceDE/>
              <w:autoSpaceDN/>
              <w:jc w:val="both"/>
              <w:rPr>
                <w:sz w:val="24"/>
                <w:szCs w:val="24"/>
                <w:lang w:val="es-CO"/>
              </w:rPr>
            </w:pPr>
            <w:r w:rsidRPr="00E320CE">
              <w:rPr>
                <w:rFonts w:eastAsia="SimSun"/>
                <w:sz w:val="24"/>
                <w:szCs w:val="24"/>
                <w:lang w:val="es-MX"/>
              </w:rPr>
              <w:t>La terminación hecha por la Unión Temporal Salud Integral del contrato de prestación de servicios del 31 de julio de 2024 celebrado con la accionante –a raíz de la terminación d</w:t>
            </w:r>
            <w:r w:rsidRPr="00E320CE">
              <w:t xml:space="preserve">el </w:t>
            </w:r>
            <w:r w:rsidRPr="00E320CE">
              <w:rPr>
                <w:rFonts w:eastAsia="SimSun"/>
                <w:sz w:val="24"/>
                <w:szCs w:val="24"/>
                <w:lang w:val="es-MX"/>
              </w:rPr>
              <w:t>contrato con el fideicomiso–, a pesar de que se presentaron nuevas circunstancias de salud que presuntamente le permitían mantener el derecho a la estabilidad laboral reforzada.</w:t>
            </w:r>
          </w:p>
          <w:p w14:paraId="382C1DD0" w14:textId="77777777" w:rsidR="00F65FB5" w:rsidRPr="00E320CE" w:rsidRDefault="00F65FB5">
            <w:pPr>
              <w:autoSpaceDE/>
              <w:autoSpaceDN/>
              <w:jc w:val="both"/>
              <w:rPr>
                <w:rFonts w:eastAsia="SimSun"/>
                <w:sz w:val="24"/>
                <w:szCs w:val="24"/>
                <w:lang w:val="es-MX"/>
              </w:rPr>
            </w:pPr>
          </w:p>
        </w:tc>
      </w:tr>
    </w:tbl>
    <w:p w14:paraId="52A18E8E" w14:textId="77777777" w:rsidR="00F65FB5" w:rsidRPr="00E320CE" w:rsidRDefault="00F65FB5" w:rsidP="00F65FB5">
      <w:pPr>
        <w:rPr>
          <w:sz w:val="28"/>
          <w:szCs w:val="28"/>
        </w:rPr>
      </w:pPr>
    </w:p>
    <w:p w14:paraId="6CA5DDDF" w14:textId="36210E6A" w:rsidR="00482071" w:rsidRPr="00E320CE" w:rsidRDefault="00003DEE" w:rsidP="00F65FB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De esa forma, si bien ambas tutelas </w:t>
      </w:r>
      <w:r w:rsidR="00C84CC6" w:rsidRPr="00E320CE">
        <w:rPr>
          <w:rFonts w:eastAsia="SimSun"/>
          <w:sz w:val="28"/>
          <w:szCs w:val="28"/>
          <w:lang w:val="es-MX"/>
        </w:rPr>
        <w:t xml:space="preserve">están relacionadas con la protección del derecho a la estabilidad laboral reforzada, </w:t>
      </w:r>
      <w:r w:rsidR="00F71730" w:rsidRPr="00E320CE">
        <w:rPr>
          <w:rFonts w:eastAsia="SimSun"/>
          <w:sz w:val="28"/>
          <w:szCs w:val="28"/>
          <w:lang w:val="es-MX"/>
        </w:rPr>
        <w:t>las circunstancias en las que se</w:t>
      </w:r>
      <w:r w:rsidR="002A3B85" w:rsidRPr="00E320CE">
        <w:rPr>
          <w:rFonts w:eastAsia="SimSun"/>
          <w:sz w:val="28"/>
          <w:szCs w:val="28"/>
          <w:lang w:val="es-MX"/>
        </w:rPr>
        <w:t xml:space="preserve"> </w:t>
      </w:r>
      <w:r w:rsidR="002A3B85" w:rsidRPr="00E320CE">
        <w:rPr>
          <w:rFonts w:eastAsia="SimSun"/>
          <w:sz w:val="28"/>
          <w:szCs w:val="28"/>
          <w:lang w:val="es-MX"/>
        </w:rPr>
        <w:lastRenderedPageBreak/>
        <w:t xml:space="preserve">presenta </w:t>
      </w:r>
      <w:r w:rsidR="00F71730" w:rsidRPr="00E320CE">
        <w:rPr>
          <w:rFonts w:eastAsia="SimSun"/>
          <w:sz w:val="28"/>
          <w:szCs w:val="28"/>
          <w:lang w:val="es-MX"/>
        </w:rPr>
        <w:t xml:space="preserve">esta discusión </w:t>
      </w:r>
      <w:r w:rsidR="00ED054A" w:rsidRPr="00E320CE">
        <w:rPr>
          <w:rFonts w:eastAsia="SimSun"/>
          <w:sz w:val="28"/>
          <w:szCs w:val="28"/>
          <w:lang w:val="es-MX"/>
        </w:rPr>
        <w:t>e</w:t>
      </w:r>
      <w:r w:rsidR="00B66E01" w:rsidRPr="00E320CE">
        <w:rPr>
          <w:rFonts w:eastAsia="SimSun"/>
          <w:sz w:val="28"/>
          <w:szCs w:val="28"/>
          <w:lang w:val="es-MX"/>
        </w:rPr>
        <w:t xml:space="preserve">n el </w:t>
      </w:r>
      <w:r w:rsidR="002A3B85" w:rsidRPr="00E320CE">
        <w:rPr>
          <w:rFonts w:eastAsia="SimSun"/>
          <w:sz w:val="28"/>
          <w:szCs w:val="28"/>
          <w:lang w:val="es-MX"/>
        </w:rPr>
        <w:t xml:space="preserve">año </w:t>
      </w:r>
      <w:r w:rsidR="00B66E01" w:rsidRPr="00E320CE">
        <w:rPr>
          <w:rFonts w:eastAsia="SimSun"/>
          <w:sz w:val="28"/>
          <w:szCs w:val="28"/>
          <w:lang w:val="es-MX"/>
        </w:rPr>
        <w:t>2024 son sustancialmente distintas</w:t>
      </w:r>
      <w:r w:rsidR="002A3B85" w:rsidRPr="00E320CE">
        <w:rPr>
          <w:rFonts w:eastAsia="SimSun"/>
          <w:sz w:val="28"/>
          <w:szCs w:val="28"/>
          <w:lang w:val="es-MX"/>
        </w:rPr>
        <w:t xml:space="preserve"> a las que sirvieron de sustento en el año 2022</w:t>
      </w:r>
      <w:r w:rsidR="00B66E01" w:rsidRPr="00E320CE">
        <w:rPr>
          <w:rFonts w:eastAsia="SimSun"/>
          <w:sz w:val="28"/>
          <w:szCs w:val="28"/>
          <w:lang w:val="es-MX"/>
        </w:rPr>
        <w:t>. Esto se debe, en primer lugar, a que</w:t>
      </w:r>
      <w:r w:rsidR="007E71B2" w:rsidRPr="00E320CE">
        <w:rPr>
          <w:rFonts w:eastAsia="SimSun"/>
          <w:sz w:val="28"/>
          <w:szCs w:val="28"/>
          <w:lang w:val="es-MX"/>
        </w:rPr>
        <w:t xml:space="preserve"> en la </w:t>
      </w:r>
      <w:r w:rsidR="002A3B85" w:rsidRPr="00E320CE">
        <w:rPr>
          <w:rFonts w:eastAsia="SimSun"/>
          <w:sz w:val="28"/>
          <w:szCs w:val="28"/>
          <w:lang w:val="es-MX"/>
        </w:rPr>
        <w:t>presente</w:t>
      </w:r>
      <w:r w:rsidR="007E71B2" w:rsidRPr="00E320CE">
        <w:rPr>
          <w:rFonts w:eastAsia="SimSun"/>
          <w:sz w:val="28"/>
          <w:szCs w:val="28"/>
          <w:lang w:val="es-MX"/>
        </w:rPr>
        <w:t xml:space="preserve"> acción de tutela se cuestiona </w:t>
      </w:r>
      <w:r w:rsidR="004E2D91" w:rsidRPr="00E320CE">
        <w:rPr>
          <w:rFonts w:eastAsia="SimSun"/>
          <w:sz w:val="28"/>
          <w:szCs w:val="28"/>
          <w:lang w:val="es-MX"/>
        </w:rPr>
        <w:t xml:space="preserve">que la UT </w:t>
      </w:r>
      <w:r w:rsidR="00807CC8" w:rsidRPr="00E320CE">
        <w:rPr>
          <w:rFonts w:eastAsia="SimSun"/>
          <w:sz w:val="28"/>
          <w:szCs w:val="28"/>
          <w:lang w:val="es-MX"/>
        </w:rPr>
        <w:t xml:space="preserve">Salud Integral decidió dar por terminado </w:t>
      </w:r>
      <w:r w:rsidR="00A05ABE" w:rsidRPr="00E320CE">
        <w:rPr>
          <w:rFonts w:eastAsia="SimSun"/>
          <w:sz w:val="28"/>
          <w:szCs w:val="28"/>
          <w:lang w:val="es-MX"/>
        </w:rPr>
        <w:t>el contrato de prestación de servicios</w:t>
      </w:r>
      <w:r w:rsidR="00962511" w:rsidRPr="00E320CE">
        <w:rPr>
          <w:rFonts w:eastAsia="SimSun"/>
          <w:sz w:val="28"/>
          <w:szCs w:val="28"/>
          <w:lang w:val="es-MX"/>
        </w:rPr>
        <w:t xml:space="preserve"> </w:t>
      </w:r>
      <w:r w:rsidR="00D24989" w:rsidRPr="00E320CE">
        <w:rPr>
          <w:rFonts w:eastAsia="SimSun"/>
          <w:sz w:val="28"/>
          <w:szCs w:val="28"/>
          <w:lang w:val="es-MX"/>
        </w:rPr>
        <w:t>el 31 de julio de 2024</w:t>
      </w:r>
      <w:r w:rsidR="00807CC8" w:rsidRPr="00E320CE">
        <w:rPr>
          <w:rFonts w:eastAsia="SimSun"/>
          <w:sz w:val="28"/>
          <w:szCs w:val="28"/>
          <w:lang w:val="es-MX"/>
        </w:rPr>
        <w:t xml:space="preserve"> por la </w:t>
      </w:r>
      <w:r w:rsidR="00487B38" w:rsidRPr="00E320CE">
        <w:rPr>
          <w:rFonts w:eastAsia="SimSun"/>
          <w:sz w:val="28"/>
          <w:szCs w:val="28"/>
          <w:lang w:val="es-MX"/>
        </w:rPr>
        <w:t xml:space="preserve">finalización </w:t>
      </w:r>
      <w:r w:rsidR="00807CC8" w:rsidRPr="00E320CE">
        <w:rPr>
          <w:rFonts w:eastAsia="SimSun"/>
          <w:sz w:val="28"/>
          <w:szCs w:val="28"/>
          <w:lang w:val="es-MX"/>
        </w:rPr>
        <w:t>de</w:t>
      </w:r>
      <w:r w:rsidR="00D62C63" w:rsidRPr="00E320CE">
        <w:rPr>
          <w:rFonts w:eastAsia="SimSun"/>
          <w:sz w:val="28"/>
          <w:szCs w:val="28"/>
          <w:lang w:val="es-MX"/>
        </w:rPr>
        <w:t xml:space="preserve">l contrato que suscribió con </w:t>
      </w:r>
      <w:r w:rsidR="00AB0EE5" w:rsidRPr="00E320CE">
        <w:rPr>
          <w:rFonts w:eastAsia="SimSun"/>
          <w:sz w:val="28"/>
          <w:szCs w:val="28"/>
          <w:lang w:val="es-MX"/>
        </w:rPr>
        <w:t>la Fiduprevisora S.A., administradora del</w:t>
      </w:r>
      <w:r w:rsidR="00AB0EE5" w:rsidRPr="00E320CE">
        <w:rPr>
          <w:sz w:val="28"/>
          <w:szCs w:val="28"/>
        </w:rPr>
        <w:t xml:space="preserve"> Fondo Nacional de Salud </w:t>
      </w:r>
      <w:r w:rsidR="00897517" w:rsidRPr="00E320CE">
        <w:rPr>
          <w:sz w:val="28"/>
          <w:szCs w:val="28"/>
        </w:rPr>
        <w:t xml:space="preserve">de las personas privadas de la libertad, y la posible sustitución patronal que tuvo lugar con la UT </w:t>
      </w:r>
      <w:proofErr w:type="spellStart"/>
      <w:r w:rsidR="00897517" w:rsidRPr="00E320CE">
        <w:rPr>
          <w:sz w:val="28"/>
          <w:szCs w:val="28"/>
        </w:rPr>
        <w:t>Norsalud</w:t>
      </w:r>
      <w:proofErr w:type="spellEnd"/>
      <w:r w:rsidR="00897517" w:rsidRPr="00E320CE">
        <w:rPr>
          <w:sz w:val="28"/>
          <w:szCs w:val="28"/>
        </w:rPr>
        <w:t xml:space="preserve">. En contraste, en </w:t>
      </w:r>
      <w:r w:rsidR="009808A1" w:rsidRPr="00E320CE">
        <w:rPr>
          <w:sz w:val="28"/>
          <w:szCs w:val="28"/>
        </w:rPr>
        <w:t>julio de</w:t>
      </w:r>
      <w:r w:rsidR="00897517" w:rsidRPr="00E320CE">
        <w:rPr>
          <w:sz w:val="28"/>
          <w:szCs w:val="28"/>
        </w:rPr>
        <w:t xml:space="preserve"> 2022 </w:t>
      </w:r>
      <w:r w:rsidR="009808A1" w:rsidRPr="00E320CE">
        <w:rPr>
          <w:sz w:val="28"/>
          <w:szCs w:val="28"/>
        </w:rPr>
        <w:t xml:space="preserve">se </w:t>
      </w:r>
      <w:r w:rsidR="00482071" w:rsidRPr="00E320CE">
        <w:rPr>
          <w:sz w:val="28"/>
          <w:szCs w:val="28"/>
        </w:rPr>
        <w:t>terminó la vinculación de la contratista porque la</w:t>
      </w:r>
      <w:r w:rsidR="009808A1" w:rsidRPr="00E320CE">
        <w:rPr>
          <w:sz w:val="28"/>
          <w:szCs w:val="28"/>
        </w:rPr>
        <w:t xml:space="preserve"> UT Salud Integral</w:t>
      </w:r>
      <w:r w:rsidR="00482071" w:rsidRPr="00E320CE">
        <w:rPr>
          <w:sz w:val="28"/>
          <w:szCs w:val="28"/>
        </w:rPr>
        <w:t xml:space="preserve"> decidió</w:t>
      </w:r>
      <w:r w:rsidR="009808A1" w:rsidRPr="00E320CE">
        <w:rPr>
          <w:sz w:val="28"/>
          <w:szCs w:val="28"/>
        </w:rPr>
        <w:t xml:space="preserve"> no renovar </w:t>
      </w:r>
      <w:r w:rsidR="00482071" w:rsidRPr="00E320CE">
        <w:rPr>
          <w:sz w:val="28"/>
          <w:szCs w:val="28"/>
        </w:rPr>
        <w:t>su</w:t>
      </w:r>
      <w:r w:rsidR="009808A1" w:rsidRPr="00E320CE">
        <w:rPr>
          <w:sz w:val="28"/>
          <w:szCs w:val="28"/>
        </w:rPr>
        <w:t xml:space="preserve"> contrato de prestación de servicios. </w:t>
      </w:r>
    </w:p>
    <w:p w14:paraId="26E0A76C" w14:textId="77777777" w:rsidR="00482071" w:rsidRPr="00E320CE" w:rsidRDefault="00482071" w:rsidP="00106BAC">
      <w:pPr>
        <w:pStyle w:val="Prrafodelista"/>
        <w:autoSpaceDE/>
        <w:autoSpaceDN/>
        <w:ind w:left="0"/>
        <w:contextualSpacing w:val="0"/>
        <w:jc w:val="both"/>
        <w:rPr>
          <w:rFonts w:eastAsia="SimSun"/>
          <w:sz w:val="28"/>
          <w:szCs w:val="28"/>
          <w:lang w:val="es-MX"/>
        </w:rPr>
      </w:pPr>
    </w:p>
    <w:p w14:paraId="62E0C5BA" w14:textId="2D32B7F9" w:rsidR="00E04251" w:rsidRPr="00E320CE" w:rsidRDefault="00482071" w:rsidP="00F65FB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En ese contexto, l</w:t>
      </w:r>
      <w:r w:rsidR="001527F4" w:rsidRPr="00E320CE">
        <w:rPr>
          <w:rFonts w:eastAsia="SimSun"/>
          <w:sz w:val="28"/>
          <w:szCs w:val="28"/>
          <w:lang w:val="es-MX"/>
        </w:rPr>
        <w:t>a terminación</w:t>
      </w:r>
      <w:r w:rsidRPr="00E320CE">
        <w:rPr>
          <w:rFonts w:eastAsia="SimSun"/>
          <w:sz w:val="28"/>
          <w:szCs w:val="28"/>
          <w:lang w:val="es-MX"/>
        </w:rPr>
        <w:t xml:space="preserve"> de la vinculación contractual </w:t>
      </w:r>
      <w:r w:rsidR="001527F4" w:rsidRPr="00E320CE">
        <w:rPr>
          <w:rFonts w:eastAsia="SimSun"/>
          <w:sz w:val="28"/>
          <w:szCs w:val="28"/>
          <w:lang w:val="es-MX"/>
        </w:rPr>
        <w:t xml:space="preserve"> </w:t>
      </w:r>
      <w:r w:rsidR="0046290C" w:rsidRPr="00E320CE">
        <w:rPr>
          <w:rFonts w:eastAsia="SimSun"/>
          <w:sz w:val="28"/>
          <w:szCs w:val="28"/>
          <w:lang w:val="es-MX"/>
        </w:rPr>
        <w:t xml:space="preserve">presenta elementos nuevos, como el estado de liquidación de Salud Integral PPL y la presunta sustitución patronal con </w:t>
      </w:r>
      <w:proofErr w:type="spellStart"/>
      <w:r w:rsidR="0046290C" w:rsidRPr="00E320CE">
        <w:rPr>
          <w:rFonts w:eastAsia="SimSun"/>
          <w:sz w:val="28"/>
          <w:szCs w:val="28"/>
          <w:lang w:val="es-MX"/>
        </w:rPr>
        <w:t>Norsalud</w:t>
      </w:r>
      <w:proofErr w:type="spellEnd"/>
      <w:r w:rsidR="0046290C" w:rsidRPr="00E320CE">
        <w:rPr>
          <w:rFonts w:eastAsia="SimSun"/>
          <w:sz w:val="28"/>
          <w:szCs w:val="28"/>
          <w:lang w:val="es-MX"/>
        </w:rPr>
        <w:t xml:space="preserve"> PPL. Por otra parte, </w:t>
      </w:r>
      <w:r w:rsidR="002B08D9" w:rsidRPr="00E320CE">
        <w:rPr>
          <w:rFonts w:eastAsia="SimSun"/>
          <w:sz w:val="28"/>
          <w:szCs w:val="28"/>
          <w:lang w:val="es-MX"/>
        </w:rPr>
        <w:t xml:space="preserve">el estado de salud de la accionante </w:t>
      </w:r>
      <w:r w:rsidR="003C78B3" w:rsidRPr="00E320CE">
        <w:rPr>
          <w:rFonts w:eastAsia="SimSun"/>
          <w:sz w:val="28"/>
          <w:szCs w:val="28"/>
          <w:lang w:val="es-MX"/>
        </w:rPr>
        <w:t>ha presentado variaciones</w:t>
      </w:r>
      <w:r w:rsidR="00EB61EF" w:rsidRPr="00E320CE">
        <w:rPr>
          <w:rFonts w:eastAsia="SimSun"/>
          <w:sz w:val="28"/>
          <w:szCs w:val="28"/>
          <w:lang w:val="es-MX"/>
        </w:rPr>
        <w:t xml:space="preserve">, lo que se manifiesta </w:t>
      </w:r>
      <w:r w:rsidR="003E159D" w:rsidRPr="00E320CE">
        <w:rPr>
          <w:rFonts w:eastAsia="SimSun"/>
          <w:sz w:val="28"/>
          <w:szCs w:val="28"/>
          <w:lang w:val="es-MX"/>
        </w:rPr>
        <w:t>en la met</w:t>
      </w:r>
      <w:r w:rsidR="00487B38" w:rsidRPr="00E320CE">
        <w:rPr>
          <w:rFonts w:eastAsia="SimSun"/>
          <w:sz w:val="28"/>
          <w:szCs w:val="28"/>
          <w:lang w:val="es-MX"/>
        </w:rPr>
        <w:t>á</w:t>
      </w:r>
      <w:r w:rsidR="003E159D" w:rsidRPr="00E320CE">
        <w:rPr>
          <w:rFonts w:eastAsia="SimSun"/>
          <w:sz w:val="28"/>
          <w:szCs w:val="28"/>
          <w:lang w:val="es-MX"/>
        </w:rPr>
        <w:t xml:space="preserve">stasis del cáncer de cuello </w:t>
      </w:r>
      <w:proofErr w:type="gramStart"/>
      <w:r w:rsidR="003E159D" w:rsidRPr="00E320CE">
        <w:rPr>
          <w:rFonts w:eastAsia="SimSun"/>
          <w:sz w:val="28"/>
          <w:szCs w:val="28"/>
          <w:lang w:val="es-MX"/>
        </w:rPr>
        <w:t>uterino</w:t>
      </w:r>
      <w:r w:rsidRPr="00E320CE">
        <w:rPr>
          <w:rFonts w:eastAsia="SimSun"/>
          <w:sz w:val="28"/>
          <w:szCs w:val="28"/>
          <w:lang w:val="es-MX"/>
        </w:rPr>
        <w:t>,</w:t>
      </w:r>
      <w:r w:rsidR="003E159D" w:rsidRPr="00E320CE" w:rsidDel="00482071">
        <w:rPr>
          <w:rFonts w:eastAsia="SimSun"/>
          <w:sz w:val="28"/>
          <w:szCs w:val="28"/>
          <w:lang w:val="es-MX"/>
        </w:rPr>
        <w:t xml:space="preserve"> </w:t>
      </w:r>
      <w:r w:rsidR="003E159D" w:rsidRPr="00E320CE">
        <w:rPr>
          <w:rFonts w:eastAsia="SimSun"/>
          <w:sz w:val="28"/>
          <w:szCs w:val="28"/>
          <w:lang w:val="es-MX"/>
        </w:rPr>
        <w:t xml:space="preserve"> el</w:t>
      </w:r>
      <w:proofErr w:type="gramEnd"/>
      <w:r w:rsidR="003E159D" w:rsidRPr="00E320CE">
        <w:rPr>
          <w:rFonts w:eastAsia="SimSun"/>
          <w:sz w:val="28"/>
          <w:szCs w:val="28"/>
          <w:lang w:val="es-MX"/>
        </w:rPr>
        <w:t xml:space="preserve"> </w:t>
      </w:r>
      <w:r w:rsidR="00784A89" w:rsidRPr="00E320CE">
        <w:rPr>
          <w:rFonts w:eastAsia="SimSun"/>
          <w:sz w:val="28"/>
          <w:szCs w:val="28"/>
          <w:lang w:val="es-MX"/>
        </w:rPr>
        <w:t xml:space="preserve">tratamiento médico psiquiátrico que recibe por </w:t>
      </w:r>
      <w:r w:rsidR="003E159D" w:rsidRPr="00E320CE">
        <w:rPr>
          <w:rFonts w:eastAsia="SimSun"/>
          <w:sz w:val="28"/>
          <w:szCs w:val="28"/>
          <w:lang w:val="es-MX"/>
        </w:rPr>
        <w:t>e</w:t>
      </w:r>
      <w:r w:rsidR="00DE7BBB" w:rsidRPr="00E320CE">
        <w:rPr>
          <w:rFonts w:eastAsia="SimSun"/>
          <w:sz w:val="28"/>
          <w:szCs w:val="28"/>
          <w:lang w:val="es-MX"/>
        </w:rPr>
        <w:t>l trastorno mixto de ansiedad y depresión</w:t>
      </w:r>
      <w:r w:rsidR="00250575" w:rsidRPr="00E320CE">
        <w:rPr>
          <w:rFonts w:eastAsia="SimSun"/>
          <w:sz w:val="28"/>
          <w:szCs w:val="28"/>
          <w:lang w:val="es-MX"/>
        </w:rPr>
        <w:t>,</w:t>
      </w:r>
      <w:r w:rsidRPr="00E320CE">
        <w:rPr>
          <w:rFonts w:eastAsia="SimSun"/>
          <w:sz w:val="28"/>
          <w:szCs w:val="28"/>
          <w:lang w:val="es-MX"/>
        </w:rPr>
        <w:t xml:space="preserve"> y el concepto desfavorable de rehabilitación que expidió la EPS</w:t>
      </w:r>
      <w:r w:rsidR="00DE7BBB" w:rsidRPr="00E320CE">
        <w:rPr>
          <w:rFonts w:eastAsia="SimSun"/>
          <w:sz w:val="28"/>
          <w:szCs w:val="28"/>
          <w:lang w:val="es-MX"/>
        </w:rPr>
        <w:t>.</w:t>
      </w:r>
    </w:p>
    <w:p w14:paraId="0CA54DD5" w14:textId="77777777" w:rsidR="00E04251" w:rsidRPr="00E320CE" w:rsidRDefault="00E04251" w:rsidP="00E04251">
      <w:pPr>
        <w:pStyle w:val="Prrafodelista"/>
        <w:autoSpaceDE/>
        <w:autoSpaceDN/>
        <w:ind w:left="0"/>
        <w:contextualSpacing w:val="0"/>
        <w:jc w:val="both"/>
        <w:rPr>
          <w:rFonts w:eastAsia="SimSun"/>
          <w:sz w:val="28"/>
          <w:szCs w:val="28"/>
          <w:lang w:val="es-MX"/>
        </w:rPr>
      </w:pPr>
    </w:p>
    <w:p w14:paraId="1AE6B388" w14:textId="5C3820B6" w:rsidR="00F65FB5" w:rsidRPr="00E320CE" w:rsidRDefault="00F65FB5" w:rsidP="00F65FB5">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rPr>
        <w:t>Como puede verse, en el actual proceso existen nuevas entidades accionadas y nuevos hechos. De esa forma, aunque en ambos procesos la accionante haya solicitado su reintegro, las causas de estas pretensiones son distintas. En estos términos, no se configuró el fenómeno de cosa juzgada constitucional como lo concluyó, de forma equivocada, el juez de tutela en la sentencia objeto de revisión.</w:t>
      </w:r>
    </w:p>
    <w:p w14:paraId="1F8228FF" w14:textId="77777777" w:rsidR="00F65FB5" w:rsidRPr="00E320CE" w:rsidRDefault="00F65FB5" w:rsidP="00213A6F">
      <w:pPr>
        <w:pStyle w:val="Prrafodelista"/>
        <w:autoSpaceDE/>
        <w:autoSpaceDN/>
        <w:ind w:left="0"/>
        <w:contextualSpacing w:val="0"/>
        <w:jc w:val="both"/>
        <w:rPr>
          <w:rFonts w:eastAsia="SimSun"/>
          <w:sz w:val="28"/>
          <w:szCs w:val="28"/>
          <w:lang w:val="es-MX"/>
        </w:rPr>
      </w:pPr>
    </w:p>
    <w:p w14:paraId="5F6B8824" w14:textId="6FDC16A4" w:rsidR="00F65FB5" w:rsidRPr="00E320CE" w:rsidRDefault="00F65FB5" w:rsidP="00F65FB5">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rPr>
        <w:t>Así las cosas, la Corte estudiará si en el presente asunto se satisfacen los requisitos de procedencia de la acción de tutela, esto es, la legitimación en la causa por activa y por pasiva, la inmediatez y la subsidiariedad, en atención a las pruebas aportadas dentro del trámite constitucional.</w:t>
      </w:r>
    </w:p>
    <w:p w14:paraId="3B52AE30" w14:textId="77777777" w:rsidR="00F65FB5" w:rsidRPr="00E320CE" w:rsidRDefault="00F65FB5" w:rsidP="00F65FB5">
      <w:pPr>
        <w:rPr>
          <w:rFonts w:eastAsia="SimSun"/>
          <w:b/>
          <w:bCs/>
          <w:sz w:val="28"/>
          <w:szCs w:val="28"/>
          <w:lang w:val="es-MX"/>
        </w:rPr>
      </w:pPr>
    </w:p>
    <w:p w14:paraId="6DF12A7F" w14:textId="21C00E0A" w:rsidR="00F65FB5" w:rsidRPr="00E320CE" w:rsidRDefault="00F65FB5" w:rsidP="00213A6F">
      <w:pPr>
        <w:pStyle w:val="Prrafodelista"/>
        <w:numPr>
          <w:ilvl w:val="0"/>
          <w:numId w:val="33"/>
        </w:numPr>
        <w:rPr>
          <w:rFonts w:eastAsia="SimSun"/>
          <w:b/>
          <w:bCs/>
          <w:sz w:val="28"/>
          <w:szCs w:val="28"/>
          <w:lang w:val="es-MX"/>
        </w:rPr>
      </w:pPr>
      <w:r w:rsidRPr="00E320CE">
        <w:rPr>
          <w:rFonts w:eastAsia="SimSun"/>
          <w:b/>
          <w:bCs/>
          <w:sz w:val="28"/>
          <w:szCs w:val="28"/>
          <w:lang w:val="es-MX"/>
        </w:rPr>
        <w:t>Procedencia de la acción de tutela</w:t>
      </w:r>
    </w:p>
    <w:p w14:paraId="57F839C7" w14:textId="77777777" w:rsidR="00F65FB5" w:rsidRPr="00E320CE" w:rsidRDefault="00F65FB5" w:rsidP="00F65FB5">
      <w:pPr>
        <w:pStyle w:val="Prrafodelista"/>
        <w:autoSpaceDE/>
        <w:autoSpaceDN/>
        <w:ind w:left="0"/>
        <w:contextualSpacing w:val="0"/>
        <w:jc w:val="both"/>
        <w:rPr>
          <w:rFonts w:eastAsia="SimSun"/>
          <w:b/>
          <w:bCs/>
          <w:sz w:val="28"/>
          <w:szCs w:val="28"/>
          <w:lang w:val="es-MX"/>
        </w:rPr>
      </w:pPr>
    </w:p>
    <w:p w14:paraId="1061A565" w14:textId="58698C70" w:rsidR="00A76E2E" w:rsidRPr="00E320CE" w:rsidRDefault="002171B1" w:rsidP="00F65FB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La acción de tutela</w:t>
      </w:r>
      <w:r w:rsidR="00B5198A" w:rsidRPr="00E320CE">
        <w:rPr>
          <w:rFonts w:eastAsia="SimSun"/>
          <w:sz w:val="28"/>
          <w:szCs w:val="28"/>
          <w:lang w:val="es-MX"/>
        </w:rPr>
        <w:t>,</w:t>
      </w:r>
      <w:r w:rsidRPr="00E320CE">
        <w:rPr>
          <w:rFonts w:eastAsia="SimSun"/>
          <w:sz w:val="28"/>
          <w:szCs w:val="28"/>
          <w:lang w:val="es-MX"/>
        </w:rPr>
        <w:t xml:space="preserve"> previs</w:t>
      </w:r>
      <w:r w:rsidR="00B5198A" w:rsidRPr="00E320CE">
        <w:rPr>
          <w:rFonts w:eastAsia="SimSun"/>
          <w:sz w:val="28"/>
          <w:szCs w:val="28"/>
          <w:lang w:val="es-MX"/>
        </w:rPr>
        <w:t>t</w:t>
      </w:r>
      <w:r w:rsidRPr="00E320CE">
        <w:rPr>
          <w:rFonts w:eastAsia="SimSun"/>
          <w:sz w:val="28"/>
          <w:szCs w:val="28"/>
          <w:lang w:val="es-MX"/>
        </w:rPr>
        <w:t>a en el artículo 86 de la Constitución</w:t>
      </w:r>
      <w:r w:rsidR="00B5198A" w:rsidRPr="00E320CE">
        <w:rPr>
          <w:rFonts w:eastAsia="SimSun"/>
          <w:sz w:val="28"/>
          <w:szCs w:val="28"/>
          <w:lang w:val="es-MX"/>
        </w:rPr>
        <w:t>, es</w:t>
      </w:r>
      <w:r w:rsidRPr="00E320CE">
        <w:rPr>
          <w:rFonts w:eastAsia="SimSun"/>
          <w:sz w:val="28"/>
          <w:szCs w:val="28"/>
          <w:lang w:val="es-MX"/>
        </w:rPr>
        <w:t xml:space="preserve"> un mecanismo judicial preferente y sumario </w:t>
      </w:r>
      <w:r w:rsidR="00B5198A" w:rsidRPr="00E320CE">
        <w:rPr>
          <w:rFonts w:eastAsia="SimSun"/>
          <w:sz w:val="28"/>
          <w:szCs w:val="28"/>
          <w:lang w:val="es-MX"/>
        </w:rPr>
        <w:t xml:space="preserve">destinado a </w:t>
      </w:r>
      <w:r w:rsidRPr="00E320CE">
        <w:rPr>
          <w:rFonts w:eastAsia="SimSun"/>
          <w:sz w:val="28"/>
          <w:szCs w:val="28"/>
          <w:lang w:val="es-MX"/>
        </w:rPr>
        <w:t xml:space="preserve">la protección inmediata de </w:t>
      </w:r>
      <w:r w:rsidR="00B5198A" w:rsidRPr="00E320CE">
        <w:rPr>
          <w:rFonts w:eastAsia="SimSun"/>
          <w:sz w:val="28"/>
          <w:szCs w:val="28"/>
          <w:lang w:val="es-MX"/>
        </w:rPr>
        <w:t xml:space="preserve">los </w:t>
      </w:r>
      <w:r w:rsidRPr="00E320CE">
        <w:rPr>
          <w:rFonts w:eastAsia="SimSun"/>
          <w:sz w:val="28"/>
          <w:szCs w:val="28"/>
          <w:lang w:val="es-MX"/>
        </w:rPr>
        <w:t>derechos fundamentales, que s</w:t>
      </w:r>
      <w:r w:rsidR="00B5198A" w:rsidRPr="00E320CE">
        <w:rPr>
          <w:rFonts w:eastAsia="SimSun"/>
          <w:sz w:val="28"/>
          <w:szCs w:val="28"/>
          <w:lang w:val="es-MX"/>
        </w:rPr>
        <w:t>o</w:t>
      </w:r>
      <w:r w:rsidRPr="00E320CE">
        <w:rPr>
          <w:rFonts w:eastAsia="SimSun"/>
          <w:sz w:val="28"/>
          <w:szCs w:val="28"/>
          <w:lang w:val="es-MX"/>
        </w:rPr>
        <w:t xml:space="preserve">lo procede ante la inexistencia de otros mecanismos de defensa judicial idóneos y efectivos o </w:t>
      </w:r>
      <w:r w:rsidR="00B5198A" w:rsidRPr="00E320CE">
        <w:rPr>
          <w:rFonts w:eastAsia="SimSun"/>
          <w:sz w:val="28"/>
          <w:szCs w:val="28"/>
          <w:lang w:val="es-MX"/>
        </w:rPr>
        <w:t xml:space="preserve">cuando es necesario </w:t>
      </w:r>
      <w:r w:rsidRPr="00E320CE">
        <w:rPr>
          <w:rFonts w:eastAsia="SimSun"/>
          <w:sz w:val="28"/>
          <w:szCs w:val="28"/>
          <w:lang w:val="es-MX"/>
        </w:rPr>
        <w:t xml:space="preserve">evitar un perjuicio irremediable. </w:t>
      </w:r>
    </w:p>
    <w:p w14:paraId="077B62E7" w14:textId="77777777" w:rsidR="002171B1" w:rsidRPr="00E320CE" w:rsidRDefault="002171B1" w:rsidP="009D264C">
      <w:pPr>
        <w:pStyle w:val="Prrafodelista"/>
        <w:autoSpaceDE/>
        <w:autoSpaceDN/>
        <w:ind w:left="0"/>
        <w:contextualSpacing w:val="0"/>
        <w:jc w:val="both"/>
        <w:rPr>
          <w:rFonts w:eastAsia="SimSun"/>
          <w:sz w:val="28"/>
          <w:szCs w:val="28"/>
          <w:lang w:val="es-MX"/>
        </w:rPr>
      </w:pPr>
    </w:p>
    <w:p w14:paraId="68CD79DB" w14:textId="28B893A3" w:rsidR="00F65FB5" w:rsidRPr="00E320CE" w:rsidRDefault="00F65FB5" w:rsidP="00F65FB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Como requisito fundamental </w:t>
      </w:r>
      <w:r w:rsidRPr="00E320CE">
        <w:rPr>
          <w:sz w:val="28"/>
          <w:szCs w:val="28"/>
        </w:rPr>
        <w:t xml:space="preserve">para que la Sala estudie de fondo la acción de tutela presentada por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lang w:val="es-CO"/>
        </w:rPr>
        <w:t xml:space="preserve">en contra de la Unión Temporal </w:t>
      </w:r>
      <w:proofErr w:type="spellStart"/>
      <w:r w:rsidRPr="00E320CE">
        <w:rPr>
          <w:sz w:val="28"/>
          <w:szCs w:val="28"/>
          <w:lang w:val="es-CO"/>
        </w:rPr>
        <w:t>Norsalud</w:t>
      </w:r>
      <w:proofErr w:type="spellEnd"/>
      <w:r w:rsidRPr="00E320CE">
        <w:rPr>
          <w:sz w:val="28"/>
          <w:szCs w:val="28"/>
          <w:lang w:val="es-CO"/>
        </w:rPr>
        <w:t xml:space="preserve"> PPL, la Unión Temporal Salud Integral PPL y </w:t>
      </w:r>
      <w:r w:rsidR="00DF3927" w:rsidRPr="00E320CE">
        <w:rPr>
          <w:sz w:val="28"/>
          <w:szCs w:val="28"/>
          <w:lang w:val="es-CO"/>
        </w:rPr>
        <w:t>el Establecimiento Penitenciario de Mediana Seguridad y Carcelario de Cartagena “Cárcel San Sebastián de Ternera”</w:t>
      </w:r>
      <w:r w:rsidRPr="00E320CE">
        <w:rPr>
          <w:sz w:val="28"/>
          <w:szCs w:val="28"/>
        </w:rPr>
        <w:t>, es necesario estudiar previamente si la tutela cumple con los requisitos de procedibilidad. Específicamente, la acción debe cumplir con los requisitos de (i) legitimación en la causa por activa, (</w:t>
      </w:r>
      <w:proofErr w:type="spellStart"/>
      <w:r w:rsidRPr="00E320CE">
        <w:rPr>
          <w:sz w:val="28"/>
          <w:szCs w:val="28"/>
        </w:rPr>
        <w:t>ii</w:t>
      </w:r>
      <w:proofErr w:type="spellEnd"/>
      <w:r w:rsidRPr="00E320CE">
        <w:rPr>
          <w:sz w:val="28"/>
          <w:szCs w:val="28"/>
        </w:rPr>
        <w:t>) legitimación en la causa por pasiva, (</w:t>
      </w:r>
      <w:proofErr w:type="spellStart"/>
      <w:r w:rsidRPr="00E320CE">
        <w:rPr>
          <w:sz w:val="28"/>
          <w:szCs w:val="28"/>
        </w:rPr>
        <w:t>iii</w:t>
      </w:r>
      <w:proofErr w:type="spellEnd"/>
      <w:r w:rsidRPr="00E320CE">
        <w:rPr>
          <w:sz w:val="28"/>
          <w:szCs w:val="28"/>
        </w:rPr>
        <w:t>) inmediatez y (</w:t>
      </w:r>
      <w:proofErr w:type="spellStart"/>
      <w:r w:rsidRPr="00E320CE">
        <w:rPr>
          <w:sz w:val="28"/>
          <w:szCs w:val="28"/>
        </w:rPr>
        <w:t>iv</w:t>
      </w:r>
      <w:proofErr w:type="spellEnd"/>
      <w:r w:rsidRPr="00E320CE">
        <w:rPr>
          <w:sz w:val="28"/>
          <w:szCs w:val="28"/>
        </w:rPr>
        <w:t>) subsidiariedad.</w:t>
      </w:r>
    </w:p>
    <w:p w14:paraId="2DC8BC59" w14:textId="77777777" w:rsidR="00F65FB5" w:rsidRPr="00E320CE" w:rsidRDefault="00F65FB5" w:rsidP="00F65FB5">
      <w:pPr>
        <w:pStyle w:val="Prrafodelista"/>
        <w:autoSpaceDE/>
        <w:autoSpaceDN/>
        <w:ind w:left="0"/>
        <w:contextualSpacing w:val="0"/>
        <w:jc w:val="both"/>
        <w:rPr>
          <w:rFonts w:eastAsia="SimSun"/>
          <w:sz w:val="28"/>
          <w:szCs w:val="28"/>
          <w:lang w:val="es-MX"/>
        </w:rPr>
      </w:pPr>
    </w:p>
    <w:p w14:paraId="08EE6A7E" w14:textId="08E30F21" w:rsidR="00F65FB5" w:rsidRPr="00E320CE" w:rsidRDefault="00F65FB5" w:rsidP="00F65FB5">
      <w:pPr>
        <w:pStyle w:val="Prrafodelista"/>
        <w:numPr>
          <w:ilvl w:val="0"/>
          <w:numId w:val="1"/>
        </w:numPr>
        <w:autoSpaceDE/>
        <w:autoSpaceDN/>
        <w:ind w:left="0" w:firstLine="0"/>
        <w:contextualSpacing w:val="0"/>
        <w:jc w:val="both"/>
        <w:rPr>
          <w:sz w:val="28"/>
          <w:szCs w:val="28"/>
        </w:rPr>
      </w:pPr>
      <w:r w:rsidRPr="00E320CE">
        <w:rPr>
          <w:rFonts w:eastAsia="SimSun"/>
          <w:sz w:val="28"/>
          <w:szCs w:val="28"/>
          <w:lang w:val="es-MX"/>
        </w:rPr>
        <w:t>En relación con el requisito</w:t>
      </w:r>
      <w:r w:rsidR="00CF1DAC" w:rsidRPr="00E320CE">
        <w:rPr>
          <w:rFonts w:eastAsia="SimSun"/>
          <w:sz w:val="28"/>
          <w:szCs w:val="28"/>
          <w:lang w:val="es-MX"/>
        </w:rPr>
        <w:t xml:space="preserve"> de </w:t>
      </w:r>
      <w:r w:rsidR="00CF1DAC" w:rsidRPr="00E320CE">
        <w:rPr>
          <w:rFonts w:eastAsia="SimSun"/>
          <w:b/>
          <w:sz w:val="28"/>
          <w:szCs w:val="28"/>
          <w:lang w:val="es-MX"/>
        </w:rPr>
        <w:t>legitimación en la causa por activa</w:t>
      </w:r>
      <w:r w:rsidRPr="00E320CE">
        <w:rPr>
          <w:rFonts w:eastAsia="SimSun"/>
          <w:sz w:val="28"/>
          <w:szCs w:val="28"/>
          <w:lang w:val="es-MX"/>
        </w:rPr>
        <w:t xml:space="preserve">, </w:t>
      </w:r>
      <w:r w:rsidRPr="00E320CE">
        <w:rPr>
          <w:sz w:val="28"/>
          <w:szCs w:val="28"/>
        </w:rPr>
        <w:t>de acuerdo con el artículo 10 del Decreto 2591 de 1991, la acción de tutela puede ser presentada (i) a nombre propio, (</w:t>
      </w:r>
      <w:proofErr w:type="spellStart"/>
      <w:r w:rsidRPr="00E320CE">
        <w:rPr>
          <w:sz w:val="28"/>
          <w:szCs w:val="28"/>
        </w:rPr>
        <w:t>ii</w:t>
      </w:r>
      <w:proofErr w:type="spellEnd"/>
      <w:r w:rsidRPr="00E320CE">
        <w:rPr>
          <w:sz w:val="28"/>
          <w:szCs w:val="28"/>
        </w:rPr>
        <w:t>) por medio de representante legal, (</w:t>
      </w:r>
      <w:proofErr w:type="spellStart"/>
      <w:r w:rsidRPr="00E320CE">
        <w:rPr>
          <w:sz w:val="28"/>
          <w:szCs w:val="28"/>
        </w:rPr>
        <w:t>iii</w:t>
      </w:r>
      <w:proofErr w:type="spellEnd"/>
      <w:r w:rsidRPr="00E320CE">
        <w:rPr>
          <w:sz w:val="28"/>
          <w:szCs w:val="28"/>
        </w:rPr>
        <w:t>) mediante apoderado judicial, o (</w:t>
      </w:r>
      <w:proofErr w:type="spellStart"/>
      <w:r w:rsidRPr="00E320CE">
        <w:rPr>
          <w:sz w:val="28"/>
          <w:szCs w:val="28"/>
        </w:rPr>
        <w:t>iv</w:t>
      </w:r>
      <w:proofErr w:type="spellEnd"/>
      <w:r w:rsidRPr="00E320CE">
        <w:rPr>
          <w:sz w:val="28"/>
          <w:szCs w:val="28"/>
        </w:rPr>
        <w:t>) a través del Defensor del Pueblo y los personeros municipales</w:t>
      </w:r>
      <w:r w:rsidRPr="00E320CE">
        <w:rPr>
          <w:rStyle w:val="Refdenotaalpie"/>
          <w:sz w:val="28"/>
          <w:szCs w:val="28"/>
        </w:rPr>
        <w:footnoteReference w:id="90"/>
      </w:r>
      <w:r w:rsidRPr="00E320CE">
        <w:rPr>
          <w:sz w:val="28"/>
          <w:szCs w:val="28"/>
        </w:rPr>
        <w:t xml:space="preserve">. En </w:t>
      </w:r>
      <w:r w:rsidR="00F37374" w:rsidRPr="00E320CE">
        <w:rPr>
          <w:sz w:val="28"/>
          <w:szCs w:val="28"/>
        </w:rPr>
        <w:t xml:space="preserve">el caso bajo estudio, se cumple el requisito de </w:t>
      </w:r>
      <w:r w:rsidR="00F37374" w:rsidRPr="00E320CE">
        <w:rPr>
          <w:sz w:val="28"/>
          <w:szCs w:val="28"/>
        </w:rPr>
        <w:lastRenderedPageBreak/>
        <w:t xml:space="preserve">legitimación en la causa por activa, ya que la acción de tutela fue interpuesta por el abogado de la titular </w:t>
      </w:r>
      <w:r w:rsidR="000408E7" w:rsidRPr="00E320CE">
        <w:rPr>
          <w:sz w:val="28"/>
          <w:szCs w:val="28"/>
        </w:rPr>
        <w:t>de los derechos posiblemente vulnerados, a quien la accionante le otorgó poder para instaurar el amparo constitucional en su nombre</w:t>
      </w:r>
      <w:r w:rsidR="004A3F3B" w:rsidRPr="00E320CE">
        <w:rPr>
          <w:rStyle w:val="Refdenotaalpie"/>
          <w:sz w:val="28"/>
          <w:szCs w:val="28"/>
        </w:rPr>
        <w:footnoteReference w:id="91"/>
      </w:r>
      <w:r w:rsidR="000408E7" w:rsidRPr="00E320CE">
        <w:rPr>
          <w:sz w:val="28"/>
          <w:szCs w:val="28"/>
        </w:rPr>
        <w:t xml:space="preserve">. </w:t>
      </w:r>
    </w:p>
    <w:p w14:paraId="3D78142D" w14:textId="77777777" w:rsidR="00F65FB5" w:rsidRPr="00E320CE" w:rsidRDefault="00F65FB5" w:rsidP="00F65FB5">
      <w:pPr>
        <w:pStyle w:val="Prrafodelista"/>
        <w:rPr>
          <w:sz w:val="28"/>
          <w:szCs w:val="28"/>
        </w:rPr>
      </w:pPr>
    </w:p>
    <w:p w14:paraId="42AAE939" w14:textId="1F97745D" w:rsidR="00F65FB5" w:rsidRPr="00E320CE" w:rsidRDefault="008A400D" w:rsidP="00F65FB5">
      <w:pPr>
        <w:pStyle w:val="Prrafodelista"/>
        <w:numPr>
          <w:ilvl w:val="0"/>
          <w:numId w:val="1"/>
        </w:numPr>
        <w:autoSpaceDE/>
        <w:autoSpaceDN/>
        <w:ind w:left="0" w:firstLine="0"/>
        <w:contextualSpacing w:val="0"/>
        <w:jc w:val="both"/>
        <w:rPr>
          <w:sz w:val="28"/>
          <w:szCs w:val="28"/>
        </w:rPr>
      </w:pPr>
      <w:r w:rsidRPr="00E320CE">
        <w:rPr>
          <w:sz w:val="28"/>
          <w:szCs w:val="28"/>
        </w:rPr>
        <w:t>R</w:t>
      </w:r>
      <w:r w:rsidR="00CF1DAC" w:rsidRPr="00E320CE">
        <w:rPr>
          <w:sz w:val="28"/>
          <w:szCs w:val="28"/>
        </w:rPr>
        <w:t xml:space="preserve">especto </w:t>
      </w:r>
      <w:r w:rsidR="007537A3" w:rsidRPr="00E320CE">
        <w:rPr>
          <w:sz w:val="28"/>
          <w:szCs w:val="28"/>
        </w:rPr>
        <w:t xml:space="preserve">del requisito de </w:t>
      </w:r>
      <w:r w:rsidR="00F65FB5" w:rsidRPr="00E320CE">
        <w:rPr>
          <w:b/>
          <w:sz w:val="28"/>
          <w:szCs w:val="28"/>
        </w:rPr>
        <w:t>legitimación en la causa por pasiva</w:t>
      </w:r>
      <w:r w:rsidR="007537A3" w:rsidRPr="00E320CE">
        <w:rPr>
          <w:sz w:val="28"/>
          <w:szCs w:val="28"/>
        </w:rPr>
        <w:t>, este</w:t>
      </w:r>
      <w:r w:rsidR="00F65FB5" w:rsidRPr="00E320CE">
        <w:rPr>
          <w:sz w:val="28"/>
          <w:szCs w:val="28"/>
        </w:rPr>
        <w:t xml:space="preserve"> </w:t>
      </w:r>
      <w:r w:rsidRPr="00E320CE">
        <w:rPr>
          <w:sz w:val="28"/>
          <w:szCs w:val="28"/>
        </w:rPr>
        <w:t xml:space="preserve">exige </w:t>
      </w:r>
      <w:r w:rsidR="00F65FB5" w:rsidRPr="00E320CE">
        <w:rPr>
          <w:sz w:val="28"/>
          <w:szCs w:val="28"/>
        </w:rPr>
        <w:t xml:space="preserve">que la acción de tutela haya sido interpuesta en contra de las </w:t>
      </w:r>
      <w:r w:rsidR="00F65FB5" w:rsidRPr="00E320CE">
        <w:rPr>
          <w:sz w:val="28"/>
          <w:szCs w:val="28"/>
          <w:lang w:val="es-ES"/>
        </w:rPr>
        <w:t>autoridades públicas o los particulares llamad</w:t>
      </w:r>
      <w:r w:rsidR="0075364D" w:rsidRPr="00E320CE">
        <w:rPr>
          <w:sz w:val="28"/>
          <w:szCs w:val="28"/>
          <w:lang w:val="es-ES"/>
        </w:rPr>
        <w:t>o</w:t>
      </w:r>
      <w:r w:rsidR="00F65FB5" w:rsidRPr="00E320CE">
        <w:rPr>
          <w:sz w:val="28"/>
          <w:szCs w:val="28"/>
          <w:lang w:val="es-ES"/>
        </w:rPr>
        <w:t>s a responder por la vulneración o amenaza de</w:t>
      </w:r>
      <w:r w:rsidR="0075364D" w:rsidRPr="00E320CE">
        <w:rPr>
          <w:sz w:val="28"/>
          <w:szCs w:val="28"/>
          <w:lang w:val="es-ES"/>
        </w:rPr>
        <w:t xml:space="preserve"> </w:t>
      </w:r>
      <w:r w:rsidR="00F65FB5" w:rsidRPr="00E320CE">
        <w:rPr>
          <w:sz w:val="28"/>
          <w:szCs w:val="28"/>
          <w:lang w:val="es-ES"/>
        </w:rPr>
        <w:t>l</w:t>
      </w:r>
      <w:r w:rsidR="0075364D" w:rsidRPr="00E320CE">
        <w:rPr>
          <w:sz w:val="28"/>
          <w:szCs w:val="28"/>
          <w:lang w:val="es-ES"/>
        </w:rPr>
        <w:t>os</w:t>
      </w:r>
      <w:r w:rsidR="00F65FB5" w:rsidRPr="00E320CE">
        <w:rPr>
          <w:sz w:val="28"/>
          <w:szCs w:val="28"/>
          <w:lang w:val="es-ES"/>
        </w:rPr>
        <w:t xml:space="preserve"> derecho</w:t>
      </w:r>
      <w:r w:rsidR="0075364D" w:rsidRPr="00E320CE">
        <w:rPr>
          <w:sz w:val="28"/>
          <w:szCs w:val="28"/>
          <w:lang w:val="es-ES"/>
        </w:rPr>
        <w:t>s</w:t>
      </w:r>
      <w:r w:rsidR="00F65FB5" w:rsidRPr="00E320CE">
        <w:rPr>
          <w:sz w:val="28"/>
          <w:szCs w:val="28"/>
          <w:lang w:val="es-ES"/>
        </w:rPr>
        <w:t xml:space="preserve"> fundamental</w:t>
      </w:r>
      <w:r w:rsidR="0075364D" w:rsidRPr="00E320CE">
        <w:rPr>
          <w:sz w:val="28"/>
          <w:szCs w:val="28"/>
          <w:lang w:val="es-ES"/>
        </w:rPr>
        <w:t>es</w:t>
      </w:r>
      <w:r w:rsidR="00F65FB5" w:rsidRPr="00E320CE">
        <w:rPr>
          <w:rStyle w:val="Refdenotaalpie"/>
          <w:sz w:val="28"/>
          <w:szCs w:val="28"/>
          <w:lang w:val="es-ES"/>
        </w:rPr>
        <w:footnoteReference w:id="92"/>
      </w:r>
      <w:r w:rsidR="00F65FB5" w:rsidRPr="00E320CE">
        <w:rPr>
          <w:sz w:val="28"/>
          <w:szCs w:val="28"/>
          <w:lang w:val="es-ES"/>
        </w:rPr>
        <w:t>. Según el artículo 86 de la Constitución, la tutela puede interponerse en contra de una entidad pública o de un particular, siempre que est</w:t>
      </w:r>
      <w:r w:rsidRPr="00E320CE">
        <w:rPr>
          <w:sz w:val="28"/>
          <w:szCs w:val="28"/>
          <w:lang w:val="es-ES"/>
        </w:rPr>
        <w:t>e</w:t>
      </w:r>
      <w:r w:rsidR="00F65FB5" w:rsidRPr="00E320CE">
        <w:rPr>
          <w:sz w:val="28"/>
          <w:szCs w:val="28"/>
          <w:lang w:val="es-ES"/>
        </w:rPr>
        <w:t xml:space="preserve"> último esté a cargo de la prestación de un servicio público, su conducta afecta grave y directamente el interés colectivo, o el accionante se encuentre en estado de subordinación o indefensión frente a él</w:t>
      </w:r>
      <w:r w:rsidR="00F65FB5" w:rsidRPr="00E320CE">
        <w:rPr>
          <w:rStyle w:val="Refdenotaalpie"/>
          <w:sz w:val="28"/>
          <w:szCs w:val="28"/>
          <w:lang w:val="es-ES"/>
        </w:rPr>
        <w:footnoteReference w:id="93"/>
      </w:r>
      <w:r w:rsidR="00F65FB5" w:rsidRPr="00E320CE">
        <w:rPr>
          <w:sz w:val="28"/>
          <w:szCs w:val="28"/>
          <w:lang w:val="es-ES"/>
        </w:rPr>
        <w:t>.</w:t>
      </w:r>
    </w:p>
    <w:p w14:paraId="31C2189C" w14:textId="77777777" w:rsidR="00F65FB5" w:rsidRPr="00E320CE" w:rsidRDefault="00F65FB5" w:rsidP="00F65FB5">
      <w:pPr>
        <w:pStyle w:val="Prrafodelista"/>
        <w:rPr>
          <w:sz w:val="28"/>
          <w:szCs w:val="28"/>
          <w:lang w:val="es-ES"/>
        </w:rPr>
      </w:pPr>
    </w:p>
    <w:p w14:paraId="358E7B57" w14:textId="7C1C8270" w:rsidR="00E6645B" w:rsidRPr="00E320CE" w:rsidRDefault="00F65FB5" w:rsidP="00F65FB5">
      <w:pPr>
        <w:pStyle w:val="Prrafodelista"/>
        <w:numPr>
          <w:ilvl w:val="0"/>
          <w:numId w:val="1"/>
        </w:numPr>
        <w:autoSpaceDE/>
        <w:autoSpaceDN/>
        <w:ind w:left="0" w:firstLine="0"/>
        <w:contextualSpacing w:val="0"/>
        <w:jc w:val="both"/>
        <w:rPr>
          <w:sz w:val="28"/>
          <w:szCs w:val="28"/>
        </w:rPr>
      </w:pPr>
      <w:r w:rsidRPr="00E320CE">
        <w:rPr>
          <w:sz w:val="28"/>
          <w:szCs w:val="28"/>
          <w:lang w:val="es-ES"/>
        </w:rPr>
        <w:t xml:space="preserve">En este caso, se acredita </w:t>
      </w:r>
      <w:r w:rsidRPr="00E320CE">
        <w:rPr>
          <w:color w:val="000000"/>
          <w:sz w:val="28"/>
          <w:szCs w:val="28"/>
          <w:shd w:val="clear" w:color="auto" w:fill="FFFFFF"/>
        </w:rPr>
        <w:t xml:space="preserve">la legitimación en la causa por pasiva en relación con </w:t>
      </w:r>
      <w:r w:rsidRPr="00E320CE">
        <w:rPr>
          <w:sz w:val="28"/>
          <w:szCs w:val="28"/>
          <w:lang w:val="es-CO"/>
        </w:rPr>
        <w:t xml:space="preserve">la Unión Temporal </w:t>
      </w:r>
      <w:proofErr w:type="spellStart"/>
      <w:r w:rsidRPr="00E320CE">
        <w:rPr>
          <w:sz w:val="28"/>
          <w:szCs w:val="28"/>
          <w:lang w:val="es-CO"/>
        </w:rPr>
        <w:t>Norsalud</w:t>
      </w:r>
      <w:proofErr w:type="spellEnd"/>
      <w:r w:rsidRPr="00E320CE">
        <w:rPr>
          <w:sz w:val="28"/>
          <w:szCs w:val="28"/>
          <w:lang w:val="es-CO"/>
        </w:rPr>
        <w:t xml:space="preserve"> PPL, la Unión Temporal Salud Integral PPL y </w:t>
      </w:r>
      <w:r w:rsidR="003244BB" w:rsidRPr="00E320CE">
        <w:rPr>
          <w:sz w:val="28"/>
          <w:szCs w:val="28"/>
          <w:lang w:val="es-CO"/>
        </w:rPr>
        <w:t>el Establecimiento Penitenciario de Mediana Seguridad y Carcelario de Cartagena “Cárcel San Sebastián de Ternera”</w:t>
      </w:r>
      <w:r w:rsidRPr="00E320CE">
        <w:rPr>
          <w:sz w:val="28"/>
          <w:szCs w:val="28"/>
        </w:rPr>
        <w:t xml:space="preserve">. En primer lugar, la accionante le atribuye la vulneración de sus derechos a la </w:t>
      </w:r>
      <w:r w:rsidRPr="00E320CE">
        <w:rPr>
          <w:sz w:val="28"/>
          <w:szCs w:val="28"/>
          <w:lang w:val="es-CO"/>
        </w:rPr>
        <w:t>Unión Temporal Salud Integral PPL, empresa que terminó su contrato de prestación de servicios</w:t>
      </w:r>
      <w:r w:rsidR="00577AB0" w:rsidRPr="00E320CE">
        <w:rPr>
          <w:sz w:val="28"/>
          <w:szCs w:val="28"/>
          <w:lang w:val="es-CO"/>
        </w:rPr>
        <w:t xml:space="preserve"> y es la presunta responsable de la vulneración</w:t>
      </w:r>
      <w:r w:rsidR="005F62E4" w:rsidRPr="00E320CE">
        <w:rPr>
          <w:sz w:val="28"/>
          <w:szCs w:val="28"/>
          <w:lang w:val="es-CO"/>
        </w:rPr>
        <w:t xml:space="preserve"> de su derecho a la estabilidad laboral reforzada</w:t>
      </w:r>
      <w:r w:rsidRPr="00E320CE">
        <w:rPr>
          <w:sz w:val="28"/>
          <w:szCs w:val="28"/>
          <w:lang w:val="es-CO"/>
        </w:rPr>
        <w:t xml:space="preserve">. </w:t>
      </w:r>
      <w:r w:rsidR="008F22B8" w:rsidRPr="00E320CE">
        <w:rPr>
          <w:color w:val="000000"/>
          <w:sz w:val="28"/>
          <w:szCs w:val="28"/>
        </w:rPr>
        <w:t>En este contexto</w:t>
      </w:r>
      <w:r w:rsidRPr="00E320CE">
        <w:rPr>
          <w:color w:val="000000"/>
          <w:sz w:val="28"/>
          <w:szCs w:val="28"/>
        </w:rPr>
        <w:t xml:space="preserve">, </w:t>
      </w:r>
      <w:r w:rsidR="00301277" w:rsidRPr="00E320CE">
        <w:rPr>
          <w:color w:val="000000"/>
          <w:sz w:val="28"/>
          <w:szCs w:val="28"/>
        </w:rPr>
        <w:t>entre la UT Salud Integral</w:t>
      </w:r>
      <w:r w:rsidR="0028312D" w:rsidRPr="00E320CE">
        <w:rPr>
          <w:color w:val="000000"/>
          <w:sz w:val="28"/>
          <w:szCs w:val="28"/>
        </w:rPr>
        <w:t xml:space="preserve"> PPL</w:t>
      </w:r>
      <w:r w:rsidR="00301277" w:rsidRPr="00E320CE">
        <w:rPr>
          <w:color w:val="000000"/>
          <w:sz w:val="28"/>
          <w:szCs w:val="28"/>
        </w:rPr>
        <w:t xml:space="preserve"> y </w:t>
      </w:r>
      <w:r w:rsidRPr="00E320CE">
        <w:rPr>
          <w:color w:val="000000"/>
          <w:sz w:val="28"/>
          <w:szCs w:val="28"/>
        </w:rPr>
        <w:t>la demandant</w:t>
      </w:r>
      <w:r w:rsidR="008F22B8" w:rsidRPr="00E320CE">
        <w:rPr>
          <w:color w:val="000000"/>
          <w:sz w:val="28"/>
          <w:szCs w:val="28"/>
        </w:rPr>
        <w:t>e</w:t>
      </w:r>
      <w:r w:rsidR="00301277" w:rsidRPr="00E320CE">
        <w:rPr>
          <w:color w:val="000000"/>
          <w:sz w:val="28"/>
          <w:szCs w:val="28"/>
        </w:rPr>
        <w:t xml:space="preserve"> existía</w:t>
      </w:r>
      <w:r w:rsidRPr="00E320CE">
        <w:rPr>
          <w:color w:val="000000"/>
          <w:sz w:val="28"/>
          <w:szCs w:val="28"/>
        </w:rPr>
        <w:t xml:space="preserve"> una situación de subordinación </w:t>
      </w:r>
      <w:r w:rsidR="0016115C" w:rsidRPr="00E320CE">
        <w:rPr>
          <w:color w:val="000000"/>
          <w:sz w:val="28"/>
          <w:szCs w:val="28"/>
        </w:rPr>
        <w:t>derivada de su vinculación mediante contrato de prestación de servicios</w:t>
      </w:r>
      <w:r w:rsidRPr="00E320CE">
        <w:rPr>
          <w:color w:val="000000"/>
          <w:sz w:val="28"/>
          <w:szCs w:val="28"/>
        </w:rPr>
        <w:t xml:space="preserve">. </w:t>
      </w:r>
    </w:p>
    <w:p w14:paraId="361E784C" w14:textId="77777777" w:rsidR="00E6645B" w:rsidRPr="00E320CE" w:rsidRDefault="00E6645B" w:rsidP="00FC18DA">
      <w:pPr>
        <w:pStyle w:val="Prrafodelista"/>
        <w:rPr>
          <w:color w:val="000000"/>
          <w:sz w:val="28"/>
          <w:szCs w:val="28"/>
        </w:rPr>
      </w:pPr>
    </w:p>
    <w:p w14:paraId="38E05582" w14:textId="5B0F2746" w:rsidR="00C75E88" w:rsidRPr="00E320CE" w:rsidRDefault="00F65FB5" w:rsidP="00F65FB5">
      <w:pPr>
        <w:pStyle w:val="Prrafodelista"/>
        <w:numPr>
          <w:ilvl w:val="0"/>
          <w:numId w:val="1"/>
        </w:numPr>
        <w:autoSpaceDE/>
        <w:autoSpaceDN/>
        <w:ind w:left="0" w:firstLine="0"/>
        <w:contextualSpacing w:val="0"/>
        <w:jc w:val="both"/>
        <w:rPr>
          <w:sz w:val="28"/>
          <w:szCs w:val="28"/>
        </w:rPr>
      </w:pPr>
      <w:r w:rsidRPr="00E320CE">
        <w:rPr>
          <w:color w:val="000000"/>
          <w:sz w:val="28"/>
          <w:szCs w:val="28"/>
        </w:rPr>
        <w:t>En segundo lugar,</w:t>
      </w:r>
      <w:r w:rsidR="00274BF4" w:rsidRPr="00E320CE">
        <w:rPr>
          <w:color w:val="000000"/>
          <w:sz w:val="28"/>
          <w:szCs w:val="28"/>
        </w:rPr>
        <w:t xml:space="preserve"> </w:t>
      </w:r>
      <w:r w:rsidR="00FB5A86" w:rsidRPr="00E320CE">
        <w:rPr>
          <w:color w:val="000000"/>
          <w:sz w:val="28"/>
          <w:szCs w:val="28"/>
        </w:rPr>
        <w:t>se encuentra acreditada la legitimación en la causa por pasiva de la U</w:t>
      </w:r>
      <w:r w:rsidR="0028312D" w:rsidRPr="00E320CE">
        <w:rPr>
          <w:color w:val="000000"/>
          <w:sz w:val="28"/>
          <w:szCs w:val="28"/>
        </w:rPr>
        <w:t>T</w:t>
      </w:r>
      <w:r w:rsidR="00FB5A86" w:rsidRPr="00E320CE">
        <w:rPr>
          <w:color w:val="000000"/>
          <w:sz w:val="28"/>
          <w:szCs w:val="28"/>
        </w:rPr>
        <w:t xml:space="preserve"> </w:t>
      </w:r>
      <w:proofErr w:type="spellStart"/>
      <w:r w:rsidR="00FB5A86" w:rsidRPr="00E320CE">
        <w:rPr>
          <w:color w:val="000000"/>
          <w:sz w:val="28"/>
          <w:szCs w:val="28"/>
        </w:rPr>
        <w:t>Norsalud</w:t>
      </w:r>
      <w:proofErr w:type="spellEnd"/>
      <w:r w:rsidR="00FB5A86" w:rsidRPr="00E320CE">
        <w:rPr>
          <w:color w:val="000000"/>
          <w:sz w:val="28"/>
          <w:szCs w:val="28"/>
        </w:rPr>
        <w:t xml:space="preserve"> PPL,</w:t>
      </w:r>
      <w:r w:rsidR="00F531C5" w:rsidRPr="00E320CE">
        <w:rPr>
          <w:color w:val="000000"/>
          <w:sz w:val="28"/>
          <w:szCs w:val="28"/>
        </w:rPr>
        <w:t xml:space="preserve"> pues </w:t>
      </w:r>
      <w:r w:rsidR="00212ECC" w:rsidRPr="00E320CE">
        <w:rPr>
          <w:color w:val="000000"/>
          <w:sz w:val="28"/>
          <w:szCs w:val="28"/>
        </w:rPr>
        <w:t xml:space="preserve">ante </w:t>
      </w:r>
      <w:r w:rsidR="00F94971" w:rsidRPr="00E320CE">
        <w:rPr>
          <w:color w:val="000000"/>
          <w:sz w:val="28"/>
          <w:szCs w:val="28"/>
        </w:rPr>
        <w:t xml:space="preserve">la existencia de una </w:t>
      </w:r>
      <w:r w:rsidR="00D07A54" w:rsidRPr="00E320CE">
        <w:rPr>
          <w:color w:val="000000"/>
          <w:sz w:val="28"/>
          <w:szCs w:val="28"/>
        </w:rPr>
        <w:t xml:space="preserve">presunta </w:t>
      </w:r>
      <w:r w:rsidR="00F94971" w:rsidRPr="00E320CE">
        <w:rPr>
          <w:color w:val="000000"/>
          <w:sz w:val="28"/>
          <w:szCs w:val="28"/>
        </w:rPr>
        <w:t xml:space="preserve">sustitución patronal entre </w:t>
      </w:r>
      <w:r w:rsidR="00D07A54" w:rsidRPr="00E320CE">
        <w:rPr>
          <w:color w:val="000000"/>
          <w:sz w:val="28"/>
          <w:szCs w:val="28"/>
        </w:rPr>
        <w:t xml:space="preserve">la </w:t>
      </w:r>
      <w:r w:rsidR="00F94971" w:rsidRPr="00E320CE">
        <w:rPr>
          <w:color w:val="000000"/>
          <w:sz w:val="28"/>
          <w:szCs w:val="28"/>
        </w:rPr>
        <w:t xml:space="preserve">UT Salud Integral y la UT </w:t>
      </w:r>
      <w:proofErr w:type="spellStart"/>
      <w:r w:rsidR="00F94971" w:rsidRPr="00E320CE">
        <w:rPr>
          <w:color w:val="000000"/>
          <w:sz w:val="28"/>
          <w:szCs w:val="28"/>
        </w:rPr>
        <w:t>Norsalud</w:t>
      </w:r>
      <w:proofErr w:type="spellEnd"/>
      <w:r w:rsidR="00F94971" w:rsidRPr="00E320CE">
        <w:rPr>
          <w:color w:val="000000"/>
          <w:sz w:val="28"/>
          <w:szCs w:val="28"/>
        </w:rPr>
        <w:t>,</w:t>
      </w:r>
      <w:r w:rsidR="00D07A54" w:rsidRPr="00E320CE">
        <w:rPr>
          <w:color w:val="000000"/>
          <w:sz w:val="28"/>
          <w:szCs w:val="28"/>
        </w:rPr>
        <w:t xml:space="preserve"> </w:t>
      </w:r>
      <w:r w:rsidR="00F94971" w:rsidRPr="00E320CE">
        <w:rPr>
          <w:color w:val="000000"/>
          <w:sz w:val="28"/>
          <w:szCs w:val="28"/>
        </w:rPr>
        <w:t>esta última podría ser la llamada a materializar una orden de reintegro y asum</w:t>
      </w:r>
      <w:r w:rsidR="0097037D" w:rsidRPr="00E320CE">
        <w:rPr>
          <w:color w:val="000000"/>
          <w:sz w:val="28"/>
          <w:szCs w:val="28"/>
        </w:rPr>
        <w:t>ir el reconocimiento de l</w:t>
      </w:r>
      <w:r w:rsidR="00D07A54" w:rsidRPr="00E320CE">
        <w:rPr>
          <w:color w:val="000000"/>
          <w:sz w:val="28"/>
          <w:szCs w:val="28"/>
        </w:rPr>
        <w:t>os derechos</w:t>
      </w:r>
      <w:r w:rsidR="0097037D" w:rsidRPr="00E320CE">
        <w:rPr>
          <w:color w:val="000000"/>
          <w:sz w:val="28"/>
          <w:szCs w:val="28"/>
        </w:rPr>
        <w:t xml:space="preserve"> laborales </w:t>
      </w:r>
      <w:r w:rsidR="00D07A54" w:rsidRPr="00E320CE">
        <w:rPr>
          <w:color w:val="000000"/>
          <w:sz w:val="28"/>
          <w:szCs w:val="28"/>
        </w:rPr>
        <w:t>que se adeuden</w:t>
      </w:r>
      <w:r w:rsidR="0097037D" w:rsidRPr="00E320CE">
        <w:rPr>
          <w:color w:val="000000"/>
          <w:sz w:val="28"/>
          <w:szCs w:val="28"/>
        </w:rPr>
        <w:t>.</w:t>
      </w:r>
    </w:p>
    <w:p w14:paraId="113D3432" w14:textId="77777777" w:rsidR="00C75E88" w:rsidRPr="00E320CE" w:rsidRDefault="00C75E88" w:rsidP="00F64C63">
      <w:pPr>
        <w:pStyle w:val="Prrafodelista"/>
        <w:rPr>
          <w:sz w:val="28"/>
          <w:szCs w:val="28"/>
        </w:rPr>
      </w:pPr>
    </w:p>
    <w:p w14:paraId="3ED40B5D" w14:textId="46593CE0" w:rsidR="005979A1" w:rsidRPr="00E320CE" w:rsidRDefault="006D0236" w:rsidP="003E473E">
      <w:pPr>
        <w:pStyle w:val="Prrafodelista"/>
        <w:numPr>
          <w:ilvl w:val="0"/>
          <w:numId w:val="1"/>
        </w:numPr>
        <w:autoSpaceDE/>
        <w:autoSpaceDN/>
        <w:ind w:left="0" w:firstLine="0"/>
        <w:contextualSpacing w:val="0"/>
        <w:jc w:val="both"/>
        <w:rPr>
          <w:sz w:val="28"/>
          <w:szCs w:val="28"/>
        </w:rPr>
      </w:pPr>
      <w:r w:rsidRPr="00E320CE">
        <w:rPr>
          <w:sz w:val="28"/>
          <w:szCs w:val="28"/>
          <w:lang w:val="es-CO"/>
        </w:rPr>
        <w:t>En tercer lugar</w:t>
      </w:r>
      <w:r w:rsidR="00D07A54" w:rsidRPr="00E320CE">
        <w:rPr>
          <w:sz w:val="28"/>
          <w:szCs w:val="28"/>
          <w:lang w:val="es-CO"/>
        </w:rPr>
        <w:t xml:space="preserve">, </w:t>
      </w:r>
      <w:r w:rsidR="001D10BC" w:rsidRPr="00E320CE">
        <w:rPr>
          <w:sz w:val="28"/>
          <w:szCs w:val="28"/>
          <w:lang w:val="es-CO"/>
        </w:rPr>
        <w:t xml:space="preserve">no </w:t>
      </w:r>
      <w:r w:rsidR="00A137DF" w:rsidRPr="00E320CE">
        <w:rPr>
          <w:sz w:val="28"/>
          <w:szCs w:val="28"/>
          <w:lang w:val="es-CO"/>
        </w:rPr>
        <w:t>se acredita</w:t>
      </w:r>
      <w:r w:rsidR="001D10BC" w:rsidRPr="00E320CE">
        <w:rPr>
          <w:sz w:val="28"/>
          <w:szCs w:val="28"/>
          <w:lang w:val="es-CO"/>
        </w:rPr>
        <w:t xml:space="preserve"> la legitimación en la causa por pasiva del Establecimiento Penitenciario de Mediana Seguridad y Carcelario de Cartagena “Cárcel San Sebastián de Ternera”, entidad que</w:t>
      </w:r>
      <w:r w:rsidR="00487B38" w:rsidRPr="00E320CE">
        <w:rPr>
          <w:sz w:val="28"/>
          <w:szCs w:val="28"/>
          <w:lang w:val="es-CO"/>
        </w:rPr>
        <w:t xml:space="preserve">, pese a haber sido </w:t>
      </w:r>
      <w:r w:rsidR="001D10BC" w:rsidRPr="00E320CE">
        <w:rPr>
          <w:sz w:val="28"/>
          <w:szCs w:val="28"/>
          <w:lang w:val="es-CO"/>
        </w:rPr>
        <w:t>vinculada al proceso</w:t>
      </w:r>
      <w:r w:rsidR="00487B38" w:rsidRPr="00E320CE">
        <w:rPr>
          <w:sz w:val="28"/>
          <w:szCs w:val="28"/>
          <w:lang w:val="es-CO"/>
        </w:rPr>
        <w:t>,</w:t>
      </w:r>
      <w:r w:rsidR="001D10BC" w:rsidRPr="00E320CE">
        <w:rPr>
          <w:sz w:val="28"/>
          <w:szCs w:val="28"/>
          <w:lang w:val="es-CO"/>
        </w:rPr>
        <w:t xml:space="preserve"> guardó </w:t>
      </w:r>
      <w:proofErr w:type="spellStart"/>
      <w:r w:rsidR="001D10BC" w:rsidRPr="00E320CE">
        <w:rPr>
          <w:sz w:val="28"/>
          <w:szCs w:val="28"/>
          <w:lang w:val="es-CO"/>
        </w:rPr>
        <w:t>silenció</w:t>
      </w:r>
      <w:proofErr w:type="spellEnd"/>
      <w:r w:rsidR="001D10BC" w:rsidRPr="00E320CE">
        <w:rPr>
          <w:sz w:val="28"/>
          <w:szCs w:val="28"/>
          <w:lang w:val="es-CO"/>
        </w:rPr>
        <w:t xml:space="preserve">. Como </w:t>
      </w:r>
      <w:r w:rsidR="00487B38" w:rsidRPr="00E320CE">
        <w:rPr>
          <w:sz w:val="28"/>
          <w:szCs w:val="28"/>
          <w:lang w:val="es-CO"/>
        </w:rPr>
        <w:t xml:space="preserve">se reconoció </w:t>
      </w:r>
      <w:r w:rsidR="001D10BC" w:rsidRPr="00E320CE">
        <w:rPr>
          <w:sz w:val="28"/>
          <w:szCs w:val="28"/>
          <w:lang w:val="es-CO"/>
        </w:rPr>
        <w:t>en la Sentencia T-321 de 2023</w:t>
      </w:r>
      <w:r w:rsidR="00487B38" w:rsidRPr="00E320CE">
        <w:rPr>
          <w:sz w:val="28"/>
          <w:szCs w:val="28"/>
          <w:lang w:val="es-CO"/>
        </w:rPr>
        <w:t xml:space="preserve"> de la Corte Constitucional</w:t>
      </w:r>
      <w:r w:rsidR="001D10BC" w:rsidRPr="00E320CE">
        <w:rPr>
          <w:sz w:val="28"/>
          <w:szCs w:val="28"/>
          <w:lang w:val="es-CO"/>
        </w:rPr>
        <w:t xml:space="preserve">, </w:t>
      </w:r>
      <w:r w:rsidR="00EE1312" w:rsidRPr="00E320CE">
        <w:rPr>
          <w:sz w:val="28"/>
          <w:szCs w:val="28"/>
          <w:lang w:val="es-CO"/>
        </w:rPr>
        <w:t>las funciones de los establecimientos de reclusión están contempladas en el artículo 30 del Decreto 4151 de 2011</w:t>
      </w:r>
      <w:r w:rsidR="005979A1" w:rsidRPr="00E320CE">
        <w:rPr>
          <w:rStyle w:val="Refdenotaalpie"/>
          <w:sz w:val="28"/>
          <w:szCs w:val="28"/>
          <w:lang w:val="es-CO"/>
        </w:rPr>
        <w:footnoteReference w:id="94"/>
      </w:r>
      <w:r w:rsidR="00EE1312" w:rsidRPr="00E320CE">
        <w:rPr>
          <w:sz w:val="28"/>
          <w:szCs w:val="28"/>
          <w:lang w:val="es-CO"/>
        </w:rPr>
        <w:t xml:space="preserve">. Estas incluyen ejecutar las medidas de custodia y vigilancia de las personas privadas de la libertad, los proyectos y programas de atención integral, rehabilitación y tratamiento penitenciario, los procedimientos y actividades para la administración, desarrollo y fortalecimiento del talento humano, entre otros. </w:t>
      </w:r>
    </w:p>
    <w:p w14:paraId="67C4CFF7" w14:textId="77777777" w:rsidR="005979A1" w:rsidRPr="00E320CE" w:rsidRDefault="005979A1" w:rsidP="005979A1">
      <w:pPr>
        <w:pStyle w:val="Prrafodelista"/>
        <w:rPr>
          <w:sz w:val="28"/>
          <w:szCs w:val="28"/>
          <w:lang w:val="es-CO"/>
        </w:rPr>
      </w:pPr>
    </w:p>
    <w:p w14:paraId="1588D5D6" w14:textId="0BF129FF" w:rsidR="001D10BC" w:rsidRPr="00E320CE" w:rsidRDefault="005979A1" w:rsidP="003E473E">
      <w:pPr>
        <w:pStyle w:val="Prrafodelista"/>
        <w:numPr>
          <w:ilvl w:val="0"/>
          <w:numId w:val="1"/>
        </w:numPr>
        <w:autoSpaceDE/>
        <w:autoSpaceDN/>
        <w:ind w:left="0" w:firstLine="0"/>
        <w:contextualSpacing w:val="0"/>
        <w:jc w:val="both"/>
        <w:rPr>
          <w:sz w:val="28"/>
          <w:szCs w:val="28"/>
        </w:rPr>
      </w:pPr>
      <w:r w:rsidRPr="00E320CE">
        <w:rPr>
          <w:sz w:val="28"/>
          <w:szCs w:val="28"/>
          <w:lang w:val="es-CO"/>
        </w:rPr>
        <w:t xml:space="preserve">Las funciones establecidas en la norma no </w:t>
      </w:r>
      <w:r w:rsidR="00487B38" w:rsidRPr="00E320CE">
        <w:rPr>
          <w:sz w:val="28"/>
          <w:szCs w:val="28"/>
          <w:lang w:val="es-CO"/>
        </w:rPr>
        <w:t xml:space="preserve">asignan </w:t>
      </w:r>
      <w:r w:rsidRPr="00E320CE">
        <w:rPr>
          <w:sz w:val="28"/>
          <w:szCs w:val="28"/>
          <w:lang w:val="es-CO"/>
        </w:rPr>
        <w:t xml:space="preserve">a los establecimientos de reclusión </w:t>
      </w:r>
      <w:r w:rsidR="00487B38" w:rsidRPr="00E320CE">
        <w:rPr>
          <w:sz w:val="28"/>
          <w:szCs w:val="28"/>
          <w:lang w:val="es-CO"/>
        </w:rPr>
        <w:t xml:space="preserve">la función </w:t>
      </w:r>
      <w:r w:rsidRPr="00E320CE">
        <w:rPr>
          <w:sz w:val="28"/>
          <w:szCs w:val="28"/>
          <w:lang w:val="es-CO"/>
        </w:rPr>
        <w:t xml:space="preserve">de prestar los servicios de salud </w:t>
      </w:r>
      <w:r w:rsidR="00D05B13" w:rsidRPr="00E320CE">
        <w:rPr>
          <w:sz w:val="28"/>
          <w:szCs w:val="28"/>
          <w:lang w:val="es-CO"/>
        </w:rPr>
        <w:t>a</w:t>
      </w:r>
      <w:r w:rsidRPr="00E320CE">
        <w:rPr>
          <w:sz w:val="28"/>
          <w:szCs w:val="28"/>
          <w:lang w:val="es-CO"/>
        </w:rPr>
        <w:t xml:space="preserve"> la población privada de la libertad ni </w:t>
      </w:r>
      <w:r w:rsidR="00487B38" w:rsidRPr="00E320CE">
        <w:rPr>
          <w:sz w:val="28"/>
          <w:szCs w:val="28"/>
          <w:lang w:val="es-CO"/>
        </w:rPr>
        <w:t xml:space="preserve">la obligación </w:t>
      </w:r>
      <w:r w:rsidRPr="00E320CE">
        <w:rPr>
          <w:sz w:val="28"/>
          <w:szCs w:val="28"/>
          <w:lang w:val="es-CO"/>
        </w:rPr>
        <w:t xml:space="preserve">de contratar </w:t>
      </w:r>
      <w:r w:rsidR="00720356" w:rsidRPr="00E320CE">
        <w:rPr>
          <w:sz w:val="28"/>
          <w:szCs w:val="28"/>
          <w:lang w:val="es-CO"/>
        </w:rPr>
        <w:t>su</w:t>
      </w:r>
      <w:r w:rsidRPr="00E320CE">
        <w:rPr>
          <w:sz w:val="28"/>
          <w:szCs w:val="28"/>
          <w:lang w:val="es-CO"/>
        </w:rPr>
        <w:t xml:space="preserve"> prestación integral y oportuna. Por es</w:t>
      </w:r>
      <w:r w:rsidR="00EC4916" w:rsidRPr="00E320CE">
        <w:rPr>
          <w:sz w:val="28"/>
          <w:szCs w:val="28"/>
          <w:lang w:val="es-CO"/>
        </w:rPr>
        <w:t>t</w:t>
      </w:r>
      <w:r w:rsidRPr="00E320CE">
        <w:rPr>
          <w:sz w:val="28"/>
          <w:szCs w:val="28"/>
          <w:lang w:val="es-CO"/>
        </w:rPr>
        <w:t xml:space="preserve">a razón, el Establecimiento Penitenciario de Mediana Seguridad y Carcelario de Cartagena “Cárcel San Sebastián de Ternera” no tiene relación con la vinculación ni </w:t>
      </w:r>
      <w:r w:rsidR="00EC4916" w:rsidRPr="00E320CE">
        <w:rPr>
          <w:sz w:val="28"/>
          <w:szCs w:val="28"/>
          <w:lang w:val="es-CO"/>
        </w:rPr>
        <w:t xml:space="preserve">con </w:t>
      </w:r>
      <w:r w:rsidRPr="00E320CE">
        <w:rPr>
          <w:sz w:val="28"/>
          <w:szCs w:val="28"/>
          <w:lang w:val="es-CO"/>
        </w:rPr>
        <w:t>la terminación contractual de la accionante, por lo que no está llamad</w:t>
      </w:r>
      <w:r w:rsidR="00EC4916" w:rsidRPr="00E320CE">
        <w:rPr>
          <w:sz w:val="28"/>
          <w:szCs w:val="28"/>
          <w:lang w:val="es-CO"/>
        </w:rPr>
        <w:t>o</w:t>
      </w:r>
      <w:r w:rsidRPr="00E320CE">
        <w:rPr>
          <w:sz w:val="28"/>
          <w:szCs w:val="28"/>
          <w:lang w:val="es-CO"/>
        </w:rPr>
        <w:t xml:space="preserve"> a responder por la presunta vulneración</w:t>
      </w:r>
      <w:r w:rsidR="00EC4916" w:rsidRPr="00E320CE">
        <w:rPr>
          <w:sz w:val="28"/>
          <w:szCs w:val="28"/>
          <w:lang w:val="es-CO"/>
        </w:rPr>
        <w:t xml:space="preserve"> de los derechos fundamentales reclamados</w:t>
      </w:r>
      <w:r w:rsidRPr="00E320CE">
        <w:rPr>
          <w:sz w:val="28"/>
          <w:szCs w:val="28"/>
          <w:lang w:val="es-CO"/>
        </w:rPr>
        <w:t>.</w:t>
      </w:r>
    </w:p>
    <w:p w14:paraId="3D803F18" w14:textId="77777777" w:rsidR="001D10BC" w:rsidRPr="00E320CE" w:rsidRDefault="001D10BC" w:rsidP="001D10BC">
      <w:pPr>
        <w:pStyle w:val="Prrafodelista"/>
        <w:rPr>
          <w:sz w:val="28"/>
          <w:szCs w:val="28"/>
        </w:rPr>
      </w:pPr>
    </w:p>
    <w:p w14:paraId="7ED8D2FC" w14:textId="3FBC70D5" w:rsidR="00916192" w:rsidRPr="00E320CE" w:rsidRDefault="00B300E7" w:rsidP="00916192">
      <w:pPr>
        <w:pStyle w:val="Prrafodelista"/>
        <w:numPr>
          <w:ilvl w:val="0"/>
          <w:numId w:val="1"/>
        </w:numPr>
        <w:autoSpaceDE/>
        <w:autoSpaceDN/>
        <w:ind w:left="0" w:firstLine="0"/>
        <w:contextualSpacing w:val="0"/>
        <w:jc w:val="both"/>
        <w:rPr>
          <w:sz w:val="28"/>
          <w:szCs w:val="28"/>
        </w:rPr>
      </w:pPr>
      <w:r w:rsidRPr="00E320CE">
        <w:rPr>
          <w:sz w:val="28"/>
          <w:szCs w:val="28"/>
        </w:rPr>
        <w:t xml:space="preserve">Por último, </w:t>
      </w:r>
      <w:r w:rsidR="00EC4916" w:rsidRPr="00E320CE">
        <w:rPr>
          <w:sz w:val="28"/>
          <w:szCs w:val="28"/>
        </w:rPr>
        <w:t>aunque</w:t>
      </w:r>
      <w:r w:rsidRPr="00E320CE">
        <w:rPr>
          <w:sz w:val="28"/>
          <w:szCs w:val="28"/>
        </w:rPr>
        <w:t xml:space="preserve"> la </w:t>
      </w:r>
      <w:r w:rsidRPr="00E320CE">
        <w:rPr>
          <w:sz w:val="28"/>
          <w:szCs w:val="28"/>
          <w:lang w:val="es-CO"/>
        </w:rPr>
        <w:t xml:space="preserve">Unidad de Servicios Penitenciarios y Carcelarios – USPEC no fue vinculada al trámite constitucional, </w:t>
      </w:r>
      <w:r w:rsidR="00EC4916" w:rsidRPr="00E320CE">
        <w:rPr>
          <w:sz w:val="28"/>
          <w:szCs w:val="28"/>
          <w:lang w:val="es-CO"/>
        </w:rPr>
        <w:t xml:space="preserve">compareció </w:t>
      </w:r>
      <w:r w:rsidRPr="00E320CE">
        <w:rPr>
          <w:sz w:val="28"/>
          <w:szCs w:val="28"/>
          <w:lang w:val="es-CO"/>
        </w:rPr>
        <w:t>a la acción de tutela</w:t>
      </w:r>
      <w:r w:rsidR="00EC4916" w:rsidRPr="00E320CE">
        <w:rPr>
          <w:sz w:val="28"/>
          <w:szCs w:val="28"/>
          <w:lang w:val="es-CO"/>
        </w:rPr>
        <w:t xml:space="preserve"> tras ser </w:t>
      </w:r>
      <w:r w:rsidR="006F3335" w:rsidRPr="00E320CE">
        <w:rPr>
          <w:sz w:val="28"/>
          <w:szCs w:val="28"/>
          <w:lang w:val="es-CO"/>
        </w:rPr>
        <w:t>notificada</w:t>
      </w:r>
      <w:r w:rsidRPr="00E320CE">
        <w:rPr>
          <w:sz w:val="28"/>
          <w:szCs w:val="28"/>
          <w:lang w:val="es-CO"/>
        </w:rPr>
        <w:t xml:space="preserve"> del auto admisorio</w:t>
      </w:r>
      <w:r w:rsidR="00EC4916" w:rsidRPr="00E320CE">
        <w:rPr>
          <w:sz w:val="28"/>
          <w:szCs w:val="28"/>
          <w:lang w:val="es-CO"/>
        </w:rPr>
        <w:t>. Por ello, es necesario determinar si tiene</w:t>
      </w:r>
      <w:r w:rsidRPr="00E320CE">
        <w:rPr>
          <w:sz w:val="28"/>
          <w:szCs w:val="28"/>
          <w:lang w:val="es-CO"/>
        </w:rPr>
        <w:t xml:space="preserve"> legitimación en la causa por </w:t>
      </w:r>
      <w:r w:rsidR="00EC4916" w:rsidRPr="00E320CE">
        <w:rPr>
          <w:sz w:val="28"/>
          <w:szCs w:val="28"/>
          <w:lang w:val="es-CO"/>
        </w:rPr>
        <w:t>pasiva</w:t>
      </w:r>
      <w:r w:rsidRPr="00E320CE">
        <w:rPr>
          <w:sz w:val="28"/>
          <w:szCs w:val="28"/>
          <w:lang w:val="es-CO"/>
        </w:rPr>
        <w:t xml:space="preserve">. </w:t>
      </w:r>
      <w:r w:rsidR="00EC4916" w:rsidRPr="00E320CE">
        <w:rPr>
          <w:sz w:val="28"/>
          <w:szCs w:val="28"/>
        </w:rPr>
        <w:t>Al efecto, se debe señalar que</w:t>
      </w:r>
      <w:r w:rsidR="000B5C5C" w:rsidRPr="00E320CE">
        <w:rPr>
          <w:sz w:val="28"/>
          <w:szCs w:val="28"/>
        </w:rPr>
        <w:t xml:space="preserve"> la USPEC fue creada por medio del Decreto 4150 de 2011 con el fin de tener una entidad pública dedicada </w:t>
      </w:r>
      <w:r w:rsidR="002915FF" w:rsidRPr="00E320CE">
        <w:rPr>
          <w:sz w:val="28"/>
          <w:szCs w:val="28"/>
        </w:rPr>
        <w:t xml:space="preserve">exclusivamente </w:t>
      </w:r>
      <w:r w:rsidR="000B5C5C" w:rsidRPr="00E320CE">
        <w:rPr>
          <w:sz w:val="28"/>
          <w:szCs w:val="28"/>
        </w:rPr>
        <w:t>al “suministro de los bienes y la prestación de los servicios requeridos para garantizar el bienestar de la población privada de la libertad”</w:t>
      </w:r>
      <w:r w:rsidR="000B5C5C" w:rsidRPr="00E320CE">
        <w:rPr>
          <w:rStyle w:val="Refdenotaalpie"/>
          <w:sz w:val="28"/>
          <w:szCs w:val="28"/>
        </w:rPr>
        <w:footnoteReference w:id="95"/>
      </w:r>
      <w:r w:rsidR="002915FF" w:rsidRPr="00E320CE">
        <w:rPr>
          <w:sz w:val="28"/>
          <w:szCs w:val="28"/>
        </w:rPr>
        <w:t xml:space="preserve">. </w:t>
      </w:r>
      <w:r w:rsidR="00916192" w:rsidRPr="00E320CE">
        <w:rPr>
          <w:sz w:val="28"/>
          <w:szCs w:val="28"/>
        </w:rPr>
        <w:t>De esa forma</w:t>
      </w:r>
      <w:r w:rsidR="002915FF" w:rsidRPr="00E320CE">
        <w:rPr>
          <w:sz w:val="28"/>
          <w:szCs w:val="28"/>
        </w:rPr>
        <w:t>,</w:t>
      </w:r>
      <w:r w:rsidR="00916192" w:rsidRPr="00E320CE">
        <w:rPr>
          <w:sz w:val="28"/>
          <w:szCs w:val="28"/>
        </w:rPr>
        <w:t xml:space="preserve"> para prestar de manera eficiente, eficaz y efectiva esos servicios,</w:t>
      </w:r>
      <w:r w:rsidR="002915FF" w:rsidRPr="00E320CE">
        <w:rPr>
          <w:sz w:val="28"/>
          <w:szCs w:val="28"/>
        </w:rPr>
        <w:t xml:space="preserve"> se escindió el </w:t>
      </w:r>
      <w:r w:rsidR="00916192" w:rsidRPr="00E320CE">
        <w:rPr>
          <w:sz w:val="28"/>
          <w:szCs w:val="28"/>
        </w:rPr>
        <w:t>INPEC y se le encargó a la USPEC esta tarea</w:t>
      </w:r>
      <w:r w:rsidR="00916192" w:rsidRPr="00E320CE">
        <w:rPr>
          <w:rStyle w:val="Refdenotaalpie"/>
          <w:sz w:val="28"/>
          <w:szCs w:val="28"/>
        </w:rPr>
        <w:footnoteReference w:id="96"/>
      </w:r>
      <w:r w:rsidR="00916192" w:rsidRPr="00E320CE">
        <w:rPr>
          <w:sz w:val="28"/>
          <w:szCs w:val="28"/>
        </w:rPr>
        <w:t>.</w:t>
      </w:r>
    </w:p>
    <w:p w14:paraId="5F2307AE" w14:textId="77777777" w:rsidR="00916192" w:rsidRPr="00E320CE" w:rsidRDefault="00916192" w:rsidP="00916192">
      <w:pPr>
        <w:pStyle w:val="Prrafodelista"/>
        <w:rPr>
          <w:sz w:val="28"/>
          <w:szCs w:val="28"/>
        </w:rPr>
      </w:pPr>
    </w:p>
    <w:p w14:paraId="76C93655" w14:textId="1DE796FD" w:rsidR="006F3335" w:rsidRPr="00E320CE" w:rsidRDefault="00916192" w:rsidP="00916192">
      <w:pPr>
        <w:pStyle w:val="Prrafodelista"/>
        <w:numPr>
          <w:ilvl w:val="0"/>
          <w:numId w:val="1"/>
        </w:numPr>
        <w:autoSpaceDE/>
        <w:autoSpaceDN/>
        <w:ind w:left="0" w:firstLine="0"/>
        <w:contextualSpacing w:val="0"/>
        <w:jc w:val="both"/>
        <w:rPr>
          <w:sz w:val="28"/>
          <w:szCs w:val="28"/>
        </w:rPr>
      </w:pPr>
      <w:r w:rsidRPr="00E320CE">
        <w:rPr>
          <w:sz w:val="28"/>
          <w:szCs w:val="28"/>
        </w:rPr>
        <w:t>Específicamente,</w:t>
      </w:r>
      <w:r w:rsidR="00EC4916" w:rsidRPr="00E320CE">
        <w:rPr>
          <w:sz w:val="28"/>
          <w:szCs w:val="28"/>
        </w:rPr>
        <w:t xml:space="preserve"> la USPEC</w:t>
      </w:r>
      <w:r w:rsidR="006F3335" w:rsidRPr="00E320CE">
        <w:rPr>
          <w:sz w:val="28"/>
          <w:szCs w:val="28"/>
        </w:rPr>
        <w:t xml:space="preserve"> </w:t>
      </w:r>
      <w:r w:rsidR="00F65FB5" w:rsidRPr="00E320CE">
        <w:rPr>
          <w:sz w:val="28"/>
          <w:szCs w:val="28"/>
          <w:lang w:val="es-CO"/>
        </w:rPr>
        <w:t xml:space="preserve">es la autoridad pública encargada </w:t>
      </w:r>
      <w:r w:rsidR="0098645C" w:rsidRPr="00E320CE">
        <w:rPr>
          <w:sz w:val="28"/>
          <w:szCs w:val="28"/>
          <w:lang w:val="es-CO"/>
        </w:rPr>
        <w:t xml:space="preserve">de prestar los servicios de salud de la población reclusa y </w:t>
      </w:r>
      <w:r w:rsidR="00EC4916" w:rsidRPr="00E320CE">
        <w:rPr>
          <w:sz w:val="28"/>
          <w:szCs w:val="28"/>
          <w:lang w:val="es-CO"/>
        </w:rPr>
        <w:t xml:space="preserve">de </w:t>
      </w:r>
      <w:r w:rsidR="0098645C" w:rsidRPr="00E320CE">
        <w:rPr>
          <w:sz w:val="28"/>
          <w:szCs w:val="28"/>
          <w:lang w:val="es-CO"/>
        </w:rPr>
        <w:t>“velar por el debido funcionamiento de la red sanitaria interna conforme a sus obligaciones legales y reglamentarias”</w:t>
      </w:r>
      <w:r w:rsidR="0098645C" w:rsidRPr="00E320CE">
        <w:rPr>
          <w:rStyle w:val="Refdenotaalpie"/>
          <w:sz w:val="28"/>
          <w:szCs w:val="28"/>
          <w:lang w:val="es-CO"/>
        </w:rPr>
        <w:footnoteReference w:id="97"/>
      </w:r>
      <w:r w:rsidR="00EC4916" w:rsidRPr="00E320CE">
        <w:rPr>
          <w:sz w:val="28"/>
          <w:szCs w:val="28"/>
          <w:lang w:val="es-CO"/>
        </w:rPr>
        <w:t>. En este contexto, tiene la responsabilidad</w:t>
      </w:r>
      <w:r w:rsidR="0098645C" w:rsidRPr="00E320CE">
        <w:rPr>
          <w:sz w:val="28"/>
          <w:szCs w:val="28"/>
          <w:lang w:val="es-CO"/>
        </w:rPr>
        <w:t xml:space="preserve"> de </w:t>
      </w:r>
      <w:r w:rsidR="00311173" w:rsidRPr="00E320CE">
        <w:rPr>
          <w:sz w:val="28"/>
          <w:szCs w:val="28"/>
          <w:lang w:val="es-CO"/>
        </w:rPr>
        <w:t>contratar</w:t>
      </w:r>
      <w:r w:rsidR="00EC4916" w:rsidRPr="00E320CE">
        <w:rPr>
          <w:sz w:val="28"/>
          <w:szCs w:val="28"/>
          <w:lang w:val="es-CO"/>
        </w:rPr>
        <w:t xml:space="preserve"> a</w:t>
      </w:r>
      <w:r w:rsidR="00311173" w:rsidRPr="00E320CE">
        <w:rPr>
          <w:sz w:val="28"/>
          <w:szCs w:val="28"/>
          <w:lang w:val="es-CO"/>
        </w:rPr>
        <w:t xml:space="preserve"> </w:t>
      </w:r>
      <w:r w:rsidR="00220DFD" w:rsidRPr="00E320CE">
        <w:rPr>
          <w:sz w:val="28"/>
          <w:szCs w:val="28"/>
          <w:lang w:val="es-CO"/>
        </w:rPr>
        <w:t>la entidad fiduciaria con cargo a los recursos del Fondo Nacional de Salud de las Personas Privadas de la Libertad</w:t>
      </w:r>
      <w:r w:rsidR="0020488A" w:rsidRPr="00E320CE">
        <w:rPr>
          <w:sz w:val="28"/>
          <w:szCs w:val="28"/>
          <w:lang w:val="es-CO"/>
        </w:rPr>
        <w:t xml:space="preserve"> y </w:t>
      </w:r>
      <w:r w:rsidR="00EC4916" w:rsidRPr="00E320CE">
        <w:rPr>
          <w:sz w:val="28"/>
          <w:szCs w:val="28"/>
          <w:lang w:val="es-CO"/>
        </w:rPr>
        <w:t xml:space="preserve">de </w:t>
      </w:r>
      <w:r w:rsidR="0020488A" w:rsidRPr="00E320CE">
        <w:rPr>
          <w:sz w:val="28"/>
          <w:szCs w:val="28"/>
          <w:lang w:val="es-CO"/>
        </w:rPr>
        <w:t xml:space="preserve">establecer las condiciones para que dicha entidad contrate la prestación integral y oportuna de los servicios de salud para la población privada de la libertad, </w:t>
      </w:r>
      <w:r w:rsidR="00B75DD3" w:rsidRPr="00E320CE">
        <w:rPr>
          <w:sz w:val="28"/>
          <w:szCs w:val="28"/>
          <w:lang w:val="es-CO"/>
        </w:rPr>
        <w:t xml:space="preserve">de conformidad con lo establecido en el numeral 4, artículo 2.2.1.11.3.2. del </w:t>
      </w:r>
      <w:r w:rsidR="00251B63" w:rsidRPr="00E320CE">
        <w:rPr>
          <w:sz w:val="28"/>
          <w:szCs w:val="28"/>
          <w:lang w:val="es-CO"/>
        </w:rPr>
        <w:t>Decreto 2245 de</w:t>
      </w:r>
      <w:r w:rsidR="0098645C" w:rsidRPr="00E320CE">
        <w:rPr>
          <w:sz w:val="28"/>
          <w:szCs w:val="28"/>
          <w:lang w:val="es-CO"/>
        </w:rPr>
        <w:t xml:space="preserve"> 2015</w:t>
      </w:r>
      <w:r w:rsidR="00F65FB5" w:rsidRPr="00E320CE">
        <w:rPr>
          <w:sz w:val="28"/>
          <w:szCs w:val="28"/>
          <w:lang w:val="es-CO"/>
        </w:rPr>
        <w:t>.</w:t>
      </w:r>
      <w:r w:rsidR="00D756CF" w:rsidRPr="00E320CE">
        <w:rPr>
          <w:sz w:val="28"/>
          <w:szCs w:val="28"/>
          <w:lang w:val="es-CO"/>
        </w:rPr>
        <w:t xml:space="preserve"> </w:t>
      </w:r>
      <w:r w:rsidRPr="00E320CE">
        <w:rPr>
          <w:sz w:val="28"/>
          <w:szCs w:val="28"/>
          <w:lang w:val="es-CO"/>
        </w:rPr>
        <w:t xml:space="preserve">Adicional a estas funciones, la USPEC tiene el deber </w:t>
      </w:r>
      <w:r w:rsidR="00C97B1F" w:rsidRPr="00E320CE">
        <w:rPr>
          <w:sz w:val="28"/>
          <w:szCs w:val="28"/>
          <w:lang w:val="es-CO"/>
        </w:rPr>
        <w:t>de desarrollar, coordinar e implementar con el INPEC planes, programas y proyectos relacionados con la infraestructura carcelaria, la logística y administrativa de los servicios penitenciarios, entre otros</w:t>
      </w:r>
      <w:r w:rsidR="00C97B1F" w:rsidRPr="00E320CE">
        <w:rPr>
          <w:rStyle w:val="Refdenotaalpie"/>
          <w:sz w:val="28"/>
          <w:szCs w:val="28"/>
          <w:lang w:val="es-CO"/>
        </w:rPr>
        <w:footnoteReference w:id="98"/>
      </w:r>
      <w:r w:rsidR="00C97B1F" w:rsidRPr="00E320CE">
        <w:rPr>
          <w:sz w:val="28"/>
          <w:szCs w:val="28"/>
          <w:lang w:val="es-CO"/>
        </w:rPr>
        <w:t>.</w:t>
      </w:r>
    </w:p>
    <w:p w14:paraId="20364953" w14:textId="77777777" w:rsidR="006F3335" w:rsidRPr="00E320CE" w:rsidRDefault="006F3335" w:rsidP="006F3335">
      <w:pPr>
        <w:pStyle w:val="Prrafodelista"/>
        <w:rPr>
          <w:sz w:val="28"/>
          <w:szCs w:val="28"/>
          <w:lang w:val="es-CO"/>
        </w:rPr>
      </w:pPr>
    </w:p>
    <w:p w14:paraId="3460068C" w14:textId="1892E617" w:rsidR="006F3335" w:rsidRPr="00E320CE" w:rsidRDefault="006F3335" w:rsidP="00932D66">
      <w:pPr>
        <w:pStyle w:val="Prrafodelista"/>
        <w:numPr>
          <w:ilvl w:val="0"/>
          <w:numId w:val="1"/>
        </w:numPr>
        <w:autoSpaceDE/>
        <w:autoSpaceDN/>
        <w:ind w:left="0" w:firstLine="0"/>
        <w:contextualSpacing w:val="0"/>
        <w:jc w:val="both"/>
        <w:rPr>
          <w:sz w:val="28"/>
          <w:szCs w:val="28"/>
        </w:rPr>
      </w:pPr>
      <w:r w:rsidRPr="00E320CE">
        <w:rPr>
          <w:sz w:val="28"/>
          <w:szCs w:val="28"/>
        </w:rPr>
        <w:t xml:space="preserve">Aunque </w:t>
      </w:r>
      <w:r w:rsidR="00EC4916" w:rsidRPr="00E320CE">
        <w:rPr>
          <w:sz w:val="28"/>
          <w:szCs w:val="28"/>
        </w:rPr>
        <w:t>la</w:t>
      </w:r>
      <w:r w:rsidRPr="00E320CE">
        <w:rPr>
          <w:sz w:val="28"/>
          <w:szCs w:val="28"/>
        </w:rPr>
        <w:t xml:space="preserve"> USPEC es la entidad encargada de implementar el modelo de atención en salud de la población privada de la libertad, no tiene </w:t>
      </w:r>
      <w:r w:rsidR="004D4FD3" w:rsidRPr="00E320CE">
        <w:rPr>
          <w:sz w:val="28"/>
          <w:szCs w:val="28"/>
        </w:rPr>
        <w:t>relación</w:t>
      </w:r>
      <w:r w:rsidR="00EC4916" w:rsidRPr="00E320CE">
        <w:rPr>
          <w:sz w:val="28"/>
          <w:szCs w:val="28"/>
        </w:rPr>
        <w:t xml:space="preserve"> directa  en</w:t>
      </w:r>
      <w:r w:rsidRPr="00E320CE">
        <w:rPr>
          <w:sz w:val="28"/>
          <w:szCs w:val="28"/>
        </w:rPr>
        <w:t xml:space="preserve"> la contratación </w:t>
      </w:r>
      <w:r w:rsidR="00EC4916" w:rsidRPr="00E320CE">
        <w:rPr>
          <w:sz w:val="28"/>
          <w:szCs w:val="28"/>
        </w:rPr>
        <w:t>ni en la</w:t>
      </w:r>
      <w:r w:rsidRPr="00E320CE">
        <w:rPr>
          <w:sz w:val="28"/>
          <w:szCs w:val="28"/>
        </w:rPr>
        <w:t xml:space="preserve"> desvinculación de</w:t>
      </w:r>
      <w:r w:rsidR="00EC4916" w:rsidRPr="00E320CE">
        <w:rPr>
          <w:sz w:val="28"/>
          <w:szCs w:val="28"/>
        </w:rPr>
        <w:t>l</w:t>
      </w:r>
      <w:r w:rsidRPr="00E320CE">
        <w:rPr>
          <w:sz w:val="28"/>
          <w:szCs w:val="28"/>
        </w:rPr>
        <w:t xml:space="preserve"> persona</w:t>
      </w:r>
      <w:r w:rsidR="00EC4916" w:rsidRPr="00E320CE">
        <w:rPr>
          <w:sz w:val="28"/>
          <w:szCs w:val="28"/>
        </w:rPr>
        <w:t>l</w:t>
      </w:r>
      <w:r w:rsidRPr="00E320CE">
        <w:rPr>
          <w:sz w:val="28"/>
          <w:szCs w:val="28"/>
        </w:rPr>
        <w:t xml:space="preserve"> </w:t>
      </w:r>
      <w:r w:rsidR="00EC4916" w:rsidRPr="00E320CE">
        <w:rPr>
          <w:sz w:val="28"/>
          <w:szCs w:val="28"/>
        </w:rPr>
        <w:t>que presta estos servicios</w:t>
      </w:r>
      <w:r w:rsidR="00932D66" w:rsidRPr="00E320CE">
        <w:rPr>
          <w:sz w:val="28"/>
          <w:szCs w:val="28"/>
        </w:rPr>
        <w:t xml:space="preserve">. Como </w:t>
      </w:r>
      <w:r w:rsidR="00EC4916" w:rsidRPr="00E320CE">
        <w:rPr>
          <w:sz w:val="28"/>
          <w:szCs w:val="28"/>
        </w:rPr>
        <w:t xml:space="preserve">se </w:t>
      </w:r>
      <w:proofErr w:type="spellStart"/>
      <w:r w:rsidR="00EC4916" w:rsidRPr="00E320CE">
        <w:rPr>
          <w:sz w:val="28"/>
          <w:szCs w:val="28"/>
        </w:rPr>
        <w:t>expueso</w:t>
      </w:r>
      <w:proofErr w:type="spellEnd"/>
      <w:r w:rsidR="00EC4916" w:rsidRPr="00E320CE">
        <w:rPr>
          <w:sz w:val="28"/>
          <w:szCs w:val="28"/>
        </w:rPr>
        <w:t xml:space="preserve"> </w:t>
      </w:r>
      <w:r w:rsidR="00932D66" w:rsidRPr="00E320CE">
        <w:rPr>
          <w:sz w:val="28"/>
          <w:szCs w:val="28"/>
        </w:rPr>
        <w:t>anteriormente, est</w:t>
      </w:r>
      <w:r w:rsidR="00EC4916" w:rsidRPr="00E320CE">
        <w:rPr>
          <w:sz w:val="28"/>
          <w:szCs w:val="28"/>
        </w:rPr>
        <w:t>a</w:t>
      </w:r>
      <w:r w:rsidR="00932D66" w:rsidRPr="00E320CE">
        <w:rPr>
          <w:sz w:val="28"/>
          <w:szCs w:val="28"/>
        </w:rPr>
        <w:t xml:space="preserve">s </w:t>
      </w:r>
      <w:r w:rsidR="00EC4916" w:rsidRPr="00E320CE">
        <w:rPr>
          <w:sz w:val="28"/>
          <w:szCs w:val="28"/>
        </w:rPr>
        <w:t>funciones corresponde</w:t>
      </w:r>
      <w:r w:rsidR="003244BB" w:rsidRPr="00E320CE">
        <w:rPr>
          <w:sz w:val="28"/>
          <w:szCs w:val="28"/>
        </w:rPr>
        <w:t>n</w:t>
      </w:r>
      <w:r w:rsidR="00EC4916" w:rsidRPr="00E320CE">
        <w:rPr>
          <w:sz w:val="28"/>
          <w:szCs w:val="28"/>
        </w:rPr>
        <w:t xml:space="preserve"> en principio a </w:t>
      </w:r>
      <w:r w:rsidR="00932D66" w:rsidRPr="00E320CE">
        <w:rPr>
          <w:sz w:val="28"/>
          <w:szCs w:val="28"/>
        </w:rPr>
        <w:t>las uniones temporales contratadas por</w:t>
      </w:r>
      <w:r w:rsidR="005075DA" w:rsidRPr="00E320CE">
        <w:rPr>
          <w:sz w:val="28"/>
          <w:szCs w:val="28"/>
        </w:rPr>
        <w:t xml:space="preserve"> </w:t>
      </w:r>
      <w:r w:rsidR="00EA6550" w:rsidRPr="00E320CE">
        <w:rPr>
          <w:sz w:val="28"/>
          <w:szCs w:val="28"/>
        </w:rPr>
        <w:t>la entidad fiduciaria que</w:t>
      </w:r>
      <w:r w:rsidR="005075DA" w:rsidRPr="00E320CE">
        <w:rPr>
          <w:sz w:val="28"/>
          <w:szCs w:val="28"/>
        </w:rPr>
        <w:t xml:space="preserve"> administre el </w:t>
      </w:r>
      <w:r w:rsidR="00932D66" w:rsidRPr="00E320CE">
        <w:rPr>
          <w:sz w:val="28"/>
          <w:szCs w:val="28"/>
        </w:rPr>
        <w:t>Fondo Nacional de Salud. Por es</w:t>
      </w:r>
      <w:r w:rsidR="00EC4916" w:rsidRPr="00E320CE">
        <w:rPr>
          <w:sz w:val="28"/>
          <w:szCs w:val="28"/>
        </w:rPr>
        <w:t>t</w:t>
      </w:r>
      <w:r w:rsidR="00932D66" w:rsidRPr="00E320CE">
        <w:rPr>
          <w:sz w:val="28"/>
          <w:szCs w:val="28"/>
        </w:rPr>
        <w:t xml:space="preserve">a razón, la </w:t>
      </w:r>
      <w:r w:rsidR="00EC4916" w:rsidRPr="00E320CE">
        <w:rPr>
          <w:sz w:val="28"/>
          <w:szCs w:val="28"/>
        </w:rPr>
        <w:t xml:space="preserve">USPEC </w:t>
      </w:r>
      <w:r w:rsidR="00932D66" w:rsidRPr="00E320CE">
        <w:rPr>
          <w:sz w:val="28"/>
          <w:szCs w:val="28"/>
        </w:rPr>
        <w:t xml:space="preserve">no </w:t>
      </w:r>
      <w:r w:rsidR="00932D66" w:rsidRPr="00E320CE">
        <w:rPr>
          <w:sz w:val="28"/>
          <w:szCs w:val="28"/>
          <w:lang w:val="es-CO"/>
        </w:rPr>
        <w:t>está llamada a responder por la presunta vulneración.</w:t>
      </w:r>
    </w:p>
    <w:p w14:paraId="18F78BD2" w14:textId="77777777" w:rsidR="00F65FB5" w:rsidRPr="00E320CE" w:rsidRDefault="00F65FB5" w:rsidP="00F65FB5">
      <w:pPr>
        <w:pStyle w:val="Prrafodelista"/>
        <w:autoSpaceDE/>
        <w:autoSpaceDN/>
        <w:ind w:left="0"/>
        <w:contextualSpacing w:val="0"/>
        <w:jc w:val="both"/>
        <w:rPr>
          <w:sz w:val="28"/>
          <w:szCs w:val="28"/>
        </w:rPr>
      </w:pPr>
    </w:p>
    <w:p w14:paraId="6BBBC417" w14:textId="204DF8F9" w:rsidR="00F65FB5" w:rsidRPr="00E320CE" w:rsidRDefault="00953E74" w:rsidP="00F65FB5">
      <w:pPr>
        <w:pStyle w:val="Prrafodelista"/>
        <w:numPr>
          <w:ilvl w:val="0"/>
          <w:numId w:val="1"/>
        </w:numPr>
        <w:autoSpaceDE/>
        <w:autoSpaceDN/>
        <w:ind w:left="0" w:firstLine="0"/>
        <w:contextualSpacing w:val="0"/>
        <w:jc w:val="both"/>
        <w:rPr>
          <w:sz w:val="28"/>
          <w:szCs w:val="28"/>
        </w:rPr>
      </w:pPr>
      <w:r w:rsidRPr="00E320CE">
        <w:rPr>
          <w:rFonts w:eastAsia="SimSun"/>
          <w:sz w:val="28"/>
          <w:szCs w:val="28"/>
          <w:lang w:val="es-MX"/>
        </w:rPr>
        <w:t>Ahora, en lo que tiene que ver con</w:t>
      </w:r>
      <w:r w:rsidR="00F65FB5" w:rsidRPr="00E320CE" w:rsidDel="00953E74">
        <w:rPr>
          <w:rFonts w:eastAsia="SimSun"/>
          <w:sz w:val="28"/>
          <w:szCs w:val="28"/>
          <w:lang w:val="es-MX"/>
        </w:rPr>
        <w:t xml:space="preserve"> </w:t>
      </w:r>
      <w:r w:rsidR="00F65FB5" w:rsidRPr="00E320CE">
        <w:rPr>
          <w:rFonts w:eastAsia="SimSun"/>
          <w:sz w:val="28"/>
          <w:szCs w:val="28"/>
          <w:lang w:val="es-MX"/>
        </w:rPr>
        <w:t xml:space="preserve">el requisito de </w:t>
      </w:r>
      <w:r w:rsidR="00F65FB5" w:rsidRPr="00E320CE">
        <w:rPr>
          <w:rFonts w:eastAsia="SimSun"/>
          <w:b/>
          <w:sz w:val="28"/>
          <w:szCs w:val="28"/>
          <w:lang w:val="es-MX"/>
        </w:rPr>
        <w:t>inmediatez</w:t>
      </w:r>
      <w:r w:rsidRPr="00E320CE">
        <w:rPr>
          <w:rFonts w:eastAsia="SimSun"/>
          <w:sz w:val="28"/>
          <w:szCs w:val="28"/>
          <w:lang w:val="es-MX"/>
        </w:rPr>
        <w:t>, este</w:t>
      </w:r>
      <w:r w:rsidR="0042117C" w:rsidRPr="00E320CE">
        <w:rPr>
          <w:rFonts w:eastAsia="SimSun"/>
          <w:sz w:val="28"/>
          <w:szCs w:val="28"/>
          <w:lang w:val="es-MX"/>
        </w:rPr>
        <w:t xml:space="preserve"> </w:t>
      </w:r>
      <w:r w:rsidR="00717C85" w:rsidRPr="00E320CE">
        <w:rPr>
          <w:rFonts w:eastAsia="Arial Unicode MS"/>
          <w:color w:val="000000"/>
          <w:sz w:val="28"/>
          <w:szCs w:val="28"/>
          <w:u w:color="000000"/>
          <w:bdr w:val="nil"/>
          <w:lang w:val="es-MX"/>
        </w:rPr>
        <w:t>exige que la solicitud de amparo se presente en un término razonable respecto de la ocurrencia de los hechos que dieron lugar a la presunta amenaza o vulneración de los derechos fundamentales</w:t>
      </w:r>
      <w:r w:rsidR="00385B87" w:rsidRPr="00E320CE">
        <w:rPr>
          <w:rFonts w:eastAsia="Arial Unicode MS"/>
          <w:color w:val="000000"/>
          <w:sz w:val="28"/>
          <w:szCs w:val="28"/>
          <w:u w:color="000000"/>
          <w:bdr w:val="nil"/>
          <w:lang w:val="es-MX"/>
        </w:rPr>
        <w:t>,</w:t>
      </w:r>
      <w:r w:rsidR="00F65FB5" w:rsidRPr="00E320CE">
        <w:rPr>
          <w:rFonts w:eastAsia="SimSun"/>
          <w:sz w:val="28"/>
          <w:szCs w:val="28"/>
          <w:lang w:val="es-MX"/>
        </w:rPr>
        <w:t xml:space="preserve"> debido al carácter urgente </w:t>
      </w:r>
      <w:r w:rsidR="00B71CB8" w:rsidRPr="00E320CE">
        <w:rPr>
          <w:rFonts w:eastAsia="SimSun"/>
          <w:sz w:val="28"/>
          <w:szCs w:val="28"/>
          <w:lang w:val="es-MX"/>
        </w:rPr>
        <w:t xml:space="preserve">e inmediato </w:t>
      </w:r>
      <w:r w:rsidR="00F65FB5" w:rsidRPr="00E320CE">
        <w:rPr>
          <w:rFonts w:eastAsia="SimSun"/>
          <w:sz w:val="28"/>
          <w:szCs w:val="28"/>
          <w:lang w:val="es-MX"/>
        </w:rPr>
        <w:t>de la acción de tutela</w:t>
      </w:r>
      <w:r w:rsidR="00F65FB5" w:rsidRPr="00E320CE">
        <w:rPr>
          <w:rStyle w:val="Refdenotaalpie"/>
          <w:sz w:val="28"/>
          <w:szCs w:val="28"/>
          <w:shd w:val="clear" w:color="auto" w:fill="FFFFFF"/>
        </w:rPr>
        <w:footnoteReference w:id="99"/>
      </w:r>
      <w:r w:rsidR="00F65FB5" w:rsidRPr="00E320CE">
        <w:rPr>
          <w:sz w:val="28"/>
          <w:szCs w:val="28"/>
          <w:shd w:val="clear" w:color="auto" w:fill="FFFFFF"/>
        </w:rPr>
        <w:t>.</w:t>
      </w:r>
      <w:r w:rsidR="00F65FB5" w:rsidRPr="00E320CE">
        <w:rPr>
          <w:sz w:val="28"/>
          <w:szCs w:val="28"/>
        </w:rPr>
        <w:t xml:space="preserve"> Por esta razón, la Corte determinó que debe existir una correlación temporal entre el hecho presuntamente vulnerador de los derechos fundamentales y la interposición de la tutela</w:t>
      </w:r>
      <w:r w:rsidR="00F65FB5" w:rsidRPr="00E320CE">
        <w:rPr>
          <w:rStyle w:val="Refdenotaalpie"/>
          <w:sz w:val="28"/>
          <w:szCs w:val="28"/>
        </w:rPr>
        <w:footnoteReference w:id="100"/>
      </w:r>
      <w:r w:rsidR="00F65FB5" w:rsidRPr="00E320CE">
        <w:rPr>
          <w:sz w:val="28"/>
          <w:szCs w:val="28"/>
        </w:rPr>
        <w:t xml:space="preserve">. En el presente caso, se cumple con el requisito de inmediatez, pues </w:t>
      </w:r>
      <w:r w:rsidR="00F65FB5" w:rsidRPr="00E320CE">
        <w:rPr>
          <w:sz w:val="28"/>
          <w:szCs w:val="28"/>
          <w:lang w:val="es-CO"/>
        </w:rPr>
        <w:t xml:space="preserve">la Unión Temporal Salud Integral PPL terminó el contrato de prestación de servicios el 31 de julio de 2024 </w:t>
      </w:r>
      <w:r w:rsidR="00F65FB5" w:rsidRPr="00E320CE">
        <w:rPr>
          <w:sz w:val="28"/>
          <w:szCs w:val="28"/>
        </w:rPr>
        <w:t xml:space="preserve">y </w:t>
      </w:r>
      <w:r w:rsidR="00DD477F" w:rsidRPr="00E320CE">
        <w:rPr>
          <w:sz w:val="28"/>
          <w:szCs w:val="28"/>
        </w:rPr>
        <w:t xml:space="preserve">la accionante </w:t>
      </w:r>
      <w:r w:rsidR="00F65FB5" w:rsidRPr="00E320CE">
        <w:rPr>
          <w:sz w:val="28"/>
          <w:szCs w:val="28"/>
        </w:rPr>
        <w:t xml:space="preserve"> presentó la </w:t>
      </w:r>
      <w:r w:rsidR="00DD477F" w:rsidRPr="00E320CE">
        <w:rPr>
          <w:sz w:val="28"/>
          <w:szCs w:val="28"/>
        </w:rPr>
        <w:t xml:space="preserve">acción de </w:t>
      </w:r>
      <w:r w:rsidR="00F65FB5" w:rsidRPr="00E320CE">
        <w:rPr>
          <w:sz w:val="28"/>
          <w:szCs w:val="28"/>
        </w:rPr>
        <w:t xml:space="preserve">tutela el 8 de septiembre de 2024. Es decir, solo pasó un mes y una semana entre el hecho presuntamente vulnerador de los derechos fundamentales y la interposición de la acción. </w:t>
      </w:r>
    </w:p>
    <w:p w14:paraId="1D5E872A" w14:textId="77777777" w:rsidR="00F65FB5" w:rsidRPr="00E320CE" w:rsidRDefault="00F65FB5" w:rsidP="00F65FB5">
      <w:pPr>
        <w:pStyle w:val="Prrafodelista"/>
        <w:autoSpaceDE/>
        <w:autoSpaceDN/>
        <w:ind w:left="0"/>
        <w:contextualSpacing w:val="0"/>
        <w:jc w:val="both"/>
        <w:rPr>
          <w:sz w:val="28"/>
          <w:szCs w:val="28"/>
        </w:rPr>
      </w:pPr>
    </w:p>
    <w:p w14:paraId="387F6AD6" w14:textId="65DBDF96" w:rsidR="003764A4" w:rsidRPr="00E320CE" w:rsidRDefault="00F65FB5" w:rsidP="00F65FB5">
      <w:pPr>
        <w:pStyle w:val="Prrafodelista"/>
        <w:numPr>
          <w:ilvl w:val="0"/>
          <w:numId w:val="1"/>
        </w:numPr>
        <w:autoSpaceDE/>
        <w:autoSpaceDN/>
        <w:ind w:left="0" w:firstLine="0"/>
        <w:contextualSpacing w:val="0"/>
        <w:jc w:val="both"/>
        <w:rPr>
          <w:sz w:val="28"/>
          <w:szCs w:val="28"/>
          <w:lang w:val="es-CO"/>
        </w:rPr>
      </w:pPr>
      <w:r w:rsidRPr="00E320CE">
        <w:rPr>
          <w:rFonts w:eastAsia="SimSun"/>
          <w:sz w:val="28"/>
          <w:szCs w:val="28"/>
          <w:lang w:val="es-MX"/>
        </w:rPr>
        <w:t xml:space="preserve">Por último, la Sala debe estudiar si la acción de tutela presentada por </w:t>
      </w:r>
      <w:r w:rsidR="00E320CE" w:rsidRPr="00E320CE">
        <w:rPr>
          <w:i/>
          <w:iCs/>
          <w:sz w:val="28"/>
          <w:szCs w:val="28"/>
          <w:lang w:val="es-CO"/>
        </w:rPr>
        <w:t>Greta</w:t>
      </w:r>
      <w:r w:rsidR="00E320CE" w:rsidRPr="00E320CE">
        <w:rPr>
          <w:sz w:val="28"/>
          <w:szCs w:val="28"/>
          <w:lang w:val="es-CO"/>
        </w:rPr>
        <w:t xml:space="preserve"> </w:t>
      </w:r>
      <w:r w:rsidRPr="00E320CE">
        <w:rPr>
          <w:sz w:val="28"/>
          <w:szCs w:val="28"/>
          <w:lang w:val="es-CO"/>
        </w:rPr>
        <w:t xml:space="preserve">cumple con el requisito de </w:t>
      </w:r>
      <w:r w:rsidRPr="00E320CE">
        <w:rPr>
          <w:b/>
          <w:sz w:val="28"/>
          <w:szCs w:val="28"/>
          <w:lang w:val="es-CO"/>
        </w:rPr>
        <w:t>subsidiariedad.</w:t>
      </w:r>
      <w:r w:rsidRPr="00E320CE">
        <w:rPr>
          <w:sz w:val="28"/>
          <w:szCs w:val="28"/>
          <w:lang w:val="es-CO"/>
        </w:rPr>
        <w:t xml:space="preserve"> El artículo 86 de la </w:t>
      </w:r>
      <w:r w:rsidRPr="00E320CE">
        <w:rPr>
          <w:sz w:val="28"/>
          <w:szCs w:val="28"/>
          <w:lang w:val="es-CO"/>
        </w:rPr>
        <w:lastRenderedPageBreak/>
        <w:t>Constitución establece que la acción de tutela solo será procedente cuando</w:t>
      </w:r>
      <w:r w:rsidR="00806356" w:rsidRPr="00E320CE">
        <w:rPr>
          <w:sz w:val="28"/>
          <w:szCs w:val="28"/>
          <w:lang w:val="es-CO"/>
        </w:rPr>
        <w:t>: (i)</w:t>
      </w:r>
      <w:r w:rsidRPr="00E320CE">
        <w:rPr>
          <w:sz w:val="28"/>
          <w:szCs w:val="28"/>
          <w:lang w:val="es-CO"/>
        </w:rPr>
        <w:t xml:space="preserve"> </w:t>
      </w:r>
      <w:r w:rsidR="00CC22AD" w:rsidRPr="00E320CE">
        <w:rPr>
          <w:sz w:val="28"/>
          <w:szCs w:val="28"/>
          <w:lang w:val="es-CO"/>
        </w:rPr>
        <w:t>la parte</w:t>
      </w:r>
      <w:r w:rsidRPr="00E320CE">
        <w:rPr>
          <w:sz w:val="28"/>
          <w:szCs w:val="28"/>
          <w:lang w:val="es-CO"/>
        </w:rPr>
        <w:t xml:space="preserve"> accionante no cuente con otro medio de defensa judicial</w:t>
      </w:r>
      <w:r w:rsidR="00232E28" w:rsidRPr="00E320CE">
        <w:rPr>
          <w:sz w:val="28"/>
          <w:szCs w:val="28"/>
          <w:lang w:val="es-CO"/>
        </w:rPr>
        <w:t xml:space="preserve"> o (</w:t>
      </w:r>
      <w:proofErr w:type="spellStart"/>
      <w:r w:rsidR="00232E28" w:rsidRPr="00E320CE">
        <w:rPr>
          <w:sz w:val="28"/>
          <w:szCs w:val="28"/>
          <w:lang w:val="es-CO"/>
        </w:rPr>
        <w:t>ii</w:t>
      </w:r>
      <w:proofErr w:type="spellEnd"/>
      <w:r w:rsidR="00232E28" w:rsidRPr="00E320CE">
        <w:rPr>
          <w:sz w:val="28"/>
          <w:szCs w:val="28"/>
          <w:lang w:val="es-CO"/>
        </w:rPr>
        <w:t xml:space="preserve">) cuando lo haga, pero esos mecanismos no resulten idóneos y eficaces en concreto o, finalmente, </w:t>
      </w:r>
      <w:r w:rsidRPr="00E320CE" w:rsidDel="00232E28">
        <w:rPr>
          <w:sz w:val="28"/>
          <w:szCs w:val="28"/>
          <w:lang w:val="es-CO"/>
        </w:rPr>
        <w:t>o</w:t>
      </w:r>
      <w:r w:rsidR="00584A96" w:rsidRPr="00E320CE">
        <w:rPr>
          <w:sz w:val="28"/>
          <w:szCs w:val="28"/>
          <w:lang w:val="es-CO"/>
        </w:rPr>
        <w:t xml:space="preserve"> </w:t>
      </w:r>
      <w:r w:rsidR="00232E28" w:rsidRPr="00E320CE">
        <w:rPr>
          <w:sz w:val="28"/>
          <w:szCs w:val="28"/>
          <w:lang w:val="es-CO"/>
        </w:rPr>
        <w:t>(</w:t>
      </w:r>
      <w:proofErr w:type="spellStart"/>
      <w:r w:rsidR="00232E28" w:rsidRPr="00E320CE">
        <w:rPr>
          <w:sz w:val="28"/>
          <w:szCs w:val="28"/>
          <w:lang w:val="es-CO"/>
        </w:rPr>
        <w:t>iii</w:t>
      </w:r>
      <w:proofErr w:type="spellEnd"/>
      <w:r w:rsidR="00232E28" w:rsidRPr="00E320CE">
        <w:rPr>
          <w:sz w:val="28"/>
          <w:szCs w:val="28"/>
          <w:lang w:val="es-CO"/>
        </w:rPr>
        <w:t>)</w:t>
      </w:r>
      <w:r w:rsidRPr="00E320CE">
        <w:rPr>
          <w:sz w:val="28"/>
          <w:szCs w:val="28"/>
          <w:lang w:val="es-CO"/>
        </w:rPr>
        <w:t xml:space="preserve"> cuando</w:t>
      </w:r>
      <w:r w:rsidR="001126BE" w:rsidRPr="00E320CE">
        <w:rPr>
          <w:sz w:val="28"/>
          <w:szCs w:val="28"/>
          <w:lang w:val="es-CO"/>
        </w:rPr>
        <w:t xml:space="preserve"> la intervención transitoria del</w:t>
      </w:r>
      <w:r w:rsidR="00914E1E" w:rsidRPr="00E320CE">
        <w:rPr>
          <w:sz w:val="28"/>
          <w:szCs w:val="28"/>
          <w:lang w:val="es-CO"/>
        </w:rPr>
        <w:t xml:space="preserve"> juez</w:t>
      </w:r>
      <w:r w:rsidR="001126BE" w:rsidRPr="00E320CE">
        <w:rPr>
          <w:sz w:val="28"/>
          <w:szCs w:val="28"/>
          <w:lang w:val="es-CO"/>
        </w:rPr>
        <w:t xml:space="preserve"> constitucional se torne necesaria </w:t>
      </w:r>
      <w:r w:rsidRPr="00E320CE">
        <w:rPr>
          <w:sz w:val="28"/>
          <w:szCs w:val="28"/>
          <w:lang w:val="es-CO"/>
        </w:rPr>
        <w:t>para evitar un perjuicio irremediable</w:t>
      </w:r>
      <w:r w:rsidRPr="00E320CE">
        <w:rPr>
          <w:rStyle w:val="Refdenotaalpie"/>
          <w:sz w:val="28"/>
          <w:szCs w:val="28"/>
        </w:rPr>
        <w:footnoteReference w:id="101"/>
      </w:r>
      <w:r w:rsidRPr="00E320CE">
        <w:rPr>
          <w:sz w:val="28"/>
          <w:szCs w:val="28"/>
          <w:lang w:val="es-CO"/>
        </w:rPr>
        <w:t xml:space="preserve">. </w:t>
      </w:r>
    </w:p>
    <w:p w14:paraId="0B32529C" w14:textId="77777777" w:rsidR="003764A4" w:rsidRPr="00E320CE" w:rsidRDefault="003764A4" w:rsidP="008B0CDB">
      <w:pPr>
        <w:pStyle w:val="Prrafodelista"/>
        <w:rPr>
          <w:sz w:val="28"/>
          <w:szCs w:val="28"/>
          <w:lang w:val="es-CO"/>
        </w:rPr>
      </w:pPr>
    </w:p>
    <w:p w14:paraId="4E7423CF" w14:textId="0811E6BD" w:rsidR="00F65FB5" w:rsidRPr="00E320CE" w:rsidRDefault="00F65FB5" w:rsidP="00F65FB5">
      <w:pPr>
        <w:pStyle w:val="Prrafodelista"/>
        <w:numPr>
          <w:ilvl w:val="0"/>
          <w:numId w:val="1"/>
        </w:numPr>
        <w:autoSpaceDE/>
        <w:autoSpaceDN/>
        <w:ind w:left="0" w:firstLine="0"/>
        <w:contextualSpacing w:val="0"/>
        <w:jc w:val="both"/>
        <w:rPr>
          <w:sz w:val="28"/>
          <w:szCs w:val="28"/>
          <w:lang w:val="es-CO"/>
        </w:rPr>
      </w:pPr>
      <w:r w:rsidRPr="00E320CE">
        <w:rPr>
          <w:sz w:val="28"/>
          <w:szCs w:val="28"/>
          <w:lang w:val="es-CO"/>
        </w:rPr>
        <w:t>El análisis de eficacia e idoneidad de los mecanismos judiciales ordinarios a disposición del actor, según esta Corporación, debe hacerse a partir de los elementos particulares del caso en concreto, por lo que</w:t>
      </w:r>
      <w:r w:rsidR="00444587" w:rsidRPr="00E320CE">
        <w:rPr>
          <w:sz w:val="28"/>
          <w:szCs w:val="28"/>
          <w:lang w:val="es-CO"/>
        </w:rPr>
        <w:t xml:space="preserve"> se</w:t>
      </w:r>
      <w:r w:rsidRPr="00E320CE">
        <w:rPr>
          <w:sz w:val="28"/>
          <w:szCs w:val="28"/>
          <w:lang w:val="es-CO"/>
        </w:rPr>
        <w:t xml:space="preserve"> debe</w:t>
      </w:r>
      <w:r w:rsidR="00444587" w:rsidRPr="00E320CE">
        <w:rPr>
          <w:sz w:val="28"/>
          <w:szCs w:val="28"/>
          <w:lang w:val="es-CO"/>
        </w:rPr>
        <w:t>n</w:t>
      </w:r>
      <w:r w:rsidRPr="00E320CE">
        <w:rPr>
          <w:sz w:val="28"/>
          <w:szCs w:val="28"/>
          <w:lang w:val="es-CO"/>
        </w:rPr>
        <w:t xml:space="preserve"> tener en cuenta:</w:t>
      </w:r>
    </w:p>
    <w:p w14:paraId="588E95F6" w14:textId="77777777" w:rsidR="00F65FB5" w:rsidRPr="00E320CE" w:rsidRDefault="00F65FB5" w:rsidP="00F65FB5">
      <w:pPr>
        <w:pStyle w:val="Prrafodelista"/>
        <w:autoSpaceDE/>
        <w:autoSpaceDN/>
        <w:ind w:left="0"/>
        <w:contextualSpacing w:val="0"/>
        <w:jc w:val="both"/>
        <w:rPr>
          <w:sz w:val="28"/>
          <w:szCs w:val="28"/>
          <w:lang w:val="es-CO"/>
        </w:rPr>
      </w:pPr>
    </w:p>
    <w:p w14:paraId="711BEF6E" w14:textId="77777777" w:rsidR="00F65FB5" w:rsidRPr="00E320CE" w:rsidRDefault="00F65FB5" w:rsidP="00F65FB5">
      <w:pPr>
        <w:ind w:left="708"/>
        <w:jc w:val="both"/>
        <w:rPr>
          <w:sz w:val="28"/>
          <w:szCs w:val="28"/>
          <w:lang w:val="es-CO"/>
        </w:rPr>
      </w:pPr>
      <w:r w:rsidRPr="00E320CE">
        <w:rPr>
          <w:sz w:val="28"/>
          <w:szCs w:val="28"/>
          <w:lang w:val="es-CO"/>
        </w:rPr>
        <w:t>“</w:t>
      </w:r>
      <w:r w:rsidRPr="00E320CE">
        <w:rPr>
          <w:sz w:val="24"/>
          <w:szCs w:val="24"/>
          <w:lang w:val="es-CO"/>
        </w:rPr>
        <w:t>las circunstancias particulares de los sujetos de especial protección constitucional, cuando éstas devienen en situaciones de vulnerabilidad que les impiden o dificultan sustancialmente gestionar los medios necesarios para satisfacer sus necesidades básicas y para perseguir la protección de sus derechos fundamentales por las vías judiciales ordinarias</w:t>
      </w:r>
      <w:r w:rsidRPr="00E320CE">
        <w:rPr>
          <w:sz w:val="28"/>
          <w:szCs w:val="28"/>
          <w:lang w:val="es-CO"/>
        </w:rPr>
        <w:t>”</w:t>
      </w:r>
      <w:r w:rsidRPr="00E320CE">
        <w:rPr>
          <w:rStyle w:val="Refdenotaalpie"/>
          <w:sz w:val="28"/>
          <w:szCs w:val="28"/>
        </w:rPr>
        <w:footnoteReference w:id="102"/>
      </w:r>
      <w:r w:rsidRPr="00E320CE">
        <w:rPr>
          <w:sz w:val="28"/>
          <w:szCs w:val="28"/>
          <w:lang w:val="es-CO"/>
        </w:rPr>
        <w:t xml:space="preserve">. </w:t>
      </w:r>
    </w:p>
    <w:p w14:paraId="57BD52D5" w14:textId="77777777" w:rsidR="00F65FB5" w:rsidRPr="00E320CE" w:rsidRDefault="00F65FB5" w:rsidP="00F65FB5">
      <w:pPr>
        <w:pStyle w:val="Prrafodelista"/>
        <w:autoSpaceDE/>
        <w:autoSpaceDN/>
        <w:ind w:left="0"/>
        <w:contextualSpacing w:val="0"/>
        <w:jc w:val="both"/>
        <w:rPr>
          <w:sz w:val="28"/>
          <w:szCs w:val="28"/>
          <w:lang w:val="es-CO"/>
        </w:rPr>
      </w:pPr>
    </w:p>
    <w:p w14:paraId="151FA998" w14:textId="3DDC5A3C" w:rsidR="00F65FB5" w:rsidRPr="00E320CE" w:rsidRDefault="00F65FB5" w:rsidP="00F65FB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Esta regla general ha sido reiterada en casos relacionados con la estabilidad </w:t>
      </w:r>
      <w:r w:rsidR="00322315" w:rsidRPr="00E320CE">
        <w:rPr>
          <w:rFonts w:eastAsia="SimSun"/>
          <w:sz w:val="28"/>
          <w:szCs w:val="28"/>
          <w:lang w:val="es-MX"/>
        </w:rPr>
        <w:t>laboral u</w:t>
      </w:r>
      <w:r w:rsidRPr="00E320CE">
        <w:rPr>
          <w:rFonts w:eastAsia="SimSun"/>
          <w:sz w:val="28"/>
          <w:szCs w:val="28"/>
          <w:lang w:val="es-MX"/>
        </w:rPr>
        <w:t xml:space="preserve"> ocupacional reforzada. De esa forma, la Corte Constitucional ha conclu</w:t>
      </w:r>
      <w:r w:rsidR="002874B2" w:rsidRPr="00E320CE">
        <w:rPr>
          <w:rFonts w:eastAsia="SimSun"/>
          <w:sz w:val="28"/>
          <w:szCs w:val="28"/>
          <w:lang w:val="es-MX"/>
        </w:rPr>
        <w:t>i</w:t>
      </w:r>
      <w:r w:rsidRPr="00E320CE">
        <w:rPr>
          <w:rFonts w:eastAsia="SimSun"/>
          <w:sz w:val="28"/>
          <w:szCs w:val="28"/>
          <w:lang w:val="es-MX"/>
        </w:rPr>
        <w:t>do que,</w:t>
      </w:r>
      <w:r w:rsidRPr="00E320CE">
        <w:rPr>
          <w:color w:val="000000" w:themeColor="text1"/>
          <w:sz w:val="28"/>
          <w:szCs w:val="28"/>
        </w:rPr>
        <w:t xml:space="preserve"> el hecho de que la accionante sea una mujer en estado de embarazo, una persona de la tercera edad, una madre cabeza de familia o alguien que </w:t>
      </w:r>
      <w:r w:rsidR="00645A57" w:rsidRPr="00E320CE">
        <w:rPr>
          <w:color w:val="000000" w:themeColor="text1"/>
          <w:sz w:val="28"/>
          <w:szCs w:val="28"/>
        </w:rPr>
        <w:t>enfrenta</w:t>
      </w:r>
      <w:r w:rsidRPr="00E320CE">
        <w:rPr>
          <w:color w:val="000000" w:themeColor="text1"/>
          <w:sz w:val="28"/>
          <w:szCs w:val="28"/>
        </w:rPr>
        <w:t xml:space="preserve"> problemas de salud o pérdida de capacidad laboral, </w:t>
      </w:r>
      <w:r w:rsidR="0020547E" w:rsidRPr="00E320CE">
        <w:rPr>
          <w:color w:val="000000" w:themeColor="text1"/>
          <w:sz w:val="28"/>
          <w:szCs w:val="28"/>
        </w:rPr>
        <w:t xml:space="preserve">conduce </w:t>
      </w:r>
      <w:r w:rsidRPr="00E320CE">
        <w:rPr>
          <w:color w:val="000000" w:themeColor="text1"/>
          <w:sz w:val="28"/>
          <w:szCs w:val="28"/>
        </w:rPr>
        <w:t>a que el análisis de subsidiariedad sea menos estricto</w:t>
      </w:r>
      <w:r w:rsidR="0020547E" w:rsidRPr="00E320CE">
        <w:rPr>
          <w:color w:val="000000" w:themeColor="text1"/>
          <w:sz w:val="28"/>
          <w:szCs w:val="28"/>
        </w:rPr>
        <w:t xml:space="preserve"> y </w:t>
      </w:r>
      <w:r w:rsidR="00FB5B4C" w:rsidRPr="00E320CE">
        <w:rPr>
          <w:color w:val="000000" w:themeColor="text1"/>
          <w:sz w:val="28"/>
          <w:szCs w:val="28"/>
        </w:rPr>
        <w:t>se flexibilice</w:t>
      </w:r>
      <w:r w:rsidRPr="00E320CE">
        <w:rPr>
          <w:rStyle w:val="Refdenotaalpie"/>
          <w:color w:val="000000" w:themeColor="text1"/>
          <w:sz w:val="28"/>
          <w:szCs w:val="28"/>
        </w:rPr>
        <w:footnoteReference w:id="103"/>
      </w:r>
      <w:r w:rsidRPr="00E320CE">
        <w:rPr>
          <w:color w:val="000000" w:themeColor="text1"/>
          <w:sz w:val="28"/>
          <w:szCs w:val="28"/>
        </w:rPr>
        <w:t>. Esto se debe a que</w:t>
      </w:r>
      <w:r w:rsidR="00B11632" w:rsidRPr="00E320CE">
        <w:rPr>
          <w:color w:val="000000" w:themeColor="text1"/>
          <w:sz w:val="28"/>
          <w:szCs w:val="28"/>
        </w:rPr>
        <w:t>,</w:t>
      </w:r>
      <w:r w:rsidRPr="00E320CE" w:rsidDel="00B11632">
        <w:rPr>
          <w:color w:val="000000" w:themeColor="text1"/>
          <w:sz w:val="28"/>
          <w:szCs w:val="28"/>
        </w:rPr>
        <w:t xml:space="preserve"> </w:t>
      </w:r>
      <w:r w:rsidR="00B11632" w:rsidRPr="00E320CE">
        <w:rPr>
          <w:color w:val="000000" w:themeColor="text1"/>
          <w:sz w:val="28"/>
          <w:szCs w:val="28"/>
        </w:rPr>
        <w:t xml:space="preserve">en </w:t>
      </w:r>
      <w:r w:rsidRPr="00E320CE">
        <w:rPr>
          <w:color w:val="000000" w:themeColor="text1"/>
          <w:sz w:val="28"/>
          <w:szCs w:val="28"/>
        </w:rPr>
        <w:t>circunstancias</w:t>
      </w:r>
      <w:r w:rsidR="00B11632" w:rsidRPr="00E320CE">
        <w:rPr>
          <w:color w:val="000000" w:themeColor="text1"/>
          <w:sz w:val="28"/>
          <w:szCs w:val="28"/>
        </w:rPr>
        <w:t xml:space="preserve"> de este tipo, las</w:t>
      </w:r>
      <w:r w:rsidRPr="00E320CE">
        <w:rPr>
          <w:color w:val="000000" w:themeColor="text1"/>
          <w:sz w:val="28"/>
          <w:szCs w:val="28"/>
        </w:rPr>
        <w:t xml:space="preserve"> personas </w:t>
      </w:r>
      <w:r w:rsidR="0066507D" w:rsidRPr="00E320CE">
        <w:rPr>
          <w:color w:val="000000" w:themeColor="text1"/>
          <w:sz w:val="28"/>
          <w:szCs w:val="28"/>
        </w:rPr>
        <w:t>se enfrentan a</w:t>
      </w:r>
      <w:r w:rsidRPr="00E320CE">
        <w:rPr>
          <w:color w:val="000000" w:themeColor="text1"/>
          <w:sz w:val="28"/>
          <w:szCs w:val="28"/>
        </w:rPr>
        <w:t xml:space="preserve"> dificultades para reincorporarse </w:t>
      </w:r>
      <w:r w:rsidR="00760D7C" w:rsidRPr="00E320CE">
        <w:rPr>
          <w:color w:val="000000" w:themeColor="text1"/>
          <w:sz w:val="28"/>
          <w:szCs w:val="28"/>
        </w:rPr>
        <w:t>a</w:t>
      </w:r>
      <w:r w:rsidRPr="00E320CE">
        <w:rPr>
          <w:color w:val="000000" w:themeColor="text1"/>
          <w:sz w:val="28"/>
          <w:szCs w:val="28"/>
        </w:rPr>
        <w:t>l mercado laboral</w:t>
      </w:r>
      <w:r w:rsidRPr="00E320CE">
        <w:rPr>
          <w:rStyle w:val="Refdenotaalpie"/>
          <w:color w:val="000000" w:themeColor="text1"/>
          <w:sz w:val="28"/>
          <w:szCs w:val="28"/>
        </w:rPr>
        <w:footnoteReference w:id="104"/>
      </w:r>
      <w:r w:rsidRPr="00E320CE">
        <w:rPr>
          <w:color w:val="000000" w:themeColor="text1"/>
          <w:sz w:val="28"/>
          <w:szCs w:val="28"/>
        </w:rPr>
        <w:t xml:space="preserve"> y “las acciones ordinarias [puedan] resultar inidóneas e ineficaces para brindar un remedio integral”</w:t>
      </w:r>
      <w:r w:rsidRPr="00E320CE">
        <w:rPr>
          <w:rStyle w:val="Refdenotaalpie"/>
          <w:color w:val="000000" w:themeColor="text1"/>
          <w:sz w:val="28"/>
          <w:szCs w:val="28"/>
        </w:rPr>
        <w:footnoteReference w:id="105"/>
      </w:r>
      <w:r w:rsidR="00DB05AB" w:rsidRPr="00E320CE">
        <w:rPr>
          <w:color w:val="000000" w:themeColor="text1"/>
          <w:sz w:val="28"/>
          <w:szCs w:val="28"/>
        </w:rPr>
        <w:t>, ya que</w:t>
      </w:r>
      <w:r w:rsidR="0066507D" w:rsidRPr="00E320CE">
        <w:rPr>
          <w:color w:val="000000" w:themeColor="text1"/>
          <w:sz w:val="28"/>
          <w:szCs w:val="28"/>
        </w:rPr>
        <w:t xml:space="preserve"> </w:t>
      </w:r>
      <w:r w:rsidR="00507DD6" w:rsidRPr="00E320CE">
        <w:rPr>
          <w:color w:val="000000" w:themeColor="text1"/>
          <w:sz w:val="28"/>
          <w:szCs w:val="28"/>
        </w:rPr>
        <w:t>podrían</w:t>
      </w:r>
      <w:r w:rsidR="0066507D" w:rsidRPr="00E320CE">
        <w:rPr>
          <w:color w:val="000000" w:themeColor="text1"/>
          <w:sz w:val="28"/>
          <w:szCs w:val="28"/>
        </w:rPr>
        <w:t xml:space="preserve"> </w:t>
      </w:r>
      <w:r w:rsidR="00DB05AB" w:rsidRPr="00E320CE">
        <w:rPr>
          <w:color w:val="000000" w:themeColor="text1"/>
          <w:sz w:val="28"/>
          <w:szCs w:val="28"/>
        </w:rPr>
        <w:t>convertirse en una carga desproporcionada que vulner</w:t>
      </w:r>
      <w:r w:rsidR="0066507D" w:rsidRPr="00E320CE">
        <w:rPr>
          <w:color w:val="000000" w:themeColor="text1"/>
          <w:sz w:val="28"/>
          <w:szCs w:val="28"/>
        </w:rPr>
        <w:t>a</w:t>
      </w:r>
      <w:r w:rsidR="00DB05AB" w:rsidRPr="00E320CE">
        <w:rPr>
          <w:color w:val="000000" w:themeColor="text1"/>
          <w:sz w:val="28"/>
          <w:szCs w:val="28"/>
        </w:rPr>
        <w:t xml:space="preserve"> los derechos</w:t>
      </w:r>
      <w:r w:rsidR="00B11632" w:rsidRPr="00E320CE">
        <w:rPr>
          <w:color w:val="000000" w:themeColor="text1"/>
          <w:sz w:val="28"/>
          <w:szCs w:val="28"/>
        </w:rPr>
        <w:t xml:space="preserve"> de </w:t>
      </w:r>
      <w:r w:rsidR="00406314" w:rsidRPr="00E320CE">
        <w:rPr>
          <w:color w:val="000000" w:themeColor="text1"/>
          <w:sz w:val="28"/>
          <w:szCs w:val="28"/>
        </w:rPr>
        <w:t>la parte accionante</w:t>
      </w:r>
      <w:r w:rsidRPr="00E320CE">
        <w:rPr>
          <w:color w:val="000000" w:themeColor="text1"/>
          <w:sz w:val="28"/>
          <w:szCs w:val="28"/>
        </w:rPr>
        <w:t>.</w:t>
      </w:r>
    </w:p>
    <w:p w14:paraId="7AB9FB7D" w14:textId="77777777" w:rsidR="00F65FB5" w:rsidRPr="00E320CE" w:rsidRDefault="00F65FB5" w:rsidP="00F65FB5">
      <w:pPr>
        <w:pStyle w:val="Prrafodelista"/>
        <w:autoSpaceDE/>
        <w:autoSpaceDN/>
        <w:ind w:left="0"/>
        <w:contextualSpacing w:val="0"/>
        <w:jc w:val="both"/>
        <w:rPr>
          <w:rFonts w:eastAsia="SimSun"/>
          <w:sz w:val="28"/>
          <w:szCs w:val="28"/>
          <w:lang w:val="es-MX"/>
        </w:rPr>
      </w:pPr>
    </w:p>
    <w:p w14:paraId="4BF1F15B" w14:textId="21E59BA3" w:rsidR="00F65FB5" w:rsidRPr="00E320CE" w:rsidRDefault="00F65FB5" w:rsidP="00F65FB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Esta Corporación también ha tenido en cuenta, en ciertos casos, el mínimo vital de los accionantes. Sin embargo, </w:t>
      </w:r>
      <w:r w:rsidR="00D1006C" w:rsidRPr="00E320CE">
        <w:rPr>
          <w:rFonts w:eastAsia="SimSun"/>
          <w:sz w:val="28"/>
          <w:szCs w:val="28"/>
          <w:lang w:val="es-MX"/>
        </w:rPr>
        <w:t>a partir</w:t>
      </w:r>
      <w:r w:rsidRPr="00E320CE">
        <w:rPr>
          <w:rFonts w:eastAsia="SimSun"/>
          <w:sz w:val="28"/>
          <w:szCs w:val="28"/>
          <w:lang w:val="es-MX"/>
        </w:rPr>
        <w:t xml:space="preserve"> del contenido variable de este derecho, la Corte ha </w:t>
      </w:r>
      <w:proofErr w:type="spellStart"/>
      <w:r w:rsidRPr="00E320CE">
        <w:rPr>
          <w:rFonts w:eastAsia="SimSun"/>
          <w:sz w:val="28"/>
          <w:szCs w:val="28"/>
          <w:lang w:val="es-MX"/>
        </w:rPr>
        <w:t>concluído</w:t>
      </w:r>
      <w:proofErr w:type="spellEnd"/>
      <w:r w:rsidRPr="00E320CE">
        <w:rPr>
          <w:rFonts w:eastAsia="SimSun"/>
          <w:sz w:val="28"/>
          <w:szCs w:val="28"/>
          <w:lang w:val="es-MX"/>
        </w:rPr>
        <w:t xml:space="preserve"> que la tutela procede de forma definitiva en </w:t>
      </w:r>
      <w:r w:rsidR="00F4435F" w:rsidRPr="00E320CE">
        <w:rPr>
          <w:rFonts w:eastAsia="SimSun"/>
          <w:sz w:val="28"/>
          <w:szCs w:val="28"/>
          <w:lang w:val="es-MX"/>
        </w:rPr>
        <w:t xml:space="preserve">los siguientes </w:t>
      </w:r>
      <w:r w:rsidRPr="00E320CE">
        <w:rPr>
          <w:rFonts w:eastAsia="SimSun"/>
          <w:sz w:val="28"/>
          <w:szCs w:val="28"/>
          <w:lang w:val="es-MX"/>
        </w:rPr>
        <w:t xml:space="preserve">escenarios: (i) cuando el demandante no tiene </w:t>
      </w:r>
      <w:r w:rsidRPr="00E320CE">
        <w:rPr>
          <w:color w:val="000000" w:themeColor="text1"/>
          <w:sz w:val="28"/>
          <w:szCs w:val="28"/>
        </w:rPr>
        <w:t>ninguna otra fuente de ingreso y su núcleo familiar depende de sus antiguos honorarios</w:t>
      </w:r>
      <w:r w:rsidRPr="00E320CE">
        <w:rPr>
          <w:rStyle w:val="Refdenotaalpie"/>
          <w:color w:val="000000" w:themeColor="text1"/>
          <w:sz w:val="28"/>
          <w:szCs w:val="28"/>
        </w:rPr>
        <w:footnoteReference w:id="106"/>
      </w:r>
      <w:r w:rsidRPr="00E320CE">
        <w:rPr>
          <w:color w:val="000000" w:themeColor="text1"/>
          <w:sz w:val="28"/>
          <w:szCs w:val="28"/>
        </w:rPr>
        <w:t>; (</w:t>
      </w:r>
      <w:proofErr w:type="spellStart"/>
      <w:r w:rsidRPr="00E320CE">
        <w:rPr>
          <w:color w:val="000000" w:themeColor="text1"/>
          <w:sz w:val="28"/>
          <w:szCs w:val="28"/>
        </w:rPr>
        <w:t>ii</w:t>
      </w:r>
      <w:proofErr w:type="spellEnd"/>
      <w:r w:rsidRPr="00E320CE">
        <w:rPr>
          <w:color w:val="000000" w:themeColor="text1"/>
          <w:sz w:val="28"/>
          <w:szCs w:val="28"/>
        </w:rPr>
        <w:t>) cuando los ingresos que percibe el actor son insuficientes para atender sus necesidades básicas y las de su familia</w:t>
      </w:r>
      <w:r w:rsidRPr="00E320CE">
        <w:rPr>
          <w:rStyle w:val="Refdenotaalpie"/>
          <w:color w:val="000000" w:themeColor="text1"/>
          <w:sz w:val="28"/>
          <w:szCs w:val="28"/>
        </w:rPr>
        <w:footnoteReference w:id="107"/>
      </w:r>
      <w:r w:rsidRPr="00E320CE">
        <w:rPr>
          <w:color w:val="000000" w:themeColor="text1"/>
          <w:sz w:val="28"/>
          <w:szCs w:val="28"/>
        </w:rPr>
        <w:t>; e, incluso, (</w:t>
      </w:r>
      <w:proofErr w:type="spellStart"/>
      <w:r w:rsidRPr="00E320CE">
        <w:rPr>
          <w:color w:val="000000" w:themeColor="text1"/>
          <w:sz w:val="28"/>
          <w:szCs w:val="28"/>
        </w:rPr>
        <w:t>iii</w:t>
      </w:r>
      <w:proofErr w:type="spellEnd"/>
      <w:r w:rsidRPr="00E320CE">
        <w:rPr>
          <w:color w:val="000000" w:themeColor="text1"/>
          <w:sz w:val="28"/>
          <w:szCs w:val="28"/>
        </w:rPr>
        <w:t xml:space="preserve">) cuando no se advirtió una afectación </w:t>
      </w:r>
      <w:r w:rsidRPr="00E320CE">
        <w:rPr>
          <w:sz w:val="28"/>
          <w:szCs w:val="28"/>
        </w:rPr>
        <w:t>al mínimo vital de los accionantes</w:t>
      </w:r>
      <w:r w:rsidRPr="00E320CE">
        <w:rPr>
          <w:rStyle w:val="Refdenotaalpie"/>
          <w:sz w:val="28"/>
          <w:szCs w:val="28"/>
        </w:rPr>
        <w:footnoteReference w:id="108"/>
      </w:r>
      <w:r w:rsidRPr="00E320CE">
        <w:rPr>
          <w:sz w:val="28"/>
          <w:szCs w:val="28"/>
        </w:rPr>
        <w:t xml:space="preserve">. De esa forma, a pesar de un elemento relevante al estudiar la procedencia, el mínimo vital no es el único ni el </w:t>
      </w:r>
      <w:proofErr w:type="spellStart"/>
      <w:r w:rsidRPr="00E320CE">
        <w:rPr>
          <w:sz w:val="28"/>
          <w:szCs w:val="28"/>
        </w:rPr>
        <w:t>mas</w:t>
      </w:r>
      <w:proofErr w:type="spellEnd"/>
      <w:r w:rsidRPr="00E320CE">
        <w:rPr>
          <w:sz w:val="28"/>
          <w:szCs w:val="28"/>
        </w:rPr>
        <w:t xml:space="preserve"> importante aspecto que debe revisar la Sala para determinar </w:t>
      </w:r>
      <w:r w:rsidRPr="00E320CE">
        <w:rPr>
          <w:color w:val="000000" w:themeColor="text1"/>
          <w:sz w:val="28"/>
          <w:szCs w:val="28"/>
        </w:rPr>
        <w:t>si el amparo procede de forma transitoria o definitiva.</w:t>
      </w:r>
    </w:p>
    <w:p w14:paraId="5E2D6DB1" w14:textId="77777777" w:rsidR="008E0D45" w:rsidRPr="00E320CE" w:rsidRDefault="008E0D45" w:rsidP="008E0D45">
      <w:pPr>
        <w:pStyle w:val="Prrafodelista"/>
        <w:rPr>
          <w:rFonts w:eastAsia="SimSun"/>
          <w:sz w:val="28"/>
          <w:szCs w:val="28"/>
          <w:lang w:val="es-MX"/>
        </w:rPr>
      </w:pPr>
    </w:p>
    <w:p w14:paraId="648F07DC" w14:textId="7B9209AD" w:rsidR="008E0D45" w:rsidRPr="00E320CE" w:rsidRDefault="004D4FD3" w:rsidP="00F65FB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Adicionalmente</w:t>
      </w:r>
      <w:r w:rsidR="008E0D45" w:rsidRPr="00E320CE">
        <w:rPr>
          <w:rFonts w:eastAsia="SimSun"/>
          <w:sz w:val="28"/>
          <w:szCs w:val="28"/>
          <w:lang w:val="es-MX"/>
        </w:rPr>
        <w:t xml:space="preserve">, en casos relacionados con la existencia de un contrato realidad, la Corte Constitucional </w:t>
      </w:r>
      <w:r w:rsidRPr="00E320CE">
        <w:rPr>
          <w:rFonts w:eastAsia="SimSun"/>
          <w:sz w:val="28"/>
          <w:szCs w:val="28"/>
          <w:lang w:val="es-MX"/>
        </w:rPr>
        <w:t xml:space="preserve">ha señalado </w:t>
      </w:r>
      <w:r w:rsidR="008E0D45" w:rsidRPr="00E320CE">
        <w:rPr>
          <w:rFonts w:eastAsia="SimSun"/>
          <w:sz w:val="28"/>
          <w:szCs w:val="28"/>
          <w:lang w:val="es-MX"/>
        </w:rPr>
        <w:t xml:space="preserve">que la acción de tutela procede de forma excepcional cuando </w:t>
      </w:r>
      <w:r w:rsidR="00A137DF" w:rsidRPr="00E320CE">
        <w:rPr>
          <w:rFonts w:eastAsia="SimSun"/>
          <w:sz w:val="28"/>
          <w:szCs w:val="28"/>
          <w:lang w:val="es-MX"/>
        </w:rPr>
        <w:t xml:space="preserve">los accionantes son </w:t>
      </w:r>
      <w:r w:rsidR="008E0D45" w:rsidRPr="00E320CE">
        <w:rPr>
          <w:rFonts w:eastAsia="SimSun"/>
          <w:sz w:val="28"/>
          <w:szCs w:val="28"/>
          <w:lang w:val="es-MX"/>
        </w:rPr>
        <w:t>“</w:t>
      </w:r>
      <w:r w:rsidR="008E0D45" w:rsidRPr="00E320CE">
        <w:rPr>
          <w:sz w:val="28"/>
          <w:szCs w:val="28"/>
        </w:rPr>
        <w:t>titulares de una especial protección constitucional por parte del Estado”</w:t>
      </w:r>
      <w:r w:rsidR="008E0D45" w:rsidRPr="00E320CE">
        <w:rPr>
          <w:rStyle w:val="Refdenotaalpie"/>
          <w:sz w:val="28"/>
          <w:szCs w:val="28"/>
        </w:rPr>
        <w:footnoteReference w:id="109"/>
      </w:r>
      <w:r w:rsidR="008E0D45" w:rsidRPr="00E320CE">
        <w:rPr>
          <w:sz w:val="28"/>
          <w:szCs w:val="28"/>
        </w:rPr>
        <w:t xml:space="preserve">. </w:t>
      </w:r>
    </w:p>
    <w:p w14:paraId="1BC50F25" w14:textId="77777777" w:rsidR="00F65FB5" w:rsidRPr="00E320CE" w:rsidRDefault="00F65FB5" w:rsidP="00F65FB5">
      <w:pPr>
        <w:autoSpaceDE/>
        <w:autoSpaceDN/>
        <w:jc w:val="both"/>
        <w:rPr>
          <w:rFonts w:eastAsia="SimSun"/>
          <w:sz w:val="28"/>
          <w:szCs w:val="28"/>
          <w:lang w:val="es-MX"/>
        </w:rPr>
      </w:pPr>
    </w:p>
    <w:p w14:paraId="71E2C52C" w14:textId="65F68F2B" w:rsidR="00F65FB5" w:rsidRPr="00E320CE" w:rsidRDefault="00F65FB5" w:rsidP="00F65FB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A partir de estas reglas, </w:t>
      </w:r>
      <w:r w:rsidR="0002551D" w:rsidRPr="00E320CE">
        <w:rPr>
          <w:rFonts w:eastAsia="SimSun"/>
          <w:sz w:val="28"/>
          <w:szCs w:val="28"/>
          <w:lang w:val="es-MX"/>
        </w:rPr>
        <w:t xml:space="preserve">esta Corporación encuentra </w:t>
      </w:r>
      <w:r w:rsidRPr="00E320CE">
        <w:rPr>
          <w:rFonts w:eastAsia="SimSun"/>
          <w:sz w:val="28"/>
          <w:szCs w:val="28"/>
          <w:lang w:val="es-MX"/>
        </w:rPr>
        <w:t xml:space="preserve">que la acción de tutela cumple con el requisito de subsidiariedad. En primer lugar, </w:t>
      </w:r>
      <w:r w:rsidR="00E320CE" w:rsidRPr="00E320CE">
        <w:rPr>
          <w:i/>
          <w:iCs/>
          <w:sz w:val="28"/>
          <w:szCs w:val="28"/>
          <w:lang w:val="es-CO"/>
        </w:rPr>
        <w:t>Greta</w:t>
      </w:r>
      <w:r w:rsidRPr="00E320CE">
        <w:rPr>
          <w:rFonts w:eastAsia="SimSun"/>
          <w:sz w:val="28"/>
          <w:szCs w:val="28"/>
          <w:lang w:val="es-MX"/>
        </w:rPr>
        <w:t xml:space="preserve"> es un sujeto de especial protección constitucional que, además, </w:t>
      </w:r>
      <w:r w:rsidR="00D25357" w:rsidRPr="00E320CE">
        <w:rPr>
          <w:rFonts w:eastAsia="SimSun"/>
          <w:sz w:val="28"/>
          <w:szCs w:val="28"/>
          <w:lang w:val="es-MX"/>
        </w:rPr>
        <w:t xml:space="preserve">se encuentra </w:t>
      </w:r>
      <w:r w:rsidRPr="00E320CE">
        <w:rPr>
          <w:rFonts w:eastAsia="SimSun"/>
          <w:sz w:val="28"/>
          <w:szCs w:val="28"/>
          <w:lang w:val="es-MX"/>
        </w:rPr>
        <w:t xml:space="preserve">en estado de debilidad manifiesta, pues es una mujer madre cabeza de familia que está diagnosticada con cáncer de cuello uterino y </w:t>
      </w:r>
      <w:r w:rsidRPr="00E320CE">
        <w:rPr>
          <w:sz w:val="28"/>
          <w:szCs w:val="28"/>
        </w:rPr>
        <w:t xml:space="preserve">trastorno mixto de ansiedad y depresión. Esta situación le ha dificultado a la accionante mantenerse y </w:t>
      </w:r>
      <w:r w:rsidRPr="00E320CE">
        <w:rPr>
          <w:color w:val="000000" w:themeColor="text1"/>
          <w:sz w:val="28"/>
          <w:szCs w:val="28"/>
        </w:rPr>
        <w:t xml:space="preserve">reincorporarse </w:t>
      </w:r>
      <w:r w:rsidR="00F91735" w:rsidRPr="00E320CE">
        <w:rPr>
          <w:color w:val="000000" w:themeColor="text1"/>
          <w:sz w:val="28"/>
          <w:szCs w:val="28"/>
        </w:rPr>
        <w:t>a</w:t>
      </w:r>
      <w:r w:rsidRPr="00E320CE">
        <w:rPr>
          <w:color w:val="000000" w:themeColor="text1"/>
          <w:sz w:val="28"/>
          <w:szCs w:val="28"/>
        </w:rPr>
        <w:t>l mercado laboral</w:t>
      </w:r>
      <w:r w:rsidR="00A83802" w:rsidRPr="00E320CE">
        <w:rPr>
          <w:color w:val="000000" w:themeColor="text1"/>
          <w:sz w:val="28"/>
          <w:szCs w:val="28"/>
        </w:rPr>
        <w:t>.</w:t>
      </w:r>
      <w:r w:rsidR="0065417B" w:rsidRPr="00E320CE">
        <w:rPr>
          <w:color w:val="000000" w:themeColor="text1"/>
          <w:sz w:val="28"/>
          <w:szCs w:val="28"/>
        </w:rPr>
        <w:t xml:space="preserve"> Esto se evidencia en que, </w:t>
      </w:r>
      <w:r w:rsidRPr="00E320CE">
        <w:rPr>
          <w:color w:val="000000" w:themeColor="text1"/>
          <w:sz w:val="28"/>
          <w:szCs w:val="28"/>
        </w:rPr>
        <w:t>en el pasado</w:t>
      </w:r>
      <w:r w:rsidR="0065417B" w:rsidRPr="00E320CE">
        <w:rPr>
          <w:color w:val="000000" w:themeColor="text1"/>
          <w:sz w:val="28"/>
          <w:szCs w:val="28"/>
        </w:rPr>
        <w:t>,</w:t>
      </w:r>
      <w:r w:rsidRPr="00E320CE">
        <w:rPr>
          <w:color w:val="000000" w:themeColor="text1"/>
          <w:sz w:val="28"/>
          <w:szCs w:val="28"/>
        </w:rPr>
        <w:t xml:space="preserve"> se determinó que la</w:t>
      </w:r>
      <w:r w:rsidR="0065417B" w:rsidRPr="00E320CE">
        <w:rPr>
          <w:color w:val="000000" w:themeColor="text1"/>
          <w:sz w:val="28"/>
          <w:szCs w:val="28"/>
        </w:rPr>
        <w:t xml:space="preserve"> empresa</w:t>
      </w:r>
      <w:r w:rsidRPr="00E320CE">
        <w:rPr>
          <w:color w:val="000000" w:themeColor="text1"/>
          <w:sz w:val="28"/>
          <w:szCs w:val="28"/>
        </w:rPr>
        <w:t xml:space="preserve"> UT Salud Integral desconoció su derecho a la estabilidad laboral reforzada</w:t>
      </w:r>
      <w:r w:rsidR="000A3A54" w:rsidRPr="00E320CE">
        <w:rPr>
          <w:color w:val="000000" w:themeColor="text1"/>
          <w:sz w:val="28"/>
          <w:szCs w:val="28"/>
        </w:rPr>
        <w:t>, en que fue calificada con concepto desfavorable de rehabilitación</w:t>
      </w:r>
      <w:r w:rsidRPr="00E320CE">
        <w:rPr>
          <w:color w:val="000000" w:themeColor="text1"/>
          <w:sz w:val="28"/>
          <w:szCs w:val="28"/>
        </w:rPr>
        <w:t xml:space="preserve"> y en que no ha </w:t>
      </w:r>
      <w:r w:rsidR="0065417B" w:rsidRPr="00E320CE">
        <w:rPr>
          <w:color w:val="000000" w:themeColor="text1"/>
          <w:sz w:val="28"/>
          <w:szCs w:val="28"/>
        </w:rPr>
        <w:t xml:space="preserve">logrado encontrar </w:t>
      </w:r>
      <w:r w:rsidRPr="00E320CE">
        <w:rPr>
          <w:color w:val="000000" w:themeColor="text1"/>
          <w:sz w:val="28"/>
          <w:szCs w:val="28"/>
        </w:rPr>
        <w:t>otro trabajo desde su última desvinculación</w:t>
      </w:r>
      <w:r w:rsidR="0065417B" w:rsidRPr="00E320CE">
        <w:rPr>
          <w:color w:val="000000" w:themeColor="text1"/>
          <w:sz w:val="28"/>
          <w:szCs w:val="28"/>
        </w:rPr>
        <w:t>,</w:t>
      </w:r>
      <w:r w:rsidRPr="00E320CE">
        <w:rPr>
          <w:color w:val="000000" w:themeColor="text1"/>
          <w:sz w:val="28"/>
          <w:szCs w:val="28"/>
        </w:rPr>
        <w:t xml:space="preserve"> el 31 de julio de 2024. </w:t>
      </w:r>
    </w:p>
    <w:p w14:paraId="23B314CF" w14:textId="77777777" w:rsidR="00F65FB5" w:rsidRPr="00E320CE" w:rsidRDefault="00F65FB5" w:rsidP="00F65FB5">
      <w:pPr>
        <w:pStyle w:val="Prrafodelista"/>
        <w:rPr>
          <w:color w:val="000000" w:themeColor="text1"/>
          <w:sz w:val="28"/>
          <w:szCs w:val="28"/>
        </w:rPr>
      </w:pPr>
    </w:p>
    <w:p w14:paraId="0F9C69E4" w14:textId="15D941A1" w:rsidR="001A25FF" w:rsidRPr="00E320CE" w:rsidRDefault="00F65FB5" w:rsidP="00F65FB5">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rPr>
        <w:t xml:space="preserve">A su vez, esta situación ha llevado a que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rPr>
        <w:t>no pueda cubrir los gastos de alimentación, servicios</w:t>
      </w:r>
      <w:r w:rsidR="0065417B" w:rsidRPr="00E320CE">
        <w:rPr>
          <w:sz w:val="28"/>
          <w:szCs w:val="28"/>
        </w:rPr>
        <w:t xml:space="preserve"> públicos</w:t>
      </w:r>
      <w:r w:rsidRPr="00E320CE">
        <w:rPr>
          <w:sz w:val="28"/>
          <w:szCs w:val="28"/>
        </w:rPr>
        <w:t xml:space="preserve"> y transporte de ella y sus dos hijos menores de 18 años, </w:t>
      </w:r>
      <w:r w:rsidR="000C47AA" w:rsidRPr="00E320CE">
        <w:rPr>
          <w:sz w:val="28"/>
          <w:szCs w:val="28"/>
        </w:rPr>
        <w:t xml:space="preserve">y que dependa </w:t>
      </w:r>
      <w:r w:rsidRPr="00E320CE">
        <w:rPr>
          <w:sz w:val="28"/>
          <w:szCs w:val="28"/>
        </w:rPr>
        <w:t>de la ayuda de sus hermanos y amigos</w:t>
      </w:r>
      <w:r w:rsidR="000C47AA" w:rsidRPr="00E320CE">
        <w:rPr>
          <w:sz w:val="28"/>
          <w:szCs w:val="28"/>
        </w:rPr>
        <w:t xml:space="preserve"> para cubrir sus necesidades básicas</w:t>
      </w:r>
      <w:r w:rsidRPr="00E320CE">
        <w:rPr>
          <w:sz w:val="28"/>
          <w:szCs w:val="28"/>
        </w:rPr>
        <w:t xml:space="preserve">. De esa forma, </w:t>
      </w:r>
      <w:r w:rsidRPr="00E320CE">
        <w:rPr>
          <w:sz w:val="28"/>
          <w:szCs w:val="28"/>
          <w:shd w:val="clear" w:color="auto" w:fill="FFFFFF"/>
        </w:rPr>
        <w:t>la Sala encuentra que, en principio, existe una posible afectación al mínimo vital de la accionante y de sus hijos que se manifiesta en su condición de extrema pobreza, de acuerdo con</w:t>
      </w:r>
      <w:r w:rsidR="007D7392" w:rsidRPr="00E320CE">
        <w:rPr>
          <w:sz w:val="28"/>
          <w:szCs w:val="28"/>
          <w:shd w:val="clear" w:color="auto" w:fill="FFFFFF"/>
        </w:rPr>
        <w:t xml:space="preserve"> la consulta en la base de datos </w:t>
      </w:r>
      <w:r w:rsidR="00B94854" w:rsidRPr="00E320CE">
        <w:rPr>
          <w:sz w:val="28"/>
          <w:szCs w:val="28"/>
          <w:shd w:val="clear" w:color="auto" w:fill="FFFFFF"/>
        </w:rPr>
        <w:t>del</w:t>
      </w:r>
      <w:r w:rsidRPr="00E320CE">
        <w:rPr>
          <w:sz w:val="28"/>
          <w:szCs w:val="28"/>
          <w:shd w:val="clear" w:color="auto" w:fill="FFFFFF"/>
        </w:rPr>
        <w:t xml:space="preserve"> SISBÉN. Esta </w:t>
      </w:r>
      <w:proofErr w:type="spellStart"/>
      <w:r w:rsidRPr="00E320CE">
        <w:rPr>
          <w:sz w:val="28"/>
          <w:szCs w:val="28"/>
          <w:shd w:val="clear" w:color="auto" w:fill="FFFFFF"/>
        </w:rPr>
        <w:t>afecación</w:t>
      </w:r>
      <w:proofErr w:type="spellEnd"/>
      <w:r w:rsidRPr="00E320CE">
        <w:rPr>
          <w:sz w:val="28"/>
          <w:szCs w:val="28"/>
          <w:shd w:val="clear" w:color="auto" w:fill="FFFFFF"/>
        </w:rPr>
        <w:t xml:space="preserve">, junto al hecho de que la accionante es un </w:t>
      </w:r>
      <w:r w:rsidRPr="00E320CE">
        <w:rPr>
          <w:rFonts w:eastAsia="SimSun"/>
          <w:sz w:val="28"/>
          <w:szCs w:val="28"/>
          <w:lang w:val="es-MX"/>
        </w:rPr>
        <w:t>sujeto de especial protección constitucional que está en estado de debilidad manifiesta,</w:t>
      </w:r>
      <w:r w:rsidRPr="00E320CE">
        <w:rPr>
          <w:sz w:val="28"/>
          <w:szCs w:val="28"/>
          <w:shd w:val="clear" w:color="auto" w:fill="FFFFFF"/>
        </w:rPr>
        <w:t xml:space="preserve"> hace </w:t>
      </w:r>
      <w:r w:rsidR="00B94854" w:rsidRPr="00E320CE">
        <w:rPr>
          <w:sz w:val="28"/>
          <w:szCs w:val="28"/>
          <w:shd w:val="clear" w:color="auto" w:fill="FFFFFF"/>
        </w:rPr>
        <w:t>procedente</w:t>
      </w:r>
      <w:r w:rsidRPr="00E320CE">
        <w:rPr>
          <w:sz w:val="28"/>
          <w:szCs w:val="28"/>
          <w:shd w:val="clear" w:color="auto" w:fill="FFFFFF"/>
        </w:rPr>
        <w:t xml:space="preserve"> la acción de tutela como mecanismo definitivo. </w:t>
      </w:r>
    </w:p>
    <w:p w14:paraId="1FEC40F3" w14:textId="77777777" w:rsidR="001A25FF" w:rsidRPr="00E320CE" w:rsidRDefault="001A25FF" w:rsidP="00D2183A">
      <w:pPr>
        <w:pStyle w:val="Prrafodelista"/>
        <w:autoSpaceDE/>
        <w:autoSpaceDN/>
        <w:ind w:left="0"/>
        <w:contextualSpacing w:val="0"/>
        <w:jc w:val="both"/>
        <w:rPr>
          <w:rFonts w:eastAsia="SimSun"/>
          <w:sz w:val="28"/>
          <w:szCs w:val="28"/>
          <w:lang w:val="es-MX"/>
        </w:rPr>
      </w:pPr>
    </w:p>
    <w:p w14:paraId="28320B5D" w14:textId="17900BDF" w:rsidR="00F65FB5" w:rsidRPr="00E320CE" w:rsidRDefault="00F65FB5" w:rsidP="00F65FB5">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shd w:val="clear" w:color="auto" w:fill="FFFFFF"/>
        </w:rPr>
        <w:t xml:space="preserve">En esos términos, se </w:t>
      </w:r>
      <w:r w:rsidR="001A25FF" w:rsidRPr="00E320CE">
        <w:rPr>
          <w:sz w:val="28"/>
          <w:szCs w:val="28"/>
          <w:shd w:val="clear" w:color="auto" w:fill="FFFFFF"/>
        </w:rPr>
        <w:t>satisface</w:t>
      </w:r>
      <w:r w:rsidRPr="00E320CE" w:rsidDel="001A25FF">
        <w:rPr>
          <w:sz w:val="28"/>
          <w:szCs w:val="28"/>
          <w:shd w:val="clear" w:color="auto" w:fill="FFFFFF"/>
        </w:rPr>
        <w:t xml:space="preserve"> </w:t>
      </w:r>
      <w:r w:rsidRPr="00E320CE">
        <w:rPr>
          <w:sz w:val="28"/>
          <w:szCs w:val="28"/>
          <w:shd w:val="clear" w:color="auto" w:fill="FFFFFF"/>
        </w:rPr>
        <w:t>el requisito de subsidiariedad</w:t>
      </w:r>
      <w:r w:rsidR="00E06E86" w:rsidRPr="00E320CE">
        <w:rPr>
          <w:sz w:val="28"/>
          <w:szCs w:val="28"/>
          <w:shd w:val="clear" w:color="auto" w:fill="FFFFFF"/>
        </w:rPr>
        <w:t>, ya que los medios judiciales que la accionante tienen a su disposición (demanda ordinaria laboral o nulidad y restablecimiento del derecho, según el caso)</w:t>
      </w:r>
      <w:r w:rsidR="00A676B7" w:rsidRPr="00E320CE">
        <w:rPr>
          <w:sz w:val="28"/>
          <w:szCs w:val="28"/>
          <w:shd w:val="clear" w:color="auto" w:fill="FFFFFF"/>
        </w:rPr>
        <w:t xml:space="preserve"> no resultan idóneos ni eficaces para garantizar la subsistencia inmediata que ella requiere para cubrir sus necesidades</w:t>
      </w:r>
      <w:r w:rsidR="009E6C99" w:rsidRPr="00E320CE">
        <w:rPr>
          <w:sz w:val="28"/>
          <w:szCs w:val="28"/>
          <w:shd w:val="clear" w:color="auto" w:fill="FFFFFF"/>
        </w:rPr>
        <w:t xml:space="preserve"> y las de su familia</w:t>
      </w:r>
      <w:r w:rsidRPr="00E320CE">
        <w:rPr>
          <w:sz w:val="28"/>
          <w:szCs w:val="28"/>
          <w:shd w:val="clear" w:color="auto" w:fill="FFFFFF"/>
        </w:rPr>
        <w:t xml:space="preserve">. </w:t>
      </w:r>
      <w:r w:rsidR="00A73C1D" w:rsidRPr="00E320CE">
        <w:rPr>
          <w:sz w:val="28"/>
          <w:szCs w:val="28"/>
          <w:shd w:val="clear" w:color="auto" w:fill="FFFFFF"/>
        </w:rPr>
        <w:t xml:space="preserve">Lo anterior, </w:t>
      </w:r>
      <w:r w:rsidR="00405409" w:rsidRPr="00E320CE">
        <w:rPr>
          <w:sz w:val="28"/>
          <w:szCs w:val="28"/>
          <w:shd w:val="clear" w:color="auto" w:fill="FFFFFF"/>
        </w:rPr>
        <w:t>en atención a las complicaciones de salud que tiene y su limitada capacidad económica, circunstancias que le impiden a la actora generar ingresos económicos o desarrollar actividades productivas en el mercado la</w:t>
      </w:r>
      <w:r w:rsidR="003305DD" w:rsidRPr="00E320CE">
        <w:rPr>
          <w:sz w:val="28"/>
          <w:szCs w:val="28"/>
          <w:shd w:val="clear" w:color="auto" w:fill="FFFFFF"/>
        </w:rPr>
        <w:t xml:space="preserve">boral. </w:t>
      </w:r>
    </w:p>
    <w:p w14:paraId="1EEC3527" w14:textId="77777777" w:rsidR="00C97B1F" w:rsidRPr="00E320CE" w:rsidRDefault="00C97B1F" w:rsidP="00C97B1F">
      <w:pPr>
        <w:pStyle w:val="Prrafodelista"/>
        <w:rPr>
          <w:rFonts w:eastAsia="SimSun"/>
          <w:sz w:val="28"/>
          <w:szCs w:val="28"/>
          <w:lang w:val="es-MX"/>
        </w:rPr>
      </w:pPr>
    </w:p>
    <w:p w14:paraId="7B83178E" w14:textId="454F6C0E" w:rsidR="003934CF" w:rsidRPr="00E320CE" w:rsidRDefault="00C97B1F" w:rsidP="00573F86">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Sin em</w:t>
      </w:r>
      <w:r w:rsidR="00170D85" w:rsidRPr="00E320CE">
        <w:rPr>
          <w:rFonts w:eastAsia="SimSun"/>
          <w:sz w:val="28"/>
          <w:szCs w:val="28"/>
          <w:lang w:val="es-MX"/>
        </w:rPr>
        <w:t xml:space="preserve">bargo, esta conclusión no es </w:t>
      </w:r>
      <w:r w:rsidR="00DE55A9" w:rsidRPr="00E320CE">
        <w:rPr>
          <w:rFonts w:eastAsia="SimSun"/>
          <w:sz w:val="28"/>
          <w:szCs w:val="28"/>
          <w:lang w:val="es-MX"/>
        </w:rPr>
        <w:t>aplicable a</w:t>
      </w:r>
      <w:r w:rsidR="00170D85" w:rsidRPr="00E320CE">
        <w:rPr>
          <w:rFonts w:eastAsia="SimSun"/>
          <w:sz w:val="28"/>
          <w:szCs w:val="28"/>
          <w:lang w:val="es-MX"/>
        </w:rPr>
        <w:t xml:space="preserve"> la pretensión de la accionante rela</w:t>
      </w:r>
      <w:r w:rsidR="00DE55A9" w:rsidRPr="00E320CE">
        <w:rPr>
          <w:rFonts w:eastAsia="SimSun"/>
          <w:sz w:val="28"/>
          <w:szCs w:val="28"/>
          <w:lang w:val="es-MX"/>
        </w:rPr>
        <w:t>tiva</w:t>
      </w:r>
      <w:r w:rsidR="00170D85" w:rsidRPr="00E320CE">
        <w:rPr>
          <w:rFonts w:eastAsia="SimSun"/>
          <w:sz w:val="28"/>
          <w:szCs w:val="28"/>
          <w:lang w:val="es-MX"/>
        </w:rPr>
        <w:t xml:space="preserve"> </w:t>
      </w:r>
      <w:r w:rsidR="00DE55A9" w:rsidRPr="00E320CE">
        <w:rPr>
          <w:rFonts w:eastAsia="SimSun"/>
          <w:sz w:val="28"/>
          <w:szCs w:val="28"/>
          <w:lang w:val="es-MX"/>
        </w:rPr>
        <w:t>a</w:t>
      </w:r>
      <w:r w:rsidR="00170D85" w:rsidRPr="00E320CE">
        <w:rPr>
          <w:rFonts w:eastAsia="SimSun"/>
          <w:sz w:val="28"/>
          <w:szCs w:val="28"/>
          <w:lang w:val="es-MX"/>
        </w:rPr>
        <w:t xml:space="preserve"> </w:t>
      </w:r>
      <w:r w:rsidR="00B472FA" w:rsidRPr="00E320CE">
        <w:rPr>
          <w:rFonts w:eastAsia="SimSun"/>
          <w:sz w:val="28"/>
          <w:szCs w:val="28"/>
          <w:lang w:val="es-MX"/>
        </w:rPr>
        <w:t xml:space="preserve">la declaratoria de responsabilidad solidaria del </w:t>
      </w:r>
      <w:r w:rsidR="00B472FA" w:rsidRPr="00E320CE">
        <w:rPr>
          <w:sz w:val="28"/>
          <w:szCs w:val="28"/>
        </w:rPr>
        <w:t xml:space="preserve">INPEC frente a las obligaciones laborales que </w:t>
      </w:r>
      <w:r w:rsidR="00DE55A9" w:rsidRPr="00E320CE">
        <w:rPr>
          <w:sz w:val="28"/>
          <w:szCs w:val="28"/>
        </w:rPr>
        <w:t xml:space="preserve">podrían tener </w:t>
      </w:r>
      <w:r w:rsidR="00B472FA" w:rsidRPr="00E320CE">
        <w:rPr>
          <w:sz w:val="28"/>
          <w:szCs w:val="28"/>
        </w:rPr>
        <w:t>origen en</w:t>
      </w:r>
      <w:r w:rsidR="00DE55A9" w:rsidRPr="00E320CE">
        <w:rPr>
          <w:sz w:val="28"/>
          <w:szCs w:val="28"/>
        </w:rPr>
        <w:t xml:space="preserve"> una eventual </w:t>
      </w:r>
      <w:r w:rsidR="00B472FA" w:rsidRPr="00E320CE">
        <w:rPr>
          <w:sz w:val="28"/>
          <w:szCs w:val="28"/>
        </w:rPr>
        <w:t>declaratoria de</w:t>
      </w:r>
      <w:r w:rsidR="00DE55A9" w:rsidRPr="00E320CE">
        <w:rPr>
          <w:sz w:val="28"/>
          <w:szCs w:val="28"/>
        </w:rPr>
        <w:t>l</w:t>
      </w:r>
      <w:r w:rsidR="00B472FA" w:rsidRPr="00E320CE">
        <w:rPr>
          <w:sz w:val="28"/>
          <w:szCs w:val="28"/>
        </w:rPr>
        <w:t xml:space="preserve"> contrato realidad y de una sustitución patronal. </w:t>
      </w:r>
      <w:r w:rsidR="00DE55A9" w:rsidRPr="00E320CE">
        <w:rPr>
          <w:sz w:val="28"/>
          <w:szCs w:val="28"/>
        </w:rPr>
        <w:t xml:space="preserve">Sobre tal pretensión, la accionante informó </w:t>
      </w:r>
      <w:r w:rsidR="00573F86" w:rsidRPr="00E320CE">
        <w:rPr>
          <w:sz w:val="28"/>
          <w:szCs w:val="28"/>
        </w:rPr>
        <w:t>en el trámite de tutela</w:t>
      </w:r>
      <w:r w:rsidR="00573F86" w:rsidRPr="00E320CE">
        <w:rPr>
          <w:rFonts w:eastAsia="SimSun"/>
          <w:sz w:val="28"/>
          <w:szCs w:val="28"/>
          <w:lang w:val="es-MX"/>
        </w:rPr>
        <w:t xml:space="preserve"> que </w:t>
      </w:r>
      <w:r w:rsidR="00DE55A9" w:rsidRPr="00E320CE">
        <w:rPr>
          <w:rFonts w:eastAsia="SimSun"/>
          <w:sz w:val="28"/>
          <w:szCs w:val="28"/>
          <w:lang w:val="es-MX"/>
        </w:rPr>
        <w:t xml:space="preserve">había elevado una reclamación administrativa ante el </w:t>
      </w:r>
      <w:r w:rsidR="00573F86" w:rsidRPr="00E320CE">
        <w:rPr>
          <w:sz w:val="28"/>
          <w:szCs w:val="28"/>
        </w:rPr>
        <w:t xml:space="preserve">INPEC </w:t>
      </w:r>
      <w:r w:rsidR="00D209F1" w:rsidRPr="00E320CE">
        <w:rPr>
          <w:sz w:val="28"/>
          <w:szCs w:val="28"/>
        </w:rPr>
        <w:t>para que reconozca la existencia de un contrato realidad</w:t>
      </w:r>
      <w:r w:rsidR="00DE55A9" w:rsidRPr="00E320CE">
        <w:rPr>
          <w:sz w:val="28"/>
          <w:szCs w:val="28"/>
        </w:rPr>
        <w:t xml:space="preserve"> y, </w:t>
      </w:r>
      <w:r w:rsidR="00573F86" w:rsidRPr="00E320CE">
        <w:rPr>
          <w:sz w:val="28"/>
          <w:szCs w:val="28"/>
        </w:rPr>
        <w:t>que, en caso de que tal reclamación sea negada, presentaría una acción de nulidad y restablecimiento del derecho</w:t>
      </w:r>
      <w:r w:rsidR="00573F86" w:rsidRPr="00E320CE">
        <w:rPr>
          <w:rStyle w:val="Refdenotaalpie"/>
          <w:sz w:val="28"/>
          <w:szCs w:val="28"/>
        </w:rPr>
        <w:footnoteReference w:id="110"/>
      </w:r>
      <w:r w:rsidR="00573F86" w:rsidRPr="00E320CE">
        <w:rPr>
          <w:sz w:val="28"/>
          <w:szCs w:val="28"/>
        </w:rPr>
        <w:t xml:space="preserve">. </w:t>
      </w:r>
    </w:p>
    <w:p w14:paraId="6F2BAB67" w14:textId="77777777" w:rsidR="003934CF" w:rsidRPr="00E320CE" w:rsidRDefault="003934CF" w:rsidP="003934CF">
      <w:pPr>
        <w:pStyle w:val="Prrafodelista"/>
        <w:rPr>
          <w:sz w:val="28"/>
          <w:szCs w:val="28"/>
        </w:rPr>
      </w:pPr>
    </w:p>
    <w:p w14:paraId="018068DD" w14:textId="6E7C9A99" w:rsidR="00573F86" w:rsidRPr="00E320CE" w:rsidRDefault="003934CF" w:rsidP="00573F86">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rPr>
        <w:t>De esta manera, las controversias que puedan surgir en el marco de la vinculación de la demandante respecto del beneficiario o beneficiarios de los servicios que prestó como contratista</w:t>
      </w:r>
      <w:r w:rsidR="00CC0A59" w:rsidRPr="00E320CE">
        <w:rPr>
          <w:sz w:val="28"/>
          <w:szCs w:val="28"/>
        </w:rPr>
        <w:t xml:space="preserve"> son un</w:t>
      </w:r>
      <w:r w:rsidRPr="00E320CE">
        <w:rPr>
          <w:sz w:val="28"/>
          <w:szCs w:val="28"/>
        </w:rPr>
        <w:t xml:space="preserve"> asunto que supera el alcance del presente debate constitucional por ser accesorio a la pretensión de reintegro. Además, para resolver dicha controversia</w:t>
      </w:r>
      <w:r w:rsidR="00CC0A59" w:rsidRPr="00E320CE">
        <w:rPr>
          <w:sz w:val="28"/>
          <w:szCs w:val="28"/>
        </w:rPr>
        <w:t xml:space="preserve"> se</w:t>
      </w:r>
      <w:r w:rsidRPr="00E320CE">
        <w:rPr>
          <w:sz w:val="28"/>
          <w:szCs w:val="28"/>
        </w:rPr>
        <w:t xml:space="preserve"> requiere </w:t>
      </w:r>
      <w:r w:rsidR="0058236D" w:rsidRPr="00E320CE">
        <w:rPr>
          <w:sz w:val="28"/>
          <w:szCs w:val="28"/>
        </w:rPr>
        <w:t>la vinculación de diferentes autoridades que participa</w:t>
      </w:r>
      <w:r w:rsidR="00CC0A59" w:rsidRPr="00E320CE">
        <w:rPr>
          <w:sz w:val="28"/>
          <w:szCs w:val="28"/>
        </w:rPr>
        <w:t>n</w:t>
      </w:r>
      <w:r w:rsidR="0058236D" w:rsidRPr="00E320CE">
        <w:rPr>
          <w:sz w:val="28"/>
          <w:szCs w:val="28"/>
        </w:rPr>
        <w:t xml:space="preserve"> en la operación de la prestación de los servicios de salud </w:t>
      </w:r>
      <w:r w:rsidR="00CC0A59" w:rsidRPr="00E320CE">
        <w:rPr>
          <w:sz w:val="28"/>
          <w:szCs w:val="28"/>
        </w:rPr>
        <w:t>a las</w:t>
      </w:r>
      <w:r w:rsidR="0058236D" w:rsidRPr="00E320CE">
        <w:rPr>
          <w:sz w:val="28"/>
          <w:szCs w:val="28"/>
        </w:rPr>
        <w:t xml:space="preserve"> personas privadas de la libertad, </w:t>
      </w:r>
      <w:r w:rsidR="002D1DD1" w:rsidRPr="00E320CE">
        <w:rPr>
          <w:sz w:val="28"/>
          <w:szCs w:val="28"/>
        </w:rPr>
        <w:t>como el INPEC y la Fiduprevisora</w:t>
      </w:r>
      <w:r w:rsidR="00D209F1" w:rsidRPr="00E320CE">
        <w:rPr>
          <w:sz w:val="28"/>
          <w:szCs w:val="28"/>
        </w:rPr>
        <w:t xml:space="preserve"> como administradora del Fondo Nacional de Salud de las personas privadas de la libertad</w:t>
      </w:r>
      <w:r w:rsidR="002D1DD1" w:rsidRPr="00E320CE">
        <w:rPr>
          <w:sz w:val="28"/>
          <w:szCs w:val="28"/>
        </w:rPr>
        <w:t xml:space="preserve">, y </w:t>
      </w:r>
      <w:r w:rsidR="0058236D" w:rsidRPr="00E320CE">
        <w:rPr>
          <w:sz w:val="28"/>
          <w:szCs w:val="28"/>
        </w:rPr>
        <w:t xml:space="preserve">un debate probatorio que debe ser adelantado </w:t>
      </w:r>
      <w:r w:rsidR="0058236D" w:rsidRPr="00E320CE">
        <w:rPr>
          <w:sz w:val="28"/>
          <w:szCs w:val="28"/>
        </w:rPr>
        <w:lastRenderedPageBreak/>
        <w:t>por el juez natural</w:t>
      </w:r>
      <w:r w:rsidR="002D1DD1" w:rsidRPr="00E320CE">
        <w:rPr>
          <w:sz w:val="28"/>
          <w:szCs w:val="28"/>
        </w:rPr>
        <w:t>. De esa forma, la Corte encuentra que la solidaridad del INPEC debe ser estudiada</w:t>
      </w:r>
      <w:r w:rsidR="00573F86" w:rsidRPr="00E320CE">
        <w:rPr>
          <w:sz w:val="28"/>
          <w:szCs w:val="28"/>
        </w:rPr>
        <w:t xml:space="preserve"> a través de los mecanismos judiciales idóneos. </w:t>
      </w:r>
    </w:p>
    <w:p w14:paraId="22EAB12C" w14:textId="77777777" w:rsidR="00F65FB5" w:rsidRPr="00E320CE" w:rsidRDefault="00F65FB5" w:rsidP="00F65FB5">
      <w:pPr>
        <w:pStyle w:val="Prrafodelista"/>
        <w:autoSpaceDE/>
        <w:autoSpaceDN/>
        <w:ind w:left="0"/>
        <w:contextualSpacing w:val="0"/>
        <w:jc w:val="both"/>
        <w:rPr>
          <w:rFonts w:eastAsia="SimSun"/>
          <w:sz w:val="28"/>
          <w:szCs w:val="28"/>
          <w:lang w:val="es-MX"/>
        </w:rPr>
      </w:pPr>
    </w:p>
    <w:p w14:paraId="09ED6024" w14:textId="4B4DB088" w:rsidR="00480DDE" w:rsidRPr="00E320CE" w:rsidRDefault="00F65FB5" w:rsidP="0099734A">
      <w:pPr>
        <w:pStyle w:val="Prrafodelista"/>
        <w:numPr>
          <w:ilvl w:val="0"/>
          <w:numId w:val="1"/>
        </w:numPr>
        <w:autoSpaceDE/>
        <w:autoSpaceDN/>
        <w:ind w:left="0" w:firstLine="0"/>
        <w:contextualSpacing w:val="0"/>
        <w:jc w:val="both"/>
        <w:rPr>
          <w:rFonts w:eastAsia="SimSun"/>
          <w:b/>
          <w:bCs/>
          <w:sz w:val="28"/>
          <w:szCs w:val="28"/>
          <w:lang w:val="es-MX"/>
        </w:rPr>
      </w:pPr>
      <w:r w:rsidRPr="00E320CE">
        <w:rPr>
          <w:rFonts w:eastAsia="SimSun"/>
          <w:sz w:val="28"/>
          <w:szCs w:val="28"/>
          <w:lang w:val="es-MX"/>
        </w:rPr>
        <w:t>En suma, la</w:t>
      </w:r>
      <w:r w:rsidR="003305DD" w:rsidRPr="00E320CE">
        <w:rPr>
          <w:rFonts w:eastAsia="SimSun"/>
          <w:sz w:val="28"/>
          <w:szCs w:val="28"/>
          <w:lang w:val="es-MX"/>
        </w:rPr>
        <w:t xml:space="preserve"> Corte encuentra que en este caso se satisfacen los requisitos generales de procedibilidad de la acción de tutela, </w:t>
      </w:r>
      <w:r w:rsidR="002D1DD1" w:rsidRPr="00E320CE">
        <w:rPr>
          <w:rFonts w:eastAsia="SimSun"/>
          <w:sz w:val="28"/>
          <w:szCs w:val="28"/>
          <w:lang w:val="es-MX"/>
        </w:rPr>
        <w:t xml:space="preserve">salvo lo relacionado con la </w:t>
      </w:r>
      <w:proofErr w:type="spellStart"/>
      <w:r w:rsidR="002D1DD1" w:rsidRPr="00E320CE">
        <w:rPr>
          <w:rFonts w:eastAsia="SimSun"/>
          <w:sz w:val="28"/>
          <w:szCs w:val="28"/>
          <w:lang w:val="es-MX"/>
        </w:rPr>
        <w:t>la</w:t>
      </w:r>
      <w:proofErr w:type="spellEnd"/>
      <w:r w:rsidR="002D1DD1" w:rsidRPr="00E320CE">
        <w:rPr>
          <w:rFonts w:eastAsia="SimSun"/>
          <w:sz w:val="28"/>
          <w:szCs w:val="28"/>
          <w:lang w:val="es-MX"/>
        </w:rPr>
        <w:t xml:space="preserve"> responsabilidad solidaria del INPEC, </w:t>
      </w:r>
      <w:r w:rsidR="00DB649C" w:rsidRPr="00E320CE">
        <w:rPr>
          <w:rFonts w:eastAsia="SimSun"/>
          <w:sz w:val="28"/>
          <w:szCs w:val="28"/>
          <w:lang w:val="es-MX"/>
        </w:rPr>
        <w:t xml:space="preserve">lo que habilita un pronunciamiento de fondo por parte del juez constitucional, que se desarrollará en los siguientes apartados. </w:t>
      </w:r>
    </w:p>
    <w:p w14:paraId="4C6B26E9" w14:textId="77777777" w:rsidR="00480DDE" w:rsidRPr="00E320CE" w:rsidRDefault="00480DDE" w:rsidP="0099734A">
      <w:pPr>
        <w:autoSpaceDE/>
        <w:autoSpaceDN/>
        <w:jc w:val="both"/>
        <w:rPr>
          <w:rFonts w:eastAsia="SimSun"/>
          <w:b/>
          <w:bCs/>
          <w:sz w:val="28"/>
          <w:szCs w:val="28"/>
          <w:lang w:val="es-MX"/>
        </w:rPr>
      </w:pPr>
    </w:p>
    <w:p w14:paraId="1D5B93C5" w14:textId="3EA5AA05" w:rsidR="0099734A" w:rsidRPr="00E320CE" w:rsidRDefault="0099734A" w:rsidP="009C6D5F">
      <w:pPr>
        <w:pStyle w:val="Prrafodelista"/>
        <w:numPr>
          <w:ilvl w:val="0"/>
          <w:numId w:val="33"/>
        </w:numPr>
        <w:rPr>
          <w:b/>
          <w:bCs/>
          <w:sz w:val="28"/>
          <w:szCs w:val="28"/>
          <w:lang w:val="es-MX"/>
        </w:rPr>
      </w:pPr>
      <w:r w:rsidRPr="00E320CE">
        <w:rPr>
          <w:b/>
          <w:bCs/>
          <w:sz w:val="28"/>
          <w:szCs w:val="28"/>
          <w:lang w:val="es-MX"/>
        </w:rPr>
        <w:t>Delimitación del problema y metodología de la decisión</w:t>
      </w:r>
    </w:p>
    <w:p w14:paraId="12E6DC11" w14:textId="77777777" w:rsidR="0099734A" w:rsidRPr="00E320CE" w:rsidRDefault="0099734A" w:rsidP="0099734A">
      <w:pPr>
        <w:autoSpaceDE/>
        <w:autoSpaceDN/>
        <w:jc w:val="both"/>
        <w:rPr>
          <w:rFonts w:eastAsia="SimSun"/>
          <w:b/>
          <w:bCs/>
          <w:sz w:val="28"/>
          <w:szCs w:val="28"/>
          <w:lang w:val="es-MX"/>
        </w:rPr>
      </w:pPr>
    </w:p>
    <w:p w14:paraId="4DF9A1EE" w14:textId="72C56782" w:rsidR="00D86176" w:rsidRPr="00E320CE" w:rsidRDefault="00361360" w:rsidP="00FA487E">
      <w:pPr>
        <w:pStyle w:val="Prrafodelista"/>
        <w:numPr>
          <w:ilvl w:val="0"/>
          <w:numId w:val="1"/>
        </w:numPr>
        <w:autoSpaceDE/>
        <w:autoSpaceDN/>
        <w:ind w:left="0" w:firstLine="0"/>
        <w:contextualSpacing w:val="0"/>
        <w:jc w:val="both"/>
        <w:rPr>
          <w:rFonts w:eastAsia="SimSun"/>
          <w:b/>
          <w:bCs/>
          <w:sz w:val="28"/>
          <w:szCs w:val="28"/>
          <w:lang w:val="es-MX"/>
        </w:rPr>
      </w:pPr>
      <w:r w:rsidRPr="00E320CE">
        <w:rPr>
          <w:rFonts w:eastAsia="SimSun"/>
          <w:sz w:val="28"/>
          <w:szCs w:val="28"/>
          <w:lang w:val="es-MX"/>
        </w:rPr>
        <w:t>Así las cosas</w:t>
      </w:r>
      <w:r w:rsidR="00980E09" w:rsidRPr="00E320CE" w:rsidDel="00361360">
        <w:rPr>
          <w:rFonts w:eastAsia="SimSun"/>
          <w:sz w:val="28"/>
          <w:szCs w:val="28"/>
          <w:lang w:val="es-MX"/>
        </w:rPr>
        <w:t xml:space="preserve">, </w:t>
      </w:r>
      <w:r w:rsidR="00980E09" w:rsidRPr="00E320CE">
        <w:rPr>
          <w:rFonts w:eastAsia="SimSun"/>
          <w:sz w:val="28"/>
          <w:szCs w:val="28"/>
          <w:lang w:val="es-MX"/>
        </w:rPr>
        <w:t xml:space="preserve">la Corte Constitucional </w:t>
      </w:r>
      <w:r w:rsidRPr="00E320CE">
        <w:rPr>
          <w:rFonts w:eastAsia="SimSun"/>
          <w:sz w:val="28"/>
          <w:szCs w:val="28"/>
          <w:lang w:val="es-MX"/>
        </w:rPr>
        <w:t xml:space="preserve">analizará si las accionadas vulneraron los derechos fundamentales </w:t>
      </w:r>
      <w:r w:rsidR="00E320CE" w:rsidRPr="00E320CE">
        <w:rPr>
          <w:rFonts w:eastAsia="SimSun"/>
          <w:sz w:val="28"/>
          <w:szCs w:val="28"/>
          <w:lang w:val="es-MX"/>
        </w:rPr>
        <w:t>de</w:t>
      </w:r>
      <w:r w:rsidRPr="00E320CE">
        <w:rPr>
          <w:rFonts w:eastAsia="SimSun"/>
          <w:sz w:val="28"/>
          <w:szCs w:val="28"/>
          <w:lang w:val="es-MX"/>
        </w:rPr>
        <w:t xml:space="preserve"> </w:t>
      </w:r>
      <w:r w:rsidR="00E320CE" w:rsidRPr="00E320CE">
        <w:rPr>
          <w:i/>
          <w:iCs/>
          <w:sz w:val="28"/>
          <w:szCs w:val="28"/>
          <w:lang w:val="es-CO"/>
        </w:rPr>
        <w:t>Greta</w:t>
      </w:r>
      <w:r w:rsidR="00435F09" w:rsidRPr="00E320CE">
        <w:rPr>
          <w:bCs/>
          <w:sz w:val="28"/>
          <w:szCs w:val="28"/>
          <w:lang w:val="es-MX"/>
        </w:rPr>
        <w:t>,</w:t>
      </w:r>
      <w:r w:rsidR="00FA487E" w:rsidRPr="00E320CE">
        <w:rPr>
          <w:bCs/>
          <w:sz w:val="28"/>
          <w:szCs w:val="28"/>
          <w:lang w:val="es-MX"/>
        </w:rPr>
        <w:t xml:space="preserve"> </w:t>
      </w:r>
      <w:r w:rsidR="00E94551" w:rsidRPr="00E320CE">
        <w:rPr>
          <w:sz w:val="28"/>
          <w:szCs w:val="28"/>
        </w:rPr>
        <w:t xml:space="preserve">al dar por terminada su </w:t>
      </w:r>
      <w:r w:rsidR="00765918" w:rsidRPr="00E320CE">
        <w:rPr>
          <w:sz w:val="28"/>
          <w:szCs w:val="28"/>
        </w:rPr>
        <w:t>vinculación</w:t>
      </w:r>
      <w:r w:rsidR="008D4F6A" w:rsidRPr="00E320CE">
        <w:rPr>
          <w:sz w:val="28"/>
          <w:szCs w:val="28"/>
        </w:rPr>
        <w:t xml:space="preserve"> el 31 de julio de 2024 sin autorización del Ministerio del Trabajo</w:t>
      </w:r>
      <w:r w:rsidR="00E94551" w:rsidRPr="00E320CE">
        <w:rPr>
          <w:sz w:val="28"/>
          <w:szCs w:val="28"/>
        </w:rPr>
        <w:t xml:space="preserve">, pese a que se encontraba </w:t>
      </w:r>
      <w:r w:rsidR="00FA487E" w:rsidRPr="00E320CE">
        <w:rPr>
          <w:sz w:val="28"/>
          <w:szCs w:val="28"/>
        </w:rPr>
        <w:t>en tratamiento</w:t>
      </w:r>
      <w:r w:rsidR="007F2D68" w:rsidRPr="00E320CE">
        <w:rPr>
          <w:sz w:val="28"/>
          <w:szCs w:val="28"/>
        </w:rPr>
        <w:t xml:space="preserve"> médicos por el diagnóstico</w:t>
      </w:r>
      <w:r w:rsidR="00FA487E" w:rsidRPr="00E320CE">
        <w:rPr>
          <w:sz w:val="28"/>
          <w:szCs w:val="28"/>
        </w:rPr>
        <w:t xml:space="preserve"> de cáncer y </w:t>
      </w:r>
      <w:r w:rsidR="00DC7072" w:rsidRPr="00E320CE">
        <w:rPr>
          <w:sz w:val="28"/>
          <w:szCs w:val="28"/>
        </w:rPr>
        <w:t xml:space="preserve">en controles de </w:t>
      </w:r>
      <w:r w:rsidR="00FA487E" w:rsidRPr="00E320CE">
        <w:rPr>
          <w:sz w:val="28"/>
          <w:szCs w:val="28"/>
        </w:rPr>
        <w:t>psiqui</w:t>
      </w:r>
      <w:r w:rsidR="00DC7072" w:rsidRPr="00E320CE">
        <w:rPr>
          <w:sz w:val="28"/>
          <w:szCs w:val="28"/>
        </w:rPr>
        <w:t>atr</w:t>
      </w:r>
      <w:r w:rsidR="00364A74" w:rsidRPr="00E320CE">
        <w:rPr>
          <w:sz w:val="28"/>
          <w:szCs w:val="28"/>
        </w:rPr>
        <w:t>í</w:t>
      </w:r>
      <w:r w:rsidR="00DC7072" w:rsidRPr="00E320CE">
        <w:rPr>
          <w:sz w:val="28"/>
          <w:szCs w:val="28"/>
        </w:rPr>
        <w:t>a</w:t>
      </w:r>
      <w:r w:rsidR="00FA487E" w:rsidRPr="00E320CE">
        <w:rPr>
          <w:sz w:val="28"/>
          <w:szCs w:val="28"/>
        </w:rPr>
        <w:t>. La UT Salud Integral sostuvo que la terminación del contrato se debió a que sus operaciones finalizaron el 31 de julio de 2024</w:t>
      </w:r>
      <w:r w:rsidR="00D86176" w:rsidRPr="00E320CE">
        <w:rPr>
          <w:sz w:val="28"/>
          <w:szCs w:val="28"/>
        </w:rPr>
        <w:t>, tal y como fue</w:t>
      </w:r>
      <w:r w:rsidR="00FA487E" w:rsidRPr="00E320CE">
        <w:rPr>
          <w:sz w:val="28"/>
          <w:szCs w:val="28"/>
        </w:rPr>
        <w:t xml:space="preserve"> </w:t>
      </w:r>
      <w:r w:rsidR="00D86176" w:rsidRPr="00E320CE">
        <w:rPr>
          <w:sz w:val="28"/>
          <w:szCs w:val="28"/>
        </w:rPr>
        <w:t>pactado</w:t>
      </w:r>
      <w:r w:rsidR="00FA487E" w:rsidRPr="00E320CE">
        <w:rPr>
          <w:sz w:val="28"/>
          <w:szCs w:val="28"/>
        </w:rPr>
        <w:t xml:space="preserve"> en los contratos celebrados con la fiducia</w:t>
      </w:r>
      <w:r w:rsidR="00D86176" w:rsidRPr="00E320CE">
        <w:rPr>
          <w:sz w:val="28"/>
          <w:szCs w:val="28"/>
        </w:rPr>
        <w:t xml:space="preserve"> mercantil para la administración de los recursos del Fondo Nacional de Salud de las personas privadas de la libertad</w:t>
      </w:r>
      <w:r w:rsidR="00765918" w:rsidRPr="00E320CE">
        <w:rPr>
          <w:sz w:val="28"/>
          <w:szCs w:val="28"/>
        </w:rPr>
        <w:t xml:space="preserve">, lo </w:t>
      </w:r>
      <w:r w:rsidR="00766091" w:rsidRPr="00E320CE">
        <w:rPr>
          <w:sz w:val="28"/>
          <w:szCs w:val="28"/>
        </w:rPr>
        <w:t xml:space="preserve">que llevó </w:t>
      </w:r>
      <w:r w:rsidR="00765918" w:rsidRPr="00E320CE">
        <w:rPr>
          <w:sz w:val="28"/>
          <w:szCs w:val="28"/>
        </w:rPr>
        <w:t xml:space="preserve">a </w:t>
      </w:r>
      <w:r w:rsidR="00544B7C" w:rsidRPr="00E320CE">
        <w:rPr>
          <w:sz w:val="28"/>
          <w:szCs w:val="28"/>
        </w:rPr>
        <w:t>esa unión temporal a entrar en proceso</w:t>
      </w:r>
      <w:r w:rsidR="00765918" w:rsidRPr="00E320CE">
        <w:rPr>
          <w:sz w:val="28"/>
          <w:szCs w:val="28"/>
        </w:rPr>
        <w:t xml:space="preserve"> </w:t>
      </w:r>
      <w:r w:rsidR="00544B7C" w:rsidRPr="00E320CE">
        <w:rPr>
          <w:sz w:val="28"/>
          <w:szCs w:val="28"/>
        </w:rPr>
        <w:t>de</w:t>
      </w:r>
      <w:r w:rsidR="00765918" w:rsidRPr="00E320CE">
        <w:rPr>
          <w:sz w:val="28"/>
          <w:szCs w:val="28"/>
        </w:rPr>
        <w:t xml:space="preserve"> liquidación</w:t>
      </w:r>
      <w:r w:rsidR="00FA487E" w:rsidRPr="00E320CE">
        <w:rPr>
          <w:sz w:val="28"/>
          <w:szCs w:val="28"/>
        </w:rPr>
        <w:t>.</w:t>
      </w:r>
    </w:p>
    <w:p w14:paraId="2EF85BD8" w14:textId="08E82C56" w:rsidR="00D86176" w:rsidRPr="00E320CE" w:rsidRDefault="00FA487E" w:rsidP="00D86176">
      <w:pPr>
        <w:pStyle w:val="Prrafodelista"/>
        <w:autoSpaceDE/>
        <w:autoSpaceDN/>
        <w:ind w:left="0"/>
        <w:contextualSpacing w:val="0"/>
        <w:jc w:val="both"/>
        <w:rPr>
          <w:rFonts w:eastAsia="SimSun"/>
          <w:b/>
          <w:bCs/>
          <w:sz w:val="28"/>
          <w:szCs w:val="28"/>
          <w:lang w:val="es-MX"/>
        </w:rPr>
      </w:pPr>
      <w:r w:rsidRPr="00E320CE">
        <w:rPr>
          <w:sz w:val="28"/>
          <w:szCs w:val="28"/>
        </w:rPr>
        <w:t xml:space="preserve"> </w:t>
      </w:r>
    </w:p>
    <w:p w14:paraId="5719BE9E" w14:textId="2F304931" w:rsidR="00FA487E" w:rsidRPr="00E320CE" w:rsidRDefault="00FA487E" w:rsidP="004C3E49">
      <w:pPr>
        <w:pStyle w:val="Prrafodelista"/>
        <w:numPr>
          <w:ilvl w:val="0"/>
          <w:numId w:val="1"/>
        </w:numPr>
        <w:autoSpaceDE/>
        <w:autoSpaceDN/>
        <w:ind w:left="0" w:firstLine="0"/>
        <w:contextualSpacing w:val="0"/>
        <w:jc w:val="both"/>
        <w:rPr>
          <w:sz w:val="28"/>
          <w:szCs w:val="28"/>
          <w:lang w:val="es-CO"/>
        </w:rPr>
      </w:pPr>
      <w:r w:rsidRPr="00E320CE">
        <w:rPr>
          <w:sz w:val="28"/>
          <w:szCs w:val="28"/>
        </w:rPr>
        <w:t>Sin embargo,</w:t>
      </w:r>
      <w:r w:rsidRPr="00E320CE">
        <w:rPr>
          <w:rFonts w:eastAsia="SimSun"/>
          <w:b/>
          <w:bCs/>
          <w:sz w:val="28"/>
          <w:szCs w:val="28"/>
          <w:lang w:val="es-MX"/>
        </w:rPr>
        <w:t xml:space="preserve"> </w:t>
      </w:r>
      <w:r w:rsidRPr="00E320CE">
        <w:rPr>
          <w:rFonts w:eastAsia="SimSun"/>
          <w:sz w:val="28"/>
          <w:szCs w:val="28"/>
          <w:lang w:val="es-MX"/>
        </w:rPr>
        <w:t>l</w:t>
      </w:r>
      <w:r w:rsidRPr="00E320CE">
        <w:rPr>
          <w:sz w:val="28"/>
          <w:szCs w:val="28"/>
        </w:rPr>
        <w:t xml:space="preserve">a demandante </w:t>
      </w:r>
      <w:r w:rsidR="00682DF8" w:rsidRPr="00E320CE">
        <w:rPr>
          <w:sz w:val="28"/>
          <w:szCs w:val="28"/>
        </w:rPr>
        <w:t>señaló la</w:t>
      </w:r>
      <w:r w:rsidRPr="00E320CE">
        <w:rPr>
          <w:sz w:val="28"/>
          <w:szCs w:val="28"/>
        </w:rPr>
        <w:t xml:space="preserve"> configur</w:t>
      </w:r>
      <w:r w:rsidR="00682DF8" w:rsidRPr="00E320CE">
        <w:rPr>
          <w:sz w:val="28"/>
          <w:szCs w:val="28"/>
        </w:rPr>
        <w:t>ación</w:t>
      </w:r>
      <w:r w:rsidRPr="00E320CE">
        <w:rPr>
          <w:sz w:val="28"/>
          <w:szCs w:val="28"/>
        </w:rPr>
        <w:t xml:space="preserve"> </w:t>
      </w:r>
      <w:r w:rsidR="00682DF8" w:rsidRPr="00E320CE">
        <w:rPr>
          <w:sz w:val="28"/>
          <w:szCs w:val="28"/>
        </w:rPr>
        <w:t xml:space="preserve">de </w:t>
      </w:r>
      <w:r w:rsidRPr="00E320CE">
        <w:rPr>
          <w:sz w:val="28"/>
          <w:szCs w:val="28"/>
        </w:rPr>
        <w:t xml:space="preserve">una sustitución patronal con </w:t>
      </w:r>
      <w:r w:rsidR="0002157E" w:rsidRPr="00E320CE">
        <w:rPr>
          <w:sz w:val="28"/>
          <w:szCs w:val="28"/>
        </w:rPr>
        <w:t xml:space="preserve">la </w:t>
      </w:r>
      <w:r w:rsidRPr="00E320CE">
        <w:rPr>
          <w:sz w:val="28"/>
          <w:szCs w:val="28"/>
        </w:rPr>
        <w:t xml:space="preserve">Unión Temporal </w:t>
      </w:r>
      <w:proofErr w:type="spellStart"/>
      <w:r w:rsidRPr="00E320CE">
        <w:rPr>
          <w:sz w:val="28"/>
          <w:szCs w:val="28"/>
        </w:rPr>
        <w:t>Norsalud</w:t>
      </w:r>
      <w:proofErr w:type="spellEnd"/>
      <w:r w:rsidRPr="00E320CE">
        <w:rPr>
          <w:sz w:val="28"/>
          <w:szCs w:val="28"/>
        </w:rPr>
        <w:t xml:space="preserve"> PPL</w:t>
      </w:r>
      <w:r w:rsidR="00D86176" w:rsidRPr="00E320CE">
        <w:rPr>
          <w:sz w:val="28"/>
          <w:szCs w:val="28"/>
        </w:rPr>
        <w:t xml:space="preserve">. Esto se debe a que </w:t>
      </w:r>
      <w:proofErr w:type="spellStart"/>
      <w:r w:rsidR="00D86176" w:rsidRPr="00E320CE">
        <w:rPr>
          <w:sz w:val="28"/>
          <w:szCs w:val="28"/>
        </w:rPr>
        <w:t>Norsalud</w:t>
      </w:r>
      <w:proofErr w:type="spellEnd"/>
      <w:r w:rsidR="00D86176" w:rsidRPr="00E320CE">
        <w:rPr>
          <w:sz w:val="28"/>
          <w:szCs w:val="28"/>
        </w:rPr>
        <w:t xml:space="preserve">: (i) asumió las antiguas funciones de UT </w:t>
      </w:r>
      <w:r w:rsidR="00D86176" w:rsidRPr="00E320CE">
        <w:rPr>
          <w:sz w:val="28"/>
          <w:szCs w:val="28"/>
          <w:lang w:val="es-CO"/>
        </w:rPr>
        <w:t>Salud Integral PPL; (</w:t>
      </w:r>
      <w:proofErr w:type="spellStart"/>
      <w:r w:rsidR="00D86176" w:rsidRPr="00E320CE">
        <w:rPr>
          <w:sz w:val="28"/>
          <w:szCs w:val="28"/>
          <w:lang w:val="es-CO"/>
        </w:rPr>
        <w:t>ii</w:t>
      </w:r>
      <w:proofErr w:type="spellEnd"/>
      <w:r w:rsidR="00D86176" w:rsidRPr="00E320CE">
        <w:rPr>
          <w:sz w:val="28"/>
          <w:szCs w:val="28"/>
          <w:lang w:val="es-CO"/>
        </w:rPr>
        <w:t xml:space="preserve">) </w:t>
      </w:r>
      <w:r w:rsidR="00520A0D" w:rsidRPr="00E320CE">
        <w:rPr>
          <w:sz w:val="28"/>
          <w:szCs w:val="28"/>
          <w:lang w:val="es-CO"/>
        </w:rPr>
        <w:t xml:space="preserve">comparte con </w:t>
      </w:r>
      <w:r w:rsidR="00B57D23" w:rsidRPr="00E320CE">
        <w:rPr>
          <w:sz w:val="28"/>
          <w:szCs w:val="28"/>
          <w:lang w:val="es-CO"/>
        </w:rPr>
        <w:t xml:space="preserve">la UT </w:t>
      </w:r>
      <w:r w:rsidR="00520A0D" w:rsidRPr="00E320CE">
        <w:rPr>
          <w:sz w:val="28"/>
          <w:szCs w:val="28"/>
          <w:lang w:val="es-CO"/>
        </w:rPr>
        <w:t xml:space="preserve">Salud Integral </w:t>
      </w:r>
      <w:r w:rsidR="00D86176" w:rsidRPr="00E320CE">
        <w:rPr>
          <w:sz w:val="28"/>
          <w:szCs w:val="28"/>
          <w:lang w:val="es-CO"/>
        </w:rPr>
        <w:t>el mismo integrante mayoritario</w:t>
      </w:r>
      <w:r w:rsidR="00520A0D" w:rsidRPr="00E320CE">
        <w:rPr>
          <w:sz w:val="28"/>
          <w:szCs w:val="28"/>
          <w:lang w:val="es-CO"/>
        </w:rPr>
        <w:t xml:space="preserve"> (</w:t>
      </w:r>
      <w:r w:rsidR="00520A0D" w:rsidRPr="00E320CE">
        <w:rPr>
          <w:sz w:val="28"/>
          <w:szCs w:val="28"/>
        </w:rPr>
        <w:t>Salud Plus IPS S.A.S.)</w:t>
      </w:r>
      <w:r w:rsidR="00E32846" w:rsidRPr="00E320CE">
        <w:rPr>
          <w:sz w:val="28"/>
          <w:szCs w:val="28"/>
          <w:lang w:val="es-CO"/>
        </w:rPr>
        <w:t>,</w:t>
      </w:r>
      <w:r w:rsidR="00D86176" w:rsidRPr="00E320CE">
        <w:rPr>
          <w:sz w:val="28"/>
          <w:szCs w:val="28"/>
          <w:lang w:val="es-CO"/>
        </w:rPr>
        <w:t xml:space="preserve"> la misma representante legal (suplente</w:t>
      </w:r>
      <w:r w:rsidR="00520A0D" w:rsidRPr="00E320CE">
        <w:rPr>
          <w:sz w:val="28"/>
          <w:szCs w:val="28"/>
          <w:lang w:val="es-CO"/>
        </w:rPr>
        <w:t>)</w:t>
      </w:r>
      <w:r w:rsidR="00E32846" w:rsidRPr="00E320CE">
        <w:rPr>
          <w:sz w:val="28"/>
          <w:szCs w:val="28"/>
          <w:lang w:val="es-CO"/>
        </w:rPr>
        <w:t xml:space="preserve"> y la misma oficina</w:t>
      </w:r>
      <w:r w:rsidR="00520A0D" w:rsidRPr="00E320CE">
        <w:rPr>
          <w:sz w:val="28"/>
          <w:szCs w:val="28"/>
          <w:lang w:val="es-CO"/>
        </w:rPr>
        <w:t>; y (</w:t>
      </w:r>
      <w:proofErr w:type="spellStart"/>
      <w:r w:rsidR="00520A0D" w:rsidRPr="00E320CE">
        <w:rPr>
          <w:sz w:val="28"/>
          <w:szCs w:val="28"/>
          <w:lang w:val="es-CO"/>
        </w:rPr>
        <w:t>iii</w:t>
      </w:r>
      <w:proofErr w:type="spellEnd"/>
      <w:r w:rsidR="00520A0D" w:rsidRPr="00E320CE">
        <w:rPr>
          <w:sz w:val="28"/>
          <w:szCs w:val="28"/>
          <w:lang w:val="es-CO"/>
        </w:rPr>
        <w:t xml:space="preserve">) </w:t>
      </w:r>
      <w:r w:rsidR="00D86176" w:rsidRPr="00E320CE">
        <w:rPr>
          <w:sz w:val="28"/>
          <w:szCs w:val="28"/>
          <w:lang w:val="es-CO"/>
        </w:rPr>
        <w:t xml:space="preserve">contrató </w:t>
      </w:r>
      <w:r w:rsidR="00D86176" w:rsidRPr="00E320CE">
        <w:rPr>
          <w:sz w:val="28"/>
          <w:szCs w:val="28"/>
        </w:rPr>
        <w:t xml:space="preserve">a todos las personas que estaban vinculadas </w:t>
      </w:r>
      <w:r w:rsidR="00520A0D" w:rsidRPr="00E320CE">
        <w:rPr>
          <w:sz w:val="28"/>
          <w:szCs w:val="28"/>
        </w:rPr>
        <w:t xml:space="preserve">a </w:t>
      </w:r>
      <w:r w:rsidR="00520A0D" w:rsidRPr="00E320CE">
        <w:rPr>
          <w:sz w:val="28"/>
          <w:szCs w:val="28"/>
          <w:lang w:val="es-CO"/>
        </w:rPr>
        <w:t>Salud Integral PPL</w:t>
      </w:r>
      <w:r w:rsidR="00D86176" w:rsidRPr="00E320CE">
        <w:rPr>
          <w:sz w:val="28"/>
          <w:szCs w:val="28"/>
        </w:rPr>
        <w:t xml:space="preserve"> menos a la accionante. </w:t>
      </w:r>
      <w:r w:rsidR="006A230D" w:rsidRPr="00E320CE">
        <w:rPr>
          <w:sz w:val="28"/>
          <w:szCs w:val="28"/>
        </w:rPr>
        <w:t>En este contexto</w:t>
      </w:r>
      <w:r w:rsidR="00105319" w:rsidRPr="00E320CE">
        <w:rPr>
          <w:sz w:val="28"/>
          <w:szCs w:val="28"/>
        </w:rPr>
        <w:t>,</w:t>
      </w:r>
      <w:r w:rsidR="006A230D" w:rsidRPr="00E320CE">
        <w:rPr>
          <w:sz w:val="28"/>
          <w:szCs w:val="28"/>
        </w:rPr>
        <w:t xml:space="preserve"> la accionante también </w:t>
      </w:r>
      <w:r w:rsidR="00682DF8" w:rsidRPr="00E320CE">
        <w:rPr>
          <w:sz w:val="28"/>
          <w:szCs w:val="28"/>
        </w:rPr>
        <w:t>advirtió</w:t>
      </w:r>
      <w:r w:rsidR="00512382" w:rsidRPr="00E320CE">
        <w:rPr>
          <w:sz w:val="28"/>
          <w:szCs w:val="28"/>
        </w:rPr>
        <w:t xml:space="preserve"> la existencia de </w:t>
      </w:r>
      <w:r w:rsidR="00191B4D" w:rsidRPr="00E320CE">
        <w:rPr>
          <w:sz w:val="28"/>
          <w:szCs w:val="28"/>
        </w:rPr>
        <w:t>un contrato realidad</w:t>
      </w:r>
      <w:r w:rsidR="00224386" w:rsidRPr="00E320CE">
        <w:rPr>
          <w:sz w:val="28"/>
          <w:szCs w:val="28"/>
        </w:rPr>
        <w:t xml:space="preserve"> que, por efecto de la sustitución patronal, </w:t>
      </w:r>
      <w:r w:rsidR="00C17E0A" w:rsidRPr="00E320CE">
        <w:rPr>
          <w:sz w:val="28"/>
          <w:szCs w:val="28"/>
        </w:rPr>
        <w:t>implica</w:t>
      </w:r>
      <w:r w:rsidR="00224386" w:rsidRPr="00E320CE">
        <w:rPr>
          <w:sz w:val="28"/>
          <w:szCs w:val="28"/>
        </w:rPr>
        <w:t xml:space="preserve"> </w:t>
      </w:r>
      <w:r w:rsidR="004B58FB" w:rsidRPr="00E320CE">
        <w:rPr>
          <w:sz w:val="28"/>
          <w:szCs w:val="28"/>
        </w:rPr>
        <w:t xml:space="preserve">la responsabilidad solidaria del </w:t>
      </w:r>
      <w:r w:rsidR="00C17E0A" w:rsidRPr="00E320CE">
        <w:rPr>
          <w:sz w:val="28"/>
          <w:szCs w:val="28"/>
        </w:rPr>
        <w:t xml:space="preserve">Establecimiento Penitenciario de Mediana Seguridad y Carcelario de Cartagena “Cárcel San Sebastián de Ternera” que se encuentra adscrito al </w:t>
      </w:r>
      <w:r w:rsidR="00F504BE" w:rsidRPr="00E320CE">
        <w:rPr>
          <w:sz w:val="28"/>
          <w:szCs w:val="28"/>
        </w:rPr>
        <w:t>INPEC</w:t>
      </w:r>
      <w:r w:rsidR="0021627C" w:rsidRPr="00E320CE">
        <w:rPr>
          <w:sz w:val="28"/>
          <w:szCs w:val="28"/>
        </w:rPr>
        <w:t xml:space="preserve"> y </w:t>
      </w:r>
      <w:r w:rsidR="00F504BE" w:rsidRPr="00E320CE">
        <w:rPr>
          <w:sz w:val="28"/>
          <w:szCs w:val="28"/>
        </w:rPr>
        <w:t>al USPEC</w:t>
      </w:r>
      <w:r w:rsidR="00105319" w:rsidRPr="00E320CE">
        <w:rPr>
          <w:sz w:val="28"/>
          <w:szCs w:val="28"/>
        </w:rPr>
        <w:t xml:space="preserve">. </w:t>
      </w:r>
      <w:r w:rsidR="00F973A9" w:rsidRPr="00E320CE">
        <w:rPr>
          <w:sz w:val="28"/>
          <w:szCs w:val="28"/>
        </w:rPr>
        <w:t xml:space="preserve">Sin embargo, por las razones expuestas </w:t>
      </w:r>
      <w:r w:rsidR="002A3A1E" w:rsidRPr="00E320CE">
        <w:rPr>
          <w:sz w:val="28"/>
          <w:szCs w:val="28"/>
        </w:rPr>
        <w:t xml:space="preserve">en </w:t>
      </w:r>
      <w:r w:rsidR="0058236D" w:rsidRPr="00E320CE">
        <w:rPr>
          <w:sz w:val="28"/>
          <w:szCs w:val="28"/>
        </w:rPr>
        <w:t>los</w:t>
      </w:r>
      <w:r w:rsidR="002A3A1E" w:rsidRPr="00E320CE">
        <w:rPr>
          <w:sz w:val="28"/>
          <w:szCs w:val="28"/>
        </w:rPr>
        <w:t xml:space="preserve"> fundamento</w:t>
      </w:r>
      <w:r w:rsidR="0058236D" w:rsidRPr="00E320CE">
        <w:rPr>
          <w:sz w:val="28"/>
          <w:szCs w:val="28"/>
        </w:rPr>
        <w:t>s</w:t>
      </w:r>
      <w:r w:rsidR="002A3A1E" w:rsidRPr="00E320CE">
        <w:rPr>
          <w:sz w:val="28"/>
          <w:szCs w:val="28"/>
        </w:rPr>
        <w:t xml:space="preserve"> jurídico</w:t>
      </w:r>
      <w:r w:rsidR="0058236D" w:rsidRPr="00E320CE">
        <w:rPr>
          <w:sz w:val="28"/>
          <w:szCs w:val="28"/>
        </w:rPr>
        <w:t>s</w:t>
      </w:r>
      <w:r w:rsidR="002A3A1E" w:rsidRPr="00E320CE">
        <w:rPr>
          <w:sz w:val="28"/>
          <w:szCs w:val="28"/>
        </w:rPr>
        <w:t xml:space="preserve"> 70</w:t>
      </w:r>
      <w:r w:rsidR="0058236D" w:rsidRPr="00E320CE">
        <w:rPr>
          <w:sz w:val="28"/>
          <w:szCs w:val="28"/>
        </w:rPr>
        <w:t xml:space="preserve"> y 71</w:t>
      </w:r>
      <w:r w:rsidR="002A3A1E" w:rsidRPr="00E320CE">
        <w:rPr>
          <w:sz w:val="28"/>
          <w:szCs w:val="28"/>
        </w:rPr>
        <w:t xml:space="preserve"> no es posible estudiar la </w:t>
      </w:r>
      <w:proofErr w:type="spellStart"/>
      <w:r w:rsidR="002A3A1E" w:rsidRPr="00E320CE">
        <w:rPr>
          <w:sz w:val="28"/>
          <w:szCs w:val="28"/>
        </w:rPr>
        <w:t>reponsabilidad</w:t>
      </w:r>
      <w:proofErr w:type="spellEnd"/>
      <w:r w:rsidR="002A3A1E" w:rsidRPr="00E320CE">
        <w:rPr>
          <w:sz w:val="28"/>
          <w:szCs w:val="28"/>
        </w:rPr>
        <w:t xml:space="preserve"> solidaria de las entidades públicas en esta sentencia</w:t>
      </w:r>
      <w:r w:rsidR="00684634" w:rsidRPr="00E320CE">
        <w:rPr>
          <w:sz w:val="28"/>
          <w:szCs w:val="28"/>
        </w:rPr>
        <w:t xml:space="preserve"> por</w:t>
      </w:r>
      <w:r w:rsidR="0058236D" w:rsidRPr="00E320CE">
        <w:rPr>
          <w:sz w:val="28"/>
          <w:szCs w:val="28"/>
        </w:rPr>
        <w:t xml:space="preserve">que sobre estos temas no se satisface el presupuesto de </w:t>
      </w:r>
      <w:r w:rsidR="00684634" w:rsidRPr="00E320CE">
        <w:rPr>
          <w:sz w:val="28"/>
          <w:szCs w:val="28"/>
        </w:rPr>
        <w:t>subsidiariedad</w:t>
      </w:r>
      <w:r w:rsidR="002A3A1E" w:rsidRPr="00E320CE">
        <w:rPr>
          <w:sz w:val="28"/>
          <w:szCs w:val="28"/>
        </w:rPr>
        <w:t>.</w:t>
      </w:r>
    </w:p>
    <w:p w14:paraId="2A78B3A7" w14:textId="77777777" w:rsidR="004C3E49" w:rsidRPr="00E320CE" w:rsidRDefault="004C3E49" w:rsidP="004C3E49">
      <w:pPr>
        <w:pStyle w:val="Prrafodelista"/>
        <w:rPr>
          <w:sz w:val="28"/>
          <w:szCs w:val="28"/>
          <w:lang w:val="es-CO"/>
        </w:rPr>
      </w:pPr>
    </w:p>
    <w:p w14:paraId="1838A6E9" w14:textId="6F128D88" w:rsidR="008840D6" w:rsidRPr="00E320CE" w:rsidRDefault="00B6575D" w:rsidP="00CC5A22">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lang w:val="es-CO"/>
        </w:rPr>
        <w:t>De esa forma,</w:t>
      </w:r>
      <w:r w:rsidR="00CC5A22" w:rsidRPr="00E320CE">
        <w:rPr>
          <w:bCs/>
          <w:sz w:val="28"/>
          <w:szCs w:val="28"/>
          <w:lang w:val="es-MX"/>
        </w:rPr>
        <w:t xml:space="preserve"> </w:t>
      </w:r>
      <w:r w:rsidR="00993DEB" w:rsidRPr="00E320CE">
        <w:rPr>
          <w:bCs/>
          <w:sz w:val="28"/>
          <w:szCs w:val="28"/>
          <w:lang w:val="es-MX"/>
        </w:rPr>
        <w:t xml:space="preserve">a esta Corporación le corresponde </w:t>
      </w:r>
      <w:r w:rsidRPr="00E320CE">
        <w:rPr>
          <w:bCs/>
          <w:sz w:val="28"/>
          <w:szCs w:val="28"/>
          <w:lang w:val="es-MX"/>
        </w:rPr>
        <w:t>resolver</w:t>
      </w:r>
      <w:r w:rsidR="00CC5A22" w:rsidRPr="00E320CE">
        <w:rPr>
          <w:bCs/>
          <w:sz w:val="28"/>
          <w:szCs w:val="28"/>
          <w:lang w:val="es-MX"/>
        </w:rPr>
        <w:t xml:space="preserve"> </w:t>
      </w:r>
      <w:r w:rsidR="00EF1104" w:rsidRPr="00E320CE">
        <w:rPr>
          <w:bCs/>
          <w:sz w:val="28"/>
          <w:szCs w:val="28"/>
          <w:lang w:val="es-MX"/>
        </w:rPr>
        <w:t>el</w:t>
      </w:r>
      <w:r w:rsidR="00CC5A22" w:rsidRPr="00E320CE">
        <w:rPr>
          <w:bCs/>
          <w:sz w:val="28"/>
          <w:szCs w:val="28"/>
          <w:lang w:val="es-MX"/>
        </w:rPr>
        <w:t xml:space="preserve"> siguiente problema</w:t>
      </w:r>
      <w:r w:rsidR="00B97045" w:rsidRPr="00E320CE">
        <w:rPr>
          <w:bCs/>
          <w:sz w:val="28"/>
          <w:szCs w:val="28"/>
          <w:lang w:val="es-MX"/>
        </w:rPr>
        <w:t>s</w:t>
      </w:r>
      <w:r w:rsidR="00CC5A22" w:rsidRPr="00E320CE">
        <w:rPr>
          <w:bCs/>
          <w:sz w:val="28"/>
          <w:szCs w:val="28"/>
          <w:lang w:val="es-MX"/>
        </w:rPr>
        <w:t xml:space="preserve"> jurídico:</w:t>
      </w:r>
      <w:r w:rsidR="00CC5A22" w:rsidRPr="00E320CE">
        <w:rPr>
          <w:sz w:val="28"/>
          <w:szCs w:val="28"/>
        </w:rPr>
        <w:t xml:space="preserve"> </w:t>
      </w:r>
    </w:p>
    <w:p w14:paraId="14BDAF4B" w14:textId="77777777" w:rsidR="00CC5A22" w:rsidRPr="00E320CE" w:rsidRDefault="00CC5A22" w:rsidP="00B6575D">
      <w:pPr>
        <w:rPr>
          <w:rFonts w:eastAsia="SimSun"/>
          <w:sz w:val="28"/>
          <w:szCs w:val="28"/>
          <w:lang w:val="es-MX"/>
        </w:rPr>
      </w:pPr>
    </w:p>
    <w:p w14:paraId="355F35E4" w14:textId="79F385F6" w:rsidR="009B7117" w:rsidRPr="00E320CE" w:rsidRDefault="009B7117" w:rsidP="00B30BBB">
      <w:pPr>
        <w:pStyle w:val="Prrafodelista"/>
        <w:ind w:left="567"/>
        <w:jc w:val="both"/>
        <w:rPr>
          <w:rFonts w:eastAsia="SimSun"/>
          <w:sz w:val="28"/>
          <w:szCs w:val="28"/>
          <w:lang w:val="es-MX"/>
        </w:rPr>
      </w:pPr>
      <w:r w:rsidRPr="00E320CE">
        <w:rPr>
          <w:rFonts w:eastAsia="SimSun"/>
          <w:sz w:val="28"/>
          <w:szCs w:val="28"/>
          <w:lang w:val="es-MX"/>
        </w:rPr>
        <w:t xml:space="preserve">¿Vulneran las accionadas </w:t>
      </w:r>
      <w:r w:rsidR="00242FFB" w:rsidRPr="00E320CE">
        <w:rPr>
          <w:rFonts w:eastAsia="SimSun"/>
          <w:sz w:val="28"/>
          <w:szCs w:val="28"/>
          <w:lang w:val="es-MX"/>
        </w:rPr>
        <w:t>el fuero de salud</w:t>
      </w:r>
      <w:r w:rsidRPr="00E320CE">
        <w:rPr>
          <w:rFonts w:eastAsia="SimSun"/>
          <w:sz w:val="28"/>
          <w:szCs w:val="28"/>
          <w:lang w:val="es-MX"/>
        </w:rPr>
        <w:t xml:space="preserve"> </w:t>
      </w:r>
      <w:r w:rsidRPr="00E320CE">
        <w:rPr>
          <w:sz w:val="28"/>
          <w:szCs w:val="28"/>
        </w:rPr>
        <w:t xml:space="preserve">de una </w:t>
      </w:r>
      <w:r w:rsidR="00105319" w:rsidRPr="00E320CE">
        <w:rPr>
          <w:sz w:val="28"/>
          <w:szCs w:val="28"/>
        </w:rPr>
        <w:t>persona</w:t>
      </w:r>
      <w:r w:rsidRPr="00E320CE">
        <w:rPr>
          <w:sz w:val="28"/>
          <w:szCs w:val="28"/>
        </w:rPr>
        <w:t xml:space="preserve"> que prest</w:t>
      </w:r>
      <w:r w:rsidR="00121ED8" w:rsidRPr="00E320CE">
        <w:rPr>
          <w:sz w:val="28"/>
          <w:szCs w:val="28"/>
        </w:rPr>
        <w:t>ó</w:t>
      </w:r>
      <w:r w:rsidRPr="00E320CE">
        <w:rPr>
          <w:sz w:val="28"/>
          <w:szCs w:val="28"/>
        </w:rPr>
        <w:t xml:space="preserve"> servicios como auxiliar de enfermería</w:t>
      </w:r>
      <w:r w:rsidR="00FC6E71" w:rsidRPr="00E320CE">
        <w:rPr>
          <w:sz w:val="28"/>
          <w:szCs w:val="28"/>
        </w:rPr>
        <w:t xml:space="preserve"> en</w:t>
      </w:r>
      <w:r w:rsidR="00706429" w:rsidRPr="00E320CE">
        <w:rPr>
          <w:sz w:val="28"/>
          <w:szCs w:val="28"/>
        </w:rPr>
        <w:t xml:space="preserve"> un establecimiento</w:t>
      </w:r>
      <w:r w:rsidR="0082458F" w:rsidRPr="00E320CE">
        <w:rPr>
          <w:sz w:val="28"/>
          <w:szCs w:val="28"/>
        </w:rPr>
        <w:t xml:space="preserve"> penitenciario</w:t>
      </w:r>
      <w:r w:rsidR="00121ED8" w:rsidRPr="00E320CE">
        <w:rPr>
          <w:sz w:val="28"/>
          <w:szCs w:val="28"/>
        </w:rPr>
        <w:t xml:space="preserve"> durante</w:t>
      </w:r>
      <w:r w:rsidR="00BC528F" w:rsidRPr="00E320CE">
        <w:rPr>
          <w:sz w:val="28"/>
          <w:szCs w:val="28"/>
        </w:rPr>
        <w:t xml:space="preserve"> aproximadamente</w:t>
      </w:r>
      <w:r w:rsidR="00121ED8" w:rsidRPr="00E320CE">
        <w:rPr>
          <w:sz w:val="28"/>
          <w:szCs w:val="28"/>
        </w:rPr>
        <w:t xml:space="preserve"> 13 años</w:t>
      </w:r>
      <w:r w:rsidR="002A0A3C" w:rsidRPr="00E320CE">
        <w:rPr>
          <w:sz w:val="28"/>
          <w:szCs w:val="28"/>
        </w:rPr>
        <w:t>,</w:t>
      </w:r>
      <w:r w:rsidR="00121ED8" w:rsidRPr="00E320CE">
        <w:rPr>
          <w:sz w:val="28"/>
          <w:szCs w:val="28"/>
        </w:rPr>
        <w:t xml:space="preserve"> mediante contratos de prestación de servicios sucesivos</w:t>
      </w:r>
      <w:r w:rsidR="002A0A3C" w:rsidRPr="00E320CE">
        <w:rPr>
          <w:sz w:val="28"/>
          <w:szCs w:val="28"/>
        </w:rPr>
        <w:t xml:space="preserve"> que pueden configurar un verdadero contrato realidad</w:t>
      </w:r>
      <w:r w:rsidRPr="00E320CE">
        <w:rPr>
          <w:sz w:val="28"/>
          <w:szCs w:val="28"/>
        </w:rPr>
        <w:t xml:space="preserve">, </w:t>
      </w:r>
      <w:r w:rsidR="002A0A3C" w:rsidRPr="00E320CE">
        <w:rPr>
          <w:sz w:val="28"/>
          <w:szCs w:val="28"/>
        </w:rPr>
        <w:t>sobre el que se dispuso su terminación unilateral</w:t>
      </w:r>
      <w:r w:rsidRPr="00E320CE">
        <w:rPr>
          <w:sz w:val="28"/>
          <w:szCs w:val="28"/>
        </w:rPr>
        <w:t xml:space="preserve"> sin la </w:t>
      </w:r>
      <w:r w:rsidR="002A0A3C" w:rsidRPr="00E320CE">
        <w:rPr>
          <w:sz w:val="28"/>
          <w:szCs w:val="28"/>
        </w:rPr>
        <w:t>autorización</w:t>
      </w:r>
      <w:r w:rsidRPr="00E320CE">
        <w:rPr>
          <w:sz w:val="28"/>
          <w:szCs w:val="28"/>
        </w:rPr>
        <w:t xml:space="preserve"> del </w:t>
      </w:r>
      <w:r w:rsidRPr="00E320CE">
        <w:rPr>
          <w:color w:val="000000"/>
          <w:sz w:val="28"/>
          <w:szCs w:val="28"/>
        </w:rPr>
        <w:t>Ministerio del Trabajo,</w:t>
      </w:r>
      <w:r w:rsidRPr="00E320CE">
        <w:rPr>
          <w:sz w:val="28"/>
          <w:szCs w:val="28"/>
        </w:rPr>
        <w:t xml:space="preserve"> pese a que cuenta con concepto desfavorable de rehabilitación y requiere de tratamientos médicos de psiquiatría y atención médica oncológica</w:t>
      </w:r>
      <w:r w:rsidRPr="00E320CE">
        <w:rPr>
          <w:color w:val="000000"/>
          <w:sz w:val="28"/>
          <w:szCs w:val="28"/>
        </w:rPr>
        <w:t>?</w:t>
      </w:r>
    </w:p>
    <w:p w14:paraId="7E06CA43" w14:textId="77777777" w:rsidR="00B6575D" w:rsidRPr="00E320CE" w:rsidRDefault="00B6575D" w:rsidP="00B6575D">
      <w:pPr>
        <w:rPr>
          <w:rFonts w:eastAsia="SimSun"/>
          <w:sz w:val="28"/>
          <w:szCs w:val="28"/>
          <w:lang w:val="es-MX"/>
        </w:rPr>
      </w:pPr>
    </w:p>
    <w:p w14:paraId="2C60B2F2" w14:textId="645E6EC2" w:rsidR="00B6575D" w:rsidRPr="00E320CE" w:rsidRDefault="00B6575D" w:rsidP="00CC5A22">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Para</w:t>
      </w:r>
      <w:r w:rsidR="00BA01E6" w:rsidRPr="00E320CE">
        <w:rPr>
          <w:rFonts w:eastAsia="SimSun"/>
          <w:sz w:val="28"/>
          <w:szCs w:val="28"/>
          <w:lang w:val="es-MX"/>
        </w:rPr>
        <w:t xml:space="preserve"> resolver este problema jurídico la Corte Constitucional se pronunciará sobre</w:t>
      </w:r>
      <w:r w:rsidRPr="00E320CE">
        <w:rPr>
          <w:rFonts w:eastAsia="SimSun"/>
          <w:sz w:val="28"/>
          <w:szCs w:val="28"/>
          <w:lang w:val="es-MX"/>
        </w:rPr>
        <w:t xml:space="preserve"> el derecho a la estabilidad </w:t>
      </w:r>
      <w:r w:rsidR="007E25AC" w:rsidRPr="00E320CE">
        <w:rPr>
          <w:rFonts w:eastAsia="SimSun"/>
          <w:sz w:val="28"/>
          <w:szCs w:val="28"/>
          <w:lang w:val="es-MX"/>
        </w:rPr>
        <w:t>laboral u</w:t>
      </w:r>
      <w:r w:rsidRPr="00E320CE">
        <w:rPr>
          <w:rFonts w:eastAsia="SimSun"/>
          <w:sz w:val="28"/>
          <w:szCs w:val="28"/>
          <w:lang w:val="es-MX"/>
        </w:rPr>
        <w:t xml:space="preserve"> ocupacional reforzada</w:t>
      </w:r>
      <w:r w:rsidR="007E25AC" w:rsidRPr="00E320CE">
        <w:rPr>
          <w:rFonts w:eastAsia="SimSun"/>
          <w:sz w:val="28"/>
          <w:szCs w:val="28"/>
          <w:lang w:val="es-MX"/>
        </w:rPr>
        <w:t xml:space="preserve"> de personas en estado de debilidad manifiesta por razones de salu</w:t>
      </w:r>
      <w:r w:rsidR="00BB7CE4" w:rsidRPr="00E320CE">
        <w:rPr>
          <w:rFonts w:eastAsia="SimSun"/>
          <w:sz w:val="28"/>
          <w:szCs w:val="28"/>
          <w:lang w:val="es-MX"/>
        </w:rPr>
        <w:t>d</w:t>
      </w:r>
      <w:r w:rsidR="002F79EB" w:rsidRPr="00E320CE">
        <w:rPr>
          <w:rFonts w:eastAsia="SimSun"/>
          <w:sz w:val="28"/>
          <w:szCs w:val="28"/>
          <w:lang w:val="es-MX"/>
        </w:rPr>
        <w:t xml:space="preserve">, </w:t>
      </w:r>
      <w:r w:rsidR="00FB59D9" w:rsidRPr="00E320CE">
        <w:rPr>
          <w:rFonts w:eastAsia="SimSun"/>
          <w:sz w:val="28"/>
          <w:szCs w:val="28"/>
          <w:lang w:val="es-MX"/>
        </w:rPr>
        <w:t>para lo cual se hará</w:t>
      </w:r>
      <w:r w:rsidRPr="00E320CE" w:rsidDel="002F79EB">
        <w:rPr>
          <w:rFonts w:eastAsia="SimSun"/>
          <w:sz w:val="28"/>
          <w:szCs w:val="28"/>
          <w:lang w:val="es-MX"/>
        </w:rPr>
        <w:t xml:space="preserve"> </w:t>
      </w:r>
      <w:r w:rsidRPr="00E320CE">
        <w:rPr>
          <w:rFonts w:eastAsia="SimSun"/>
          <w:sz w:val="28"/>
          <w:szCs w:val="28"/>
          <w:lang w:val="es-MX"/>
        </w:rPr>
        <w:t xml:space="preserve">énfasis en su garantía en contextos de liquidación de la empresa </w:t>
      </w:r>
      <w:r w:rsidR="00BD0EAB" w:rsidRPr="00E320CE">
        <w:rPr>
          <w:rFonts w:eastAsia="SimSun"/>
          <w:sz w:val="28"/>
          <w:szCs w:val="28"/>
          <w:lang w:val="es-MX"/>
        </w:rPr>
        <w:t>contratante</w:t>
      </w:r>
      <w:r w:rsidRPr="00E320CE">
        <w:rPr>
          <w:rFonts w:eastAsia="SimSun"/>
          <w:sz w:val="28"/>
          <w:szCs w:val="28"/>
          <w:lang w:val="es-MX"/>
        </w:rPr>
        <w:t xml:space="preserve">. En segundo lugar, la Corte estudiará la figura de la sustitución </w:t>
      </w:r>
      <w:r w:rsidRPr="00E320CE">
        <w:rPr>
          <w:rFonts w:eastAsia="SimSun"/>
          <w:sz w:val="28"/>
          <w:szCs w:val="28"/>
          <w:lang w:val="es-MX"/>
        </w:rPr>
        <w:lastRenderedPageBreak/>
        <w:t xml:space="preserve">patronal y </w:t>
      </w:r>
      <w:r w:rsidR="00952A60" w:rsidRPr="00E320CE">
        <w:rPr>
          <w:rFonts w:eastAsia="SimSun"/>
          <w:sz w:val="28"/>
          <w:szCs w:val="28"/>
          <w:lang w:val="es-MX"/>
        </w:rPr>
        <w:t>los escenarios en los que se ha protegido la garantía del fuero de salud</w:t>
      </w:r>
      <w:r w:rsidR="008E36E0" w:rsidRPr="00E320CE">
        <w:rPr>
          <w:rFonts w:eastAsia="SimSun"/>
          <w:sz w:val="28"/>
          <w:szCs w:val="28"/>
          <w:lang w:val="es-MX"/>
        </w:rPr>
        <w:t xml:space="preserve"> cuando opera esta figura</w:t>
      </w:r>
      <w:r w:rsidRPr="00E320CE">
        <w:rPr>
          <w:rFonts w:eastAsia="SimSun"/>
          <w:sz w:val="28"/>
          <w:szCs w:val="28"/>
          <w:lang w:val="es-MX"/>
        </w:rPr>
        <w:t xml:space="preserve">. Por último, </w:t>
      </w:r>
      <w:r w:rsidR="00D52527" w:rsidRPr="00E320CE">
        <w:rPr>
          <w:rFonts w:eastAsia="SimSun"/>
          <w:sz w:val="28"/>
          <w:szCs w:val="28"/>
          <w:lang w:val="es-MX"/>
        </w:rPr>
        <w:t xml:space="preserve">esta Corporación </w:t>
      </w:r>
      <w:r w:rsidRPr="00E320CE">
        <w:rPr>
          <w:rFonts w:eastAsia="SimSun"/>
          <w:sz w:val="28"/>
          <w:szCs w:val="28"/>
          <w:lang w:val="es-MX"/>
        </w:rPr>
        <w:t>examinará el contrato realidad</w:t>
      </w:r>
      <w:r w:rsidR="002C13B7" w:rsidRPr="00E320CE">
        <w:rPr>
          <w:rFonts w:eastAsia="SimSun"/>
          <w:sz w:val="28"/>
          <w:szCs w:val="28"/>
          <w:lang w:val="es-MX"/>
        </w:rPr>
        <w:t xml:space="preserve"> en el marco de la prestación de servicios de enfermería y</w:t>
      </w:r>
      <w:r w:rsidRPr="00E320CE">
        <w:rPr>
          <w:rFonts w:eastAsia="SimSun"/>
          <w:sz w:val="28"/>
          <w:szCs w:val="28"/>
          <w:lang w:val="es-MX"/>
        </w:rPr>
        <w:t xml:space="preserve"> sus medios de prueba</w:t>
      </w:r>
      <w:r w:rsidR="002264FA" w:rsidRPr="00E320CE">
        <w:rPr>
          <w:rFonts w:eastAsia="SimSun"/>
          <w:sz w:val="28"/>
          <w:szCs w:val="28"/>
          <w:lang w:val="es-MX"/>
        </w:rPr>
        <w:t>, para definir</w:t>
      </w:r>
      <w:r w:rsidR="00DB1504" w:rsidRPr="00E320CE">
        <w:rPr>
          <w:rFonts w:eastAsia="SimSun"/>
          <w:sz w:val="28"/>
          <w:szCs w:val="28"/>
          <w:lang w:val="es-MX"/>
        </w:rPr>
        <w:t xml:space="preserve">, de ser el caso, </w:t>
      </w:r>
      <w:r w:rsidR="00AC0270" w:rsidRPr="00E320CE">
        <w:rPr>
          <w:rFonts w:eastAsia="SimSun"/>
          <w:sz w:val="28"/>
          <w:szCs w:val="28"/>
          <w:lang w:val="es-MX"/>
        </w:rPr>
        <w:t>el alcance de la protección que reclama la accionante</w:t>
      </w:r>
      <w:r w:rsidRPr="00E320CE">
        <w:rPr>
          <w:rFonts w:eastAsia="SimSun"/>
          <w:sz w:val="28"/>
          <w:szCs w:val="28"/>
          <w:lang w:val="es-MX"/>
        </w:rPr>
        <w:t xml:space="preserve">. A partir de estas consideraciones, </w:t>
      </w:r>
      <w:r w:rsidR="009C20DF" w:rsidRPr="00E320CE">
        <w:rPr>
          <w:rFonts w:eastAsia="SimSun"/>
          <w:sz w:val="28"/>
          <w:szCs w:val="28"/>
          <w:lang w:val="es-MX"/>
        </w:rPr>
        <w:t xml:space="preserve">se </w:t>
      </w:r>
      <w:r w:rsidRPr="00E320CE">
        <w:rPr>
          <w:rFonts w:eastAsia="SimSun"/>
          <w:sz w:val="28"/>
          <w:szCs w:val="28"/>
          <w:lang w:val="es-MX"/>
        </w:rPr>
        <w:t>analizará el caso concreto.</w:t>
      </w:r>
    </w:p>
    <w:p w14:paraId="43BC9583" w14:textId="77777777" w:rsidR="00781772" w:rsidRPr="00E320CE" w:rsidRDefault="00781772" w:rsidP="00781772">
      <w:pPr>
        <w:jc w:val="both"/>
        <w:rPr>
          <w:rFonts w:eastAsia="SimSun"/>
          <w:sz w:val="28"/>
          <w:szCs w:val="28"/>
          <w:lang w:val="es-MX"/>
        </w:rPr>
      </w:pPr>
    </w:p>
    <w:p w14:paraId="460890BC" w14:textId="6AAE6A0E" w:rsidR="00E20FEE" w:rsidRPr="00E320CE" w:rsidRDefault="00E20FEE" w:rsidP="00B6575D">
      <w:pPr>
        <w:pStyle w:val="Prrafodelista"/>
        <w:numPr>
          <w:ilvl w:val="0"/>
          <w:numId w:val="33"/>
        </w:numPr>
        <w:autoSpaceDE/>
        <w:autoSpaceDN/>
        <w:jc w:val="both"/>
        <w:rPr>
          <w:rFonts w:eastAsia="SimSun"/>
          <w:b/>
          <w:bCs/>
          <w:sz w:val="28"/>
          <w:szCs w:val="28"/>
          <w:lang w:val="es-MX"/>
        </w:rPr>
      </w:pPr>
      <w:r w:rsidRPr="00E320CE">
        <w:rPr>
          <w:rFonts w:eastAsia="SimSun"/>
          <w:b/>
          <w:bCs/>
          <w:sz w:val="28"/>
          <w:szCs w:val="28"/>
          <w:lang w:val="es-MX"/>
        </w:rPr>
        <w:t xml:space="preserve">La estabilidad </w:t>
      </w:r>
      <w:r w:rsidR="00922F4B" w:rsidRPr="00E320CE">
        <w:rPr>
          <w:rFonts w:eastAsia="SimSun"/>
          <w:b/>
          <w:bCs/>
          <w:sz w:val="28"/>
          <w:szCs w:val="28"/>
          <w:lang w:val="es-MX"/>
        </w:rPr>
        <w:t>laboral u</w:t>
      </w:r>
      <w:r w:rsidRPr="00E320CE">
        <w:rPr>
          <w:rFonts w:eastAsia="SimSun"/>
          <w:b/>
          <w:bCs/>
          <w:sz w:val="28"/>
          <w:szCs w:val="28"/>
          <w:lang w:val="es-MX"/>
        </w:rPr>
        <w:t xml:space="preserve"> ocupacional reforzada</w:t>
      </w:r>
      <w:r w:rsidR="0024413D" w:rsidRPr="00E320CE">
        <w:rPr>
          <w:rFonts w:eastAsia="SimSun"/>
          <w:b/>
          <w:bCs/>
          <w:sz w:val="28"/>
          <w:szCs w:val="28"/>
          <w:lang w:val="es-MX"/>
        </w:rPr>
        <w:t xml:space="preserve"> de personas en </w:t>
      </w:r>
      <w:r w:rsidR="00221930" w:rsidRPr="00E320CE">
        <w:rPr>
          <w:rFonts w:eastAsia="SimSun"/>
          <w:b/>
          <w:bCs/>
          <w:sz w:val="28"/>
          <w:szCs w:val="28"/>
          <w:lang w:val="es-MX"/>
        </w:rPr>
        <w:t>estado de debilidad manifiesta por razones de salud</w:t>
      </w:r>
      <w:r w:rsidRPr="00E320CE">
        <w:rPr>
          <w:rFonts w:eastAsia="SimSun"/>
          <w:b/>
          <w:bCs/>
          <w:sz w:val="28"/>
          <w:szCs w:val="28"/>
          <w:lang w:val="es-MX"/>
        </w:rPr>
        <w:t>. Reiteración de jurisprudencia</w:t>
      </w:r>
    </w:p>
    <w:p w14:paraId="70051411" w14:textId="77777777" w:rsidR="00E20FEE" w:rsidRPr="00E320CE" w:rsidRDefault="00E20FEE" w:rsidP="00E20FEE">
      <w:pPr>
        <w:autoSpaceDE/>
        <w:autoSpaceDN/>
        <w:jc w:val="both"/>
        <w:rPr>
          <w:rFonts w:eastAsia="SimSun"/>
          <w:b/>
          <w:bCs/>
          <w:sz w:val="28"/>
          <w:szCs w:val="28"/>
          <w:lang w:val="es-MX"/>
        </w:rPr>
      </w:pPr>
    </w:p>
    <w:p w14:paraId="395AB8F2" w14:textId="5FFE7CF7" w:rsidR="00AD75BA" w:rsidRPr="00E320CE" w:rsidRDefault="00212C68" w:rsidP="00AD75BA">
      <w:pPr>
        <w:pStyle w:val="Prrafodelista"/>
        <w:numPr>
          <w:ilvl w:val="0"/>
          <w:numId w:val="1"/>
        </w:numPr>
        <w:autoSpaceDE/>
        <w:autoSpaceDN/>
        <w:ind w:left="0" w:firstLine="0"/>
        <w:contextualSpacing w:val="0"/>
        <w:jc w:val="both"/>
        <w:rPr>
          <w:rFonts w:eastAsia="SimSun"/>
          <w:b/>
          <w:bCs/>
          <w:sz w:val="28"/>
          <w:szCs w:val="28"/>
          <w:lang w:val="es-MX"/>
        </w:rPr>
      </w:pPr>
      <w:r w:rsidRPr="00E320CE">
        <w:rPr>
          <w:rFonts w:eastAsia="SimSun"/>
          <w:sz w:val="28"/>
          <w:szCs w:val="28"/>
          <w:lang w:val="es-MX"/>
        </w:rPr>
        <w:t>En virtud del artículo 13 de la Constitución, el Estado tiene como obligación garantizar la igualdad material, lo que implica que debe “</w:t>
      </w:r>
      <w:r w:rsidR="00AD75BA" w:rsidRPr="00E320CE">
        <w:rPr>
          <w:rFonts w:eastAsia="SimSun"/>
          <w:sz w:val="28"/>
          <w:szCs w:val="28"/>
          <w:lang w:val="es-MX"/>
        </w:rPr>
        <w:t>propiciar las condiciones para que las personas que se encuentren en estado de debilidad manifiesta tengan una protección diferencial”</w:t>
      </w:r>
      <w:r w:rsidR="00AD75BA" w:rsidRPr="00E320CE">
        <w:rPr>
          <w:rStyle w:val="Refdenotaalpie"/>
          <w:rFonts w:eastAsia="SimSun"/>
          <w:sz w:val="28"/>
          <w:szCs w:val="28"/>
          <w:lang w:val="es-MX"/>
        </w:rPr>
        <w:footnoteReference w:id="111"/>
      </w:r>
      <w:r w:rsidR="00AD75BA" w:rsidRPr="00E320CE">
        <w:rPr>
          <w:rFonts w:eastAsia="SimSun"/>
          <w:sz w:val="28"/>
          <w:szCs w:val="28"/>
          <w:lang w:val="es-MX"/>
        </w:rPr>
        <w:t>. Una materialización de aquel deber es la estabilidad laboral reforzada a la que tienen derecho las mujeres embarazadas, las personas en situación de discapacidad o en condición de debilidad manifiesta por razones de salud, las madres cabeza de familia, entre otros</w:t>
      </w:r>
      <w:r w:rsidR="00AD75BA" w:rsidRPr="00E320CE">
        <w:rPr>
          <w:rStyle w:val="Refdenotaalpie"/>
          <w:rFonts w:eastAsia="SimSun"/>
          <w:sz w:val="28"/>
          <w:szCs w:val="28"/>
          <w:lang w:val="es-MX"/>
        </w:rPr>
        <w:footnoteReference w:id="112"/>
      </w:r>
      <w:r w:rsidR="00AD75BA" w:rsidRPr="00E320CE">
        <w:rPr>
          <w:rFonts w:eastAsia="SimSun"/>
          <w:sz w:val="28"/>
          <w:szCs w:val="28"/>
          <w:lang w:val="es-MX"/>
        </w:rPr>
        <w:t>. Esta garantía busca exigir “requisitos cualificados que condicionan la legalidad y eficacia de la desvinculación laboral y otorga</w:t>
      </w:r>
      <w:r w:rsidR="00A42B6D" w:rsidRPr="00E320CE">
        <w:rPr>
          <w:rFonts w:eastAsia="SimSun"/>
          <w:sz w:val="28"/>
          <w:szCs w:val="28"/>
          <w:lang w:val="es-MX"/>
        </w:rPr>
        <w:t>[r]</w:t>
      </w:r>
      <w:r w:rsidR="00AD75BA" w:rsidRPr="00E320CE">
        <w:rPr>
          <w:rFonts w:eastAsia="SimSun"/>
          <w:sz w:val="28"/>
          <w:szCs w:val="28"/>
          <w:lang w:val="es-MX"/>
        </w:rPr>
        <w:t xml:space="preserve"> garantías constitucionales de protección diferenciadas”</w:t>
      </w:r>
      <w:r w:rsidR="00AD75BA" w:rsidRPr="00E320CE">
        <w:rPr>
          <w:rStyle w:val="Refdenotaalpie"/>
          <w:rFonts w:eastAsia="SimSun"/>
          <w:sz w:val="28"/>
          <w:szCs w:val="28"/>
          <w:lang w:val="es-MX"/>
        </w:rPr>
        <w:footnoteReference w:id="113"/>
      </w:r>
      <w:r w:rsidR="00AD75BA" w:rsidRPr="00E320CE">
        <w:rPr>
          <w:rFonts w:eastAsia="SimSun"/>
          <w:sz w:val="28"/>
          <w:szCs w:val="28"/>
          <w:lang w:val="es-MX"/>
        </w:rPr>
        <w:t xml:space="preserve"> a estos sujetos en el ámbito laboral</w:t>
      </w:r>
      <w:r w:rsidR="00493406" w:rsidRPr="00E320CE">
        <w:rPr>
          <w:rFonts w:eastAsia="SimSun"/>
          <w:sz w:val="28"/>
          <w:szCs w:val="28"/>
          <w:lang w:val="es-MX"/>
        </w:rPr>
        <w:t xml:space="preserve"> ante posibles escenarios de discriminación</w:t>
      </w:r>
      <w:r w:rsidR="00AD75BA" w:rsidRPr="00E320CE">
        <w:rPr>
          <w:rFonts w:eastAsia="SimSun"/>
          <w:sz w:val="28"/>
          <w:szCs w:val="28"/>
          <w:lang w:val="es-MX"/>
        </w:rPr>
        <w:t>.</w:t>
      </w:r>
    </w:p>
    <w:p w14:paraId="56D54010" w14:textId="77777777" w:rsidR="00AD75BA" w:rsidRPr="00E320CE" w:rsidRDefault="00AD75BA" w:rsidP="00AD75BA">
      <w:pPr>
        <w:pStyle w:val="Prrafodelista"/>
        <w:autoSpaceDE/>
        <w:autoSpaceDN/>
        <w:ind w:left="0"/>
        <w:contextualSpacing w:val="0"/>
        <w:jc w:val="both"/>
        <w:rPr>
          <w:rFonts w:eastAsia="SimSun"/>
          <w:b/>
          <w:bCs/>
          <w:sz w:val="28"/>
          <w:szCs w:val="28"/>
          <w:lang w:val="es-MX"/>
        </w:rPr>
      </w:pPr>
    </w:p>
    <w:p w14:paraId="22ABA3D1" w14:textId="1B067016" w:rsidR="002A6E7C" w:rsidRPr="00E320CE" w:rsidRDefault="00493406" w:rsidP="002A6E7C">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El hecho de estar en situación de discapacidad o en condición de debilidad manifiesta por razones de salud que impide o dificulta de forma sustancial el desempeño regular de las funciones son, entonces, dos de los escenarios en los que se tiene derecho a la estabilidad laboral reforzada. Son dos escenarios distintos</w:t>
      </w:r>
      <w:r w:rsidR="007270E5" w:rsidRPr="00E320CE">
        <w:rPr>
          <w:rFonts w:eastAsia="SimSun"/>
          <w:sz w:val="28"/>
          <w:szCs w:val="28"/>
          <w:lang w:val="es-MX"/>
        </w:rPr>
        <w:t>, pues “la discapacidad no es una cuestión de salud ni una condición médica (…) [mientras que]</w:t>
      </w:r>
      <w:r w:rsidR="007270E5" w:rsidRPr="00E320CE">
        <w:rPr>
          <w:rFonts w:eastAsia="SimSun"/>
          <w:b/>
          <w:bCs/>
          <w:sz w:val="28"/>
          <w:szCs w:val="28"/>
          <w:lang w:val="es-MX"/>
        </w:rPr>
        <w:t xml:space="preserve"> </w:t>
      </w:r>
      <w:r w:rsidR="007270E5" w:rsidRPr="00E320CE">
        <w:rPr>
          <w:rFonts w:eastAsia="SimSun"/>
          <w:sz w:val="28"/>
          <w:szCs w:val="28"/>
          <w:lang w:val="es-MX"/>
        </w:rPr>
        <w:t>la situación de debilidad manifiesta corresponde a una situación relacionada con la salud del trabajador”</w:t>
      </w:r>
      <w:r w:rsidR="007270E5" w:rsidRPr="00E320CE">
        <w:rPr>
          <w:rStyle w:val="Refdenotaalpie"/>
          <w:rFonts w:eastAsia="SimSun"/>
          <w:sz w:val="28"/>
          <w:szCs w:val="28"/>
          <w:lang w:val="es-MX"/>
        </w:rPr>
        <w:footnoteReference w:id="114"/>
      </w:r>
      <w:r w:rsidR="007270E5" w:rsidRPr="00E320CE">
        <w:rPr>
          <w:rFonts w:eastAsia="SimSun"/>
          <w:sz w:val="28"/>
          <w:szCs w:val="28"/>
          <w:lang w:val="es-MX"/>
        </w:rPr>
        <w:t xml:space="preserve">. Sin embargo, a pesar de esta diferencia, ambas situaciones son protegidas por la estabilidad laboral </w:t>
      </w:r>
      <w:r w:rsidR="00E71D17" w:rsidRPr="00E320CE">
        <w:rPr>
          <w:rFonts w:eastAsia="SimSun"/>
          <w:sz w:val="28"/>
          <w:szCs w:val="28"/>
          <w:lang w:val="es-MX"/>
        </w:rPr>
        <w:t xml:space="preserve">u ocupacional </w:t>
      </w:r>
      <w:r w:rsidR="007270E5" w:rsidRPr="00E320CE">
        <w:rPr>
          <w:rFonts w:eastAsia="SimSun"/>
          <w:sz w:val="28"/>
          <w:szCs w:val="28"/>
          <w:lang w:val="es-MX"/>
        </w:rPr>
        <w:t>reforzada.</w:t>
      </w:r>
    </w:p>
    <w:p w14:paraId="67F3C77E" w14:textId="77777777" w:rsidR="00B30BBB" w:rsidRPr="00E320CE" w:rsidRDefault="00B30BBB" w:rsidP="00B30BBB">
      <w:pPr>
        <w:pStyle w:val="Prrafodelista"/>
        <w:rPr>
          <w:rFonts w:eastAsia="SimSun"/>
          <w:sz w:val="28"/>
          <w:szCs w:val="28"/>
          <w:lang w:val="es-MX"/>
        </w:rPr>
      </w:pPr>
    </w:p>
    <w:p w14:paraId="11B500FE" w14:textId="23942DF6" w:rsidR="00B30BBB" w:rsidRPr="00E320CE" w:rsidRDefault="00E71D17" w:rsidP="002A6E7C">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Es importante aclarar que </w:t>
      </w:r>
      <w:r w:rsidR="00746B55" w:rsidRPr="00E320CE">
        <w:rPr>
          <w:rFonts w:eastAsia="SimSun"/>
          <w:sz w:val="28"/>
          <w:szCs w:val="28"/>
          <w:lang w:val="es-MX"/>
        </w:rPr>
        <w:t>la estabilidad reforzada es protegida independientemente de la modalidad de la vinculación</w:t>
      </w:r>
      <w:r w:rsidR="00746B55" w:rsidRPr="00E320CE">
        <w:rPr>
          <w:rStyle w:val="Refdenotaalpie"/>
          <w:rFonts w:eastAsia="SimSun"/>
          <w:sz w:val="28"/>
          <w:szCs w:val="28"/>
          <w:lang w:val="es-MX"/>
        </w:rPr>
        <w:footnoteReference w:id="115"/>
      </w:r>
      <w:r w:rsidR="009D5467" w:rsidRPr="00E320CE">
        <w:rPr>
          <w:rFonts w:eastAsia="SimSun"/>
          <w:sz w:val="28"/>
          <w:szCs w:val="28"/>
          <w:lang w:val="es-MX"/>
        </w:rPr>
        <w:t>. De esa forma</w:t>
      </w:r>
      <w:r w:rsidR="002D4B5E" w:rsidRPr="00E320CE">
        <w:rPr>
          <w:rFonts w:eastAsia="SimSun"/>
          <w:sz w:val="28"/>
          <w:szCs w:val="28"/>
          <w:lang w:val="es-MX"/>
        </w:rPr>
        <w:t xml:space="preserve">, en casos en </w:t>
      </w:r>
      <w:r w:rsidR="00864171" w:rsidRPr="00E320CE">
        <w:rPr>
          <w:rFonts w:eastAsia="SimSun"/>
          <w:sz w:val="28"/>
          <w:szCs w:val="28"/>
          <w:lang w:val="es-MX"/>
        </w:rPr>
        <w:t>los que se encuentra que</w:t>
      </w:r>
      <w:r w:rsidR="00E80C7E" w:rsidRPr="00E320CE">
        <w:rPr>
          <w:rFonts w:eastAsia="SimSun"/>
          <w:sz w:val="28"/>
          <w:szCs w:val="28"/>
          <w:lang w:val="es-MX"/>
        </w:rPr>
        <w:t xml:space="preserve"> la </w:t>
      </w:r>
      <w:r w:rsidR="000F79E3" w:rsidRPr="00E320CE">
        <w:rPr>
          <w:rFonts w:eastAsia="SimSun"/>
          <w:sz w:val="28"/>
          <w:szCs w:val="28"/>
          <w:lang w:val="es-MX"/>
        </w:rPr>
        <w:t>terminación o no renovación</w:t>
      </w:r>
      <w:r w:rsidR="00E80C7E" w:rsidRPr="00E320CE">
        <w:rPr>
          <w:rFonts w:eastAsia="SimSun"/>
          <w:sz w:val="28"/>
          <w:szCs w:val="28"/>
          <w:lang w:val="es-MX"/>
        </w:rPr>
        <w:t xml:space="preserve"> de</w:t>
      </w:r>
      <w:r w:rsidR="00283C8B" w:rsidRPr="00E320CE">
        <w:rPr>
          <w:rFonts w:eastAsia="SimSun"/>
          <w:sz w:val="28"/>
          <w:szCs w:val="28"/>
          <w:lang w:val="es-MX"/>
        </w:rPr>
        <w:t xml:space="preserve"> una persona </w:t>
      </w:r>
      <w:r w:rsidR="000F79E3" w:rsidRPr="00E320CE">
        <w:rPr>
          <w:rFonts w:eastAsia="SimSun"/>
          <w:sz w:val="28"/>
          <w:szCs w:val="28"/>
          <w:lang w:val="es-MX"/>
        </w:rPr>
        <w:t>vinculada mediante un contrato de prestación de servicios</w:t>
      </w:r>
      <w:r w:rsidR="00A24F9F" w:rsidRPr="00E320CE">
        <w:rPr>
          <w:rFonts w:eastAsia="SimSun"/>
          <w:sz w:val="28"/>
          <w:szCs w:val="28"/>
          <w:lang w:val="es-MX"/>
        </w:rPr>
        <w:t xml:space="preserve"> obedeció </w:t>
      </w:r>
      <w:r w:rsidR="000B150D" w:rsidRPr="00E320CE">
        <w:rPr>
          <w:rFonts w:eastAsia="SimSun"/>
          <w:sz w:val="28"/>
          <w:szCs w:val="28"/>
          <w:lang w:val="es-MX"/>
        </w:rPr>
        <w:t>a razones discriminatorias</w:t>
      </w:r>
      <w:r w:rsidR="00FC4B92" w:rsidRPr="00E320CE">
        <w:rPr>
          <w:rFonts w:eastAsia="SimSun"/>
          <w:sz w:val="28"/>
          <w:szCs w:val="28"/>
          <w:lang w:val="es-MX"/>
        </w:rPr>
        <w:t>, la Corte determinó que</w:t>
      </w:r>
      <w:r w:rsidR="000B150D" w:rsidRPr="00E320CE">
        <w:rPr>
          <w:rFonts w:eastAsia="SimSun"/>
          <w:sz w:val="28"/>
          <w:szCs w:val="28"/>
          <w:lang w:val="es-MX"/>
        </w:rPr>
        <w:t xml:space="preserve"> es posible </w:t>
      </w:r>
      <w:r w:rsidR="00FC4B92" w:rsidRPr="00E320CE">
        <w:rPr>
          <w:rFonts w:eastAsia="SimSun"/>
          <w:sz w:val="28"/>
          <w:szCs w:val="28"/>
          <w:lang w:val="es-MX"/>
        </w:rPr>
        <w:t>ordenar la renovación del contrato y el pago de las remuneraciones dejadas de percibir y de la indemnización equivalente a 180 días de honorarios</w:t>
      </w:r>
      <w:r w:rsidR="00FC4B92" w:rsidRPr="00E320CE">
        <w:rPr>
          <w:rStyle w:val="Refdenotaalpie"/>
          <w:rFonts w:eastAsia="SimSun"/>
          <w:sz w:val="28"/>
          <w:szCs w:val="28"/>
          <w:lang w:val="es-MX"/>
        </w:rPr>
        <w:footnoteReference w:id="116"/>
      </w:r>
      <w:r w:rsidR="00FC4B92" w:rsidRPr="00E320CE">
        <w:rPr>
          <w:rFonts w:eastAsia="SimSun"/>
          <w:sz w:val="28"/>
          <w:szCs w:val="28"/>
          <w:lang w:val="es-MX"/>
        </w:rPr>
        <w:t>.</w:t>
      </w:r>
      <w:r w:rsidR="00FA0BA5" w:rsidRPr="00E320CE">
        <w:rPr>
          <w:rFonts w:eastAsia="SimSun"/>
          <w:sz w:val="28"/>
          <w:szCs w:val="28"/>
          <w:lang w:val="es-MX"/>
        </w:rPr>
        <w:t xml:space="preserve"> En cualquier caso </w:t>
      </w:r>
      <w:r w:rsidR="009766EF" w:rsidRPr="00E320CE">
        <w:rPr>
          <w:rFonts w:eastAsia="SimSun"/>
          <w:sz w:val="28"/>
          <w:szCs w:val="28"/>
          <w:lang w:val="es-MX"/>
        </w:rPr>
        <w:t>también es posible que</w:t>
      </w:r>
      <w:r w:rsidR="0031484E" w:rsidRPr="00E320CE">
        <w:rPr>
          <w:rFonts w:eastAsia="SimSun"/>
          <w:sz w:val="28"/>
          <w:szCs w:val="28"/>
          <w:lang w:val="es-MX"/>
        </w:rPr>
        <w:t xml:space="preserve">, </w:t>
      </w:r>
      <w:r w:rsidR="00DE2CB6" w:rsidRPr="00E320CE">
        <w:rPr>
          <w:rFonts w:eastAsia="SimSun"/>
          <w:sz w:val="28"/>
          <w:szCs w:val="28"/>
          <w:lang w:val="es-MX"/>
        </w:rPr>
        <w:t xml:space="preserve">en la sentencia de tutela, esta Corporación acredite </w:t>
      </w:r>
      <w:r w:rsidR="00DC166A" w:rsidRPr="00E320CE">
        <w:rPr>
          <w:rFonts w:eastAsia="SimSun"/>
          <w:sz w:val="28"/>
          <w:szCs w:val="28"/>
          <w:lang w:val="es-MX"/>
        </w:rPr>
        <w:t>la existencia de un contrato realidad</w:t>
      </w:r>
      <w:r w:rsidR="00EA3A9E" w:rsidRPr="00E320CE">
        <w:rPr>
          <w:rFonts w:eastAsia="SimSun"/>
          <w:sz w:val="28"/>
          <w:szCs w:val="28"/>
          <w:lang w:val="es-MX"/>
        </w:rPr>
        <w:t xml:space="preserve"> y, de esa forma, </w:t>
      </w:r>
      <w:r w:rsidR="004F269C" w:rsidRPr="00E320CE">
        <w:rPr>
          <w:rFonts w:eastAsia="SimSun"/>
          <w:sz w:val="28"/>
          <w:szCs w:val="28"/>
          <w:lang w:val="es-MX"/>
        </w:rPr>
        <w:t>la terminación de un contrato de prestación de servicios</w:t>
      </w:r>
      <w:r w:rsidR="00D17C10" w:rsidRPr="00E320CE">
        <w:rPr>
          <w:rFonts w:eastAsia="SimSun"/>
          <w:sz w:val="28"/>
          <w:szCs w:val="28"/>
          <w:lang w:val="es-MX"/>
        </w:rPr>
        <w:t xml:space="preserve"> por razones discriminatorias</w:t>
      </w:r>
      <w:r w:rsidR="004F269C" w:rsidRPr="00E320CE">
        <w:rPr>
          <w:rFonts w:eastAsia="SimSun"/>
          <w:sz w:val="28"/>
          <w:szCs w:val="28"/>
          <w:lang w:val="es-MX"/>
        </w:rPr>
        <w:t xml:space="preserve"> sea </w:t>
      </w:r>
      <w:r w:rsidR="00B93684" w:rsidRPr="00E320CE">
        <w:rPr>
          <w:rFonts w:eastAsia="SimSun"/>
          <w:sz w:val="28"/>
          <w:szCs w:val="28"/>
          <w:lang w:val="es-MX"/>
        </w:rPr>
        <w:t xml:space="preserve">realmente </w:t>
      </w:r>
      <w:r w:rsidR="00D17C10" w:rsidRPr="00E320CE">
        <w:rPr>
          <w:rFonts w:eastAsia="SimSun"/>
          <w:sz w:val="28"/>
          <w:szCs w:val="28"/>
          <w:lang w:val="es-MX"/>
        </w:rPr>
        <w:t>un</w:t>
      </w:r>
      <w:r w:rsidR="005C1310" w:rsidRPr="00E320CE">
        <w:rPr>
          <w:rFonts w:eastAsia="SimSun"/>
          <w:sz w:val="28"/>
          <w:szCs w:val="28"/>
          <w:lang w:val="es-MX"/>
        </w:rPr>
        <w:t xml:space="preserve"> despido sin justa causa de un trabajador</w:t>
      </w:r>
      <w:r w:rsidR="00D17C10" w:rsidRPr="00E320CE">
        <w:rPr>
          <w:rStyle w:val="Refdenotaalpie"/>
          <w:rFonts w:eastAsia="SimSun"/>
          <w:sz w:val="28"/>
          <w:szCs w:val="28"/>
          <w:lang w:val="es-MX"/>
        </w:rPr>
        <w:footnoteReference w:id="117"/>
      </w:r>
      <w:r w:rsidR="005C1310" w:rsidRPr="00E320CE">
        <w:rPr>
          <w:rFonts w:eastAsia="SimSun"/>
          <w:sz w:val="28"/>
          <w:szCs w:val="28"/>
          <w:lang w:val="es-MX"/>
        </w:rPr>
        <w:t>.</w:t>
      </w:r>
    </w:p>
    <w:p w14:paraId="72AE465A" w14:textId="77777777" w:rsidR="007270E5" w:rsidRPr="00E320CE" w:rsidRDefault="007270E5" w:rsidP="00FC4B92">
      <w:pPr>
        <w:rPr>
          <w:rFonts w:eastAsia="SimSun"/>
          <w:sz w:val="28"/>
          <w:szCs w:val="28"/>
          <w:lang w:val="es-MX"/>
        </w:rPr>
      </w:pPr>
    </w:p>
    <w:p w14:paraId="3B3B72C2" w14:textId="013E593C" w:rsidR="007270E5" w:rsidRPr="00E320CE" w:rsidRDefault="002931D0" w:rsidP="00D66E77">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lastRenderedPageBreak/>
        <w:t xml:space="preserve">Con el fin de determinar si una persona es titular del derecho a la estabilidad laboral </w:t>
      </w:r>
      <w:r w:rsidR="00E43FF5" w:rsidRPr="00E320CE">
        <w:rPr>
          <w:rFonts w:eastAsia="SimSun"/>
          <w:sz w:val="28"/>
          <w:szCs w:val="28"/>
          <w:lang w:val="es-MX"/>
        </w:rPr>
        <w:t>u ocupacional</w:t>
      </w:r>
      <w:r w:rsidRPr="00E320CE">
        <w:rPr>
          <w:rFonts w:eastAsia="SimSun"/>
          <w:sz w:val="28"/>
          <w:szCs w:val="28"/>
          <w:lang w:val="es-MX"/>
        </w:rPr>
        <w:t xml:space="preserve"> reforzada por los supuestos mencionados, la Corte Constitucional ha exigido el cumplimiento de tres requisitos: (i) que el trabajador se encuentr</w:t>
      </w:r>
      <w:r w:rsidR="00A42B6D" w:rsidRPr="00E320CE">
        <w:rPr>
          <w:rFonts w:eastAsia="SimSun"/>
          <w:sz w:val="28"/>
          <w:szCs w:val="28"/>
          <w:lang w:val="es-MX"/>
        </w:rPr>
        <w:t>e</w:t>
      </w:r>
      <w:r w:rsidRPr="00E320CE">
        <w:rPr>
          <w:rFonts w:eastAsia="SimSun"/>
          <w:sz w:val="28"/>
          <w:szCs w:val="28"/>
          <w:lang w:val="es-MX"/>
        </w:rPr>
        <w:t xml:space="preserve"> en una condición de salud que le impid</w:t>
      </w:r>
      <w:r w:rsidR="00A42B6D" w:rsidRPr="00E320CE">
        <w:rPr>
          <w:rFonts w:eastAsia="SimSun"/>
          <w:sz w:val="28"/>
          <w:szCs w:val="28"/>
          <w:lang w:val="es-MX"/>
        </w:rPr>
        <w:t>a</w:t>
      </w:r>
      <w:r w:rsidRPr="00E320CE">
        <w:rPr>
          <w:rFonts w:eastAsia="SimSun"/>
          <w:sz w:val="28"/>
          <w:szCs w:val="28"/>
          <w:lang w:val="es-MX"/>
        </w:rPr>
        <w:t xml:space="preserve"> o dificult</w:t>
      </w:r>
      <w:r w:rsidR="00A42B6D" w:rsidRPr="00E320CE">
        <w:rPr>
          <w:rFonts w:eastAsia="SimSun"/>
          <w:sz w:val="28"/>
          <w:szCs w:val="28"/>
          <w:lang w:val="es-MX"/>
        </w:rPr>
        <w:t>e</w:t>
      </w:r>
      <w:r w:rsidRPr="00E320CE">
        <w:rPr>
          <w:rFonts w:eastAsia="SimSun"/>
          <w:sz w:val="28"/>
          <w:szCs w:val="28"/>
          <w:lang w:val="es-MX"/>
        </w:rPr>
        <w:t xml:space="preserve"> significativamente el normal </w:t>
      </w:r>
      <w:r w:rsidR="00B179C9" w:rsidRPr="00E320CE">
        <w:rPr>
          <w:rFonts w:eastAsia="SimSun"/>
          <w:sz w:val="28"/>
          <w:szCs w:val="28"/>
          <w:lang w:val="es-MX"/>
        </w:rPr>
        <w:t xml:space="preserve">y adecuado </w:t>
      </w:r>
      <w:r w:rsidRPr="00E320CE">
        <w:rPr>
          <w:rFonts w:eastAsia="SimSun"/>
          <w:sz w:val="28"/>
          <w:szCs w:val="28"/>
          <w:lang w:val="es-MX"/>
        </w:rPr>
        <w:t>desempeño de sus funciones, (</w:t>
      </w:r>
      <w:proofErr w:type="spellStart"/>
      <w:r w:rsidRPr="00E320CE">
        <w:rPr>
          <w:rFonts w:eastAsia="SimSun"/>
          <w:sz w:val="28"/>
          <w:szCs w:val="28"/>
          <w:lang w:val="es-MX"/>
        </w:rPr>
        <w:t>ii</w:t>
      </w:r>
      <w:proofErr w:type="spellEnd"/>
      <w:r w:rsidRPr="00E320CE">
        <w:rPr>
          <w:rFonts w:eastAsia="SimSun"/>
          <w:sz w:val="28"/>
          <w:szCs w:val="28"/>
          <w:lang w:val="es-MX"/>
        </w:rPr>
        <w:t xml:space="preserve">) que </w:t>
      </w:r>
      <w:r w:rsidR="00B179C9" w:rsidRPr="00E320CE">
        <w:rPr>
          <w:rFonts w:eastAsia="SimSun"/>
          <w:sz w:val="28"/>
          <w:szCs w:val="28"/>
          <w:lang w:val="es-MX"/>
        </w:rPr>
        <w:t xml:space="preserve">el empleador </w:t>
      </w:r>
      <w:r w:rsidR="00E43FF5" w:rsidRPr="00E320CE">
        <w:rPr>
          <w:rFonts w:eastAsia="SimSun"/>
          <w:sz w:val="28"/>
          <w:szCs w:val="28"/>
          <w:lang w:val="es-MX"/>
        </w:rPr>
        <w:t>o contratista</w:t>
      </w:r>
      <w:r w:rsidR="00B179C9" w:rsidRPr="00E320CE">
        <w:rPr>
          <w:rFonts w:eastAsia="SimSun"/>
          <w:sz w:val="28"/>
          <w:szCs w:val="28"/>
          <w:lang w:val="es-MX"/>
        </w:rPr>
        <w:t xml:space="preserve"> conozca </w:t>
      </w:r>
      <w:r w:rsidRPr="00E320CE">
        <w:rPr>
          <w:rFonts w:eastAsia="SimSun"/>
          <w:sz w:val="28"/>
          <w:szCs w:val="28"/>
          <w:lang w:val="es-MX"/>
        </w:rPr>
        <w:t xml:space="preserve">la condición de salud </w:t>
      </w:r>
      <w:r w:rsidR="00B179C9" w:rsidRPr="00E320CE">
        <w:rPr>
          <w:rFonts w:eastAsia="SimSun"/>
          <w:sz w:val="28"/>
          <w:szCs w:val="28"/>
          <w:lang w:val="es-MX"/>
        </w:rPr>
        <w:t>de forma previa</w:t>
      </w:r>
      <w:r w:rsidRPr="00E320CE">
        <w:rPr>
          <w:rFonts w:eastAsia="SimSun"/>
          <w:sz w:val="28"/>
          <w:szCs w:val="28"/>
          <w:lang w:val="es-MX"/>
        </w:rPr>
        <w:t xml:space="preserve"> al momento del despido</w:t>
      </w:r>
      <w:r w:rsidR="00B179C9" w:rsidRPr="00E320CE">
        <w:rPr>
          <w:rFonts w:eastAsia="SimSun"/>
          <w:sz w:val="28"/>
          <w:szCs w:val="28"/>
          <w:lang w:val="es-MX"/>
        </w:rPr>
        <w:t>;</w:t>
      </w:r>
      <w:r w:rsidRPr="00E320CE">
        <w:rPr>
          <w:rFonts w:eastAsia="SimSun"/>
          <w:sz w:val="28"/>
          <w:szCs w:val="28"/>
          <w:lang w:val="es-MX"/>
        </w:rPr>
        <w:t xml:space="preserve"> y (</w:t>
      </w:r>
      <w:proofErr w:type="spellStart"/>
      <w:r w:rsidRPr="00E320CE">
        <w:rPr>
          <w:rFonts w:eastAsia="SimSun"/>
          <w:sz w:val="28"/>
          <w:szCs w:val="28"/>
          <w:lang w:val="es-MX"/>
        </w:rPr>
        <w:t>iii</w:t>
      </w:r>
      <w:proofErr w:type="spellEnd"/>
      <w:r w:rsidRPr="00E320CE">
        <w:rPr>
          <w:rFonts w:eastAsia="SimSun"/>
          <w:sz w:val="28"/>
          <w:szCs w:val="28"/>
          <w:lang w:val="es-MX"/>
        </w:rPr>
        <w:t xml:space="preserve">) la ausencia de una justificación para la desvinculación, de </w:t>
      </w:r>
      <w:r w:rsidR="00B179C9" w:rsidRPr="00E320CE">
        <w:rPr>
          <w:rFonts w:eastAsia="SimSun"/>
          <w:sz w:val="28"/>
          <w:szCs w:val="28"/>
          <w:lang w:val="es-MX"/>
        </w:rPr>
        <w:t>forma</w:t>
      </w:r>
      <w:r w:rsidRPr="00E320CE">
        <w:rPr>
          <w:rFonts w:eastAsia="SimSun"/>
          <w:sz w:val="28"/>
          <w:szCs w:val="28"/>
          <w:lang w:val="es-MX"/>
        </w:rPr>
        <w:t xml:space="preserve"> que sea claro que el despido </w:t>
      </w:r>
      <w:r w:rsidR="00E43FF5" w:rsidRPr="00E320CE">
        <w:rPr>
          <w:rFonts w:eastAsia="SimSun"/>
          <w:sz w:val="28"/>
          <w:szCs w:val="28"/>
          <w:lang w:val="es-MX"/>
        </w:rPr>
        <w:t>o la terminación del contrato es un acto discriminatorio</w:t>
      </w:r>
      <w:r w:rsidRPr="00E320CE">
        <w:rPr>
          <w:rStyle w:val="Refdenotaalpie"/>
          <w:rFonts w:eastAsia="SimSun"/>
          <w:sz w:val="28"/>
          <w:szCs w:val="28"/>
          <w:lang w:val="es-MX"/>
        </w:rPr>
        <w:footnoteReference w:id="118"/>
      </w:r>
      <w:r w:rsidRPr="00E320CE">
        <w:rPr>
          <w:rFonts w:eastAsia="SimSun"/>
          <w:sz w:val="28"/>
          <w:szCs w:val="28"/>
          <w:lang w:val="es-MX"/>
        </w:rPr>
        <w:t>.</w:t>
      </w:r>
      <w:r w:rsidR="00B179C9" w:rsidRPr="00E320CE">
        <w:rPr>
          <w:rFonts w:eastAsia="SimSun"/>
          <w:sz w:val="28"/>
          <w:szCs w:val="28"/>
          <w:lang w:val="es-MX"/>
        </w:rPr>
        <w:t xml:space="preserve"> En la Sentencia T-227 de 2024, esta Corporación </w:t>
      </w:r>
      <w:r w:rsidR="00B83224" w:rsidRPr="00E320CE">
        <w:rPr>
          <w:rFonts w:eastAsia="SimSun"/>
          <w:sz w:val="28"/>
          <w:szCs w:val="28"/>
          <w:lang w:val="es-MX"/>
        </w:rPr>
        <w:t>hizo referencia</w:t>
      </w:r>
      <w:r w:rsidR="00B179C9" w:rsidRPr="00E320CE">
        <w:rPr>
          <w:rFonts w:eastAsia="SimSun"/>
          <w:sz w:val="28"/>
          <w:szCs w:val="28"/>
          <w:lang w:val="es-MX"/>
        </w:rPr>
        <w:t xml:space="preserve"> </w:t>
      </w:r>
      <w:r w:rsidR="006B639B" w:rsidRPr="00E320CE">
        <w:rPr>
          <w:rFonts w:eastAsia="SimSun"/>
          <w:sz w:val="28"/>
          <w:szCs w:val="28"/>
          <w:lang w:val="es-MX"/>
        </w:rPr>
        <w:t>a</w:t>
      </w:r>
      <w:r w:rsidR="00FF0857" w:rsidRPr="00E320CE">
        <w:rPr>
          <w:rFonts w:eastAsia="SimSun"/>
          <w:sz w:val="28"/>
          <w:szCs w:val="28"/>
          <w:lang w:val="es-MX"/>
        </w:rPr>
        <w:t xml:space="preserve"> </w:t>
      </w:r>
      <w:r w:rsidR="00B179C9" w:rsidRPr="00E320CE">
        <w:rPr>
          <w:rFonts w:eastAsia="SimSun"/>
          <w:sz w:val="28"/>
          <w:szCs w:val="28"/>
          <w:lang w:val="es-MX"/>
        </w:rPr>
        <w:t xml:space="preserve">los eventos que permiten comprobar los requisitos i y </w:t>
      </w:r>
      <w:proofErr w:type="spellStart"/>
      <w:r w:rsidR="00B179C9" w:rsidRPr="00E320CE">
        <w:rPr>
          <w:rFonts w:eastAsia="SimSun"/>
          <w:sz w:val="28"/>
          <w:szCs w:val="28"/>
          <w:lang w:val="es-MX"/>
        </w:rPr>
        <w:t>ii</w:t>
      </w:r>
      <w:proofErr w:type="spellEnd"/>
      <w:r w:rsidR="00B73EF1" w:rsidRPr="00E320CE">
        <w:rPr>
          <w:rFonts w:eastAsia="SimSun"/>
          <w:sz w:val="28"/>
          <w:szCs w:val="28"/>
          <w:lang w:val="es-MX"/>
        </w:rPr>
        <w:t xml:space="preserve"> </w:t>
      </w:r>
      <w:r w:rsidR="0083049A" w:rsidRPr="00E320CE">
        <w:rPr>
          <w:rFonts w:eastAsia="SimSun"/>
          <w:sz w:val="28"/>
          <w:szCs w:val="28"/>
          <w:lang w:val="es-MX"/>
        </w:rPr>
        <w:t>a través de</w:t>
      </w:r>
      <w:r w:rsidR="00B73EF1" w:rsidRPr="00E320CE">
        <w:rPr>
          <w:rFonts w:eastAsia="SimSun"/>
          <w:sz w:val="28"/>
          <w:szCs w:val="28"/>
          <w:lang w:val="es-MX"/>
        </w:rPr>
        <w:t xml:space="preserve"> la siguiente tabla</w:t>
      </w:r>
      <w:r w:rsidR="007F6534" w:rsidRPr="00E320CE">
        <w:rPr>
          <w:rStyle w:val="Refdenotaalpie"/>
          <w:rFonts w:eastAsia="SimSun"/>
          <w:sz w:val="28"/>
          <w:szCs w:val="28"/>
          <w:lang w:val="es-MX"/>
        </w:rPr>
        <w:footnoteReference w:id="119"/>
      </w:r>
      <w:r w:rsidR="007F6534" w:rsidRPr="00E320CE">
        <w:rPr>
          <w:rFonts w:eastAsia="SimSun"/>
          <w:sz w:val="28"/>
          <w:szCs w:val="28"/>
          <w:lang w:val="es-MX"/>
        </w:rPr>
        <w:t>:</w:t>
      </w:r>
    </w:p>
    <w:p w14:paraId="14D31034" w14:textId="77777777" w:rsidR="00B179C9" w:rsidRPr="00E320CE" w:rsidRDefault="00B179C9" w:rsidP="00D66E77">
      <w:pPr>
        <w:pStyle w:val="Prrafodelista"/>
        <w:rPr>
          <w:rFonts w:eastAsia="SimSun"/>
          <w:sz w:val="28"/>
          <w:szCs w:val="28"/>
          <w:lang w:val="es-MX"/>
        </w:rPr>
      </w:pPr>
    </w:p>
    <w:tbl>
      <w:tblPr>
        <w:tblW w:w="0" w:type="auto"/>
        <w:jc w:val="center"/>
        <w:tblCellMar>
          <w:left w:w="0" w:type="dxa"/>
          <w:right w:w="0" w:type="dxa"/>
        </w:tblCellMar>
        <w:tblLook w:val="04A0" w:firstRow="1" w:lastRow="0" w:firstColumn="1" w:lastColumn="0" w:noHBand="0" w:noVBand="1"/>
      </w:tblPr>
      <w:tblGrid>
        <w:gridCol w:w="2688"/>
        <w:gridCol w:w="6130"/>
      </w:tblGrid>
      <w:tr w:rsidR="00B179C9" w:rsidRPr="00E320CE" w14:paraId="3ADE0070" w14:textId="77777777" w:rsidTr="00B179C9">
        <w:trPr>
          <w:jc w:val="center"/>
        </w:trPr>
        <w:tc>
          <w:tcPr>
            <w:tcW w:w="2689"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5F60FA4" w14:textId="77777777" w:rsidR="00B179C9" w:rsidRPr="00E320CE" w:rsidRDefault="00B179C9" w:rsidP="00D66E77">
            <w:pPr>
              <w:autoSpaceDE/>
              <w:autoSpaceDN/>
              <w:jc w:val="center"/>
              <w:rPr>
                <w:rFonts w:ascii="Calibri" w:hAnsi="Calibri" w:cs="Calibri"/>
                <w:color w:val="2D2D2D"/>
                <w:sz w:val="24"/>
                <w:szCs w:val="24"/>
                <w:lang w:val="es-CO" w:eastAsia="es-MX"/>
              </w:rPr>
            </w:pPr>
            <w:r w:rsidRPr="00E320CE">
              <w:rPr>
                <w:b/>
                <w:color w:val="000000"/>
                <w:sz w:val="24"/>
                <w:szCs w:val="24"/>
                <w:lang w:val="es-ES_tradnl" w:eastAsia="es-MX"/>
              </w:rPr>
              <w:t>Supuesto</w:t>
            </w:r>
          </w:p>
        </w:tc>
        <w:tc>
          <w:tcPr>
            <w:tcW w:w="6139"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3BC2CA77" w14:textId="77777777" w:rsidR="00B179C9" w:rsidRPr="00E320CE" w:rsidRDefault="00B179C9" w:rsidP="00D66E77">
            <w:pPr>
              <w:autoSpaceDE/>
              <w:autoSpaceDN/>
              <w:spacing w:after="160"/>
              <w:jc w:val="center"/>
              <w:rPr>
                <w:rFonts w:ascii="Calibri" w:hAnsi="Calibri" w:cs="Calibri"/>
                <w:color w:val="2D2D2D"/>
                <w:sz w:val="24"/>
                <w:szCs w:val="24"/>
                <w:lang w:val="es-CO" w:eastAsia="es-MX"/>
              </w:rPr>
            </w:pPr>
            <w:r w:rsidRPr="00E320CE">
              <w:rPr>
                <w:b/>
                <w:color w:val="000000"/>
                <w:sz w:val="24"/>
                <w:szCs w:val="24"/>
                <w:lang w:val="es-ES_tradnl" w:eastAsia="es-MX"/>
              </w:rPr>
              <w:t>Eventos que permiten acreditarlo</w:t>
            </w:r>
          </w:p>
        </w:tc>
      </w:tr>
      <w:tr w:rsidR="00B179C9" w:rsidRPr="00E320CE" w14:paraId="7CD50BFB" w14:textId="77777777" w:rsidTr="00B179C9">
        <w:trPr>
          <w:jc w:val="center"/>
        </w:trPr>
        <w:tc>
          <w:tcPr>
            <w:tcW w:w="26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1C38DEB" w14:textId="77777777" w:rsidR="00B179C9" w:rsidRPr="00E320CE" w:rsidRDefault="00B179C9" w:rsidP="00D66E77">
            <w:pPr>
              <w:autoSpaceDE/>
              <w:autoSpaceDN/>
              <w:spacing w:after="160"/>
              <w:jc w:val="center"/>
              <w:rPr>
                <w:rFonts w:ascii="Calibri" w:hAnsi="Calibri" w:cs="Calibri"/>
                <w:color w:val="2D2D2D"/>
                <w:sz w:val="24"/>
                <w:szCs w:val="24"/>
                <w:lang w:val="es-CO" w:eastAsia="es-MX"/>
              </w:rPr>
            </w:pPr>
            <w:r w:rsidRPr="00E320CE">
              <w:rPr>
                <w:color w:val="000000"/>
                <w:sz w:val="24"/>
                <w:szCs w:val="24"/>
                <w:lang w:val="es-ES_tradnl" w:eastAsia="es-MX"/>
              </w:rPr>
              <w:t>Condición de salud que impide significativamente el normal desempeño laboral</w:t>
            </w:r>
          </w:p>
        </w:tc>
        <w:tc>
          <w:tcPr>
            <w:tcW w:w="6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821404" w14:textId="1CD9A57B" w:rsidR="00B179C9" w:rsidRPr="00E320CE" w:rsidRDefault="00B179C9" w:rsidP="00D66E77">
            <w:pPr>
              <w:autoSpaceDE/>
              <w:autoSpaceDN/>
              <w:spacing w:after="160"/>
              <w:jc w:val="both"/>
              <w:rPr>
                <w:rFonts w:ascii="Calibri" w:hAnsi="Calibri" w:cs="Calibri"/>
                <w:color w:val="2D2D2D"/>
                <w:sz w:val="24"/>
                <w:szCs w:val="24"/>
                <w:lang w:val="es-CO" w:eastAsia="es-MX"/>
              </w:rPr>
            </w:pPr>
            <w:r w:rsidRPr="00E320CE">
              <w:rPr>
                <w:color w:val="000000"/>
                <w:sz w:val="24"/>
                <w:szCs w:val="24"/>
                <w:lang w:val="es-US" w:eastAsia="es-MX"/>
              </w:rPr>
              <w:t>(a) En el examen médico de retiro se advierte sobre la enfermedad o al momento del despido existen recomendaciones médicas o se presentó incapacidad médica durante días antes del despido.</w:t>
            </w:r>
          </w:p>
          <w:p w14:paraId="2446986C" w14:textId="29BB28C5" w:rsidR="00B179C9" w:rsidRPr="00E320CE" w:rsidRDefault="00B179C9" w:rsidP="00D66E77">
            <w:pPr>
              <w:autoSpaceDE/>
              <w:autoSpaceDN/>
              <w:jc w:val="both"/>
              <w:rPr>
                <w:rFonts w:ascii="Calibri" w:hAnsi="Calibri" w:cs="Calibri"/>
                <w:color w:val="2D2D2D"/>
                <w:sz w:val="24"/>
                <w:szCs w:val="24"/>
                <w:lang w:val="es-CO" w:eastAsia="es-MX"/>
              </w:rPr>
            </w:pPr>
            <w:r w:rsidRPr="00E320CE">
              <w:rPr>
                <w:color w:val="000000"/>
                <w:sz w:val="24"/>
                <w:szCs w:val="24"/>
                <w:lang w:val="es-US" w:eastAsia="es-MX"/>
              </w:rPr>
              <w:t>(b) Existe incapacidad médica de varios días vigente al momento de la terminación de la relación laboral.</w:t>
            </w:r>
          </w:p>
          <w:p w14:paraId="43523F33" w14:textId="77777777" w:rsidR="00B179C9" w:rsidRPr="00E320CE" w:rsidRDefault="00B179C9" w:rsidP="00D66E77">
            <w:pPr>
              <w:autoSpaceDE/>
              <w:autoSpaceDN/>
              <w:jc w:val="both"/>
              <w:rPr>
                <w:rFonts w:ascii="Calibri" w:hAnsi="Calibri" w:cs="Calibri"/>
                <w:color w:val="2D2D2D"/>
                <w:sz w:val="24"/>
                <w:szCs w:val="24"/>
                <w:lang w:val="es-CO" w:eastAsia="es-MX"/>
              </w:rPr>
            </w:pPr>
            <w:r w:rsidRPr="00E320CE">
              <w:rPr>
                <w:color w:val="000000"/>
                <w:sz w:val="24"/>
                <w:szCs w:val="24"/>
                <w:lang w:val="es-ES_tradnl" w:eastAsia="es-MX"/>
              </w:rPr>
              <w:t> </w:t>
            </w:r>
          </w:p>
          <w:p w14:paraId="454F6ACF" w14:textId="64AE11A9" w:rsidR="00B179C9" w:rsidRPr="00E320CE" w:rsidRDefault="00B179C9" w:rsidP="00D66E77">
            <w:pPr>
              <w:autoSpaceDE/>
              <w:autoSpaceDN/>
              <w:jc w:val="both"/>
              <w:rPr>
                <w:rFonts w:ascii="Calibri" w:hAnsi="Calibri" w:cs="Calibri"/>
                <w:color w:val="2D2D2D"/>
                <w:sz w:val="24"/>
                <w:szCs w:val="24"/>
                <w:lang w:val="es-CO" w:eastAsia="es-MX"/>
              </w:rPr>
            </w:pPr>
            <w:r w:rsidRPr="00E320CE">
              <w:rPr>
                <w:color w:val="000000"/>
                <w:sz w:val="24"/>
                <w:szCs w:val="24"/>
                <w:lang w:val="es-US" w:eastAsia="es-MX"/>
              </w:rPr>
              <w:t xml:space="preserve">(c) </w:t>
            </w:r>
            <w:r w:rsidRPr="00E320CE">
              <w:rPr>
                <w:color w:val="000000"/>
                <w:sz w:val="24"/>
                <w:szCs w:val="24"/>
                <w:u w:val="single"/>
                <w:lang w:val="es-US" w:eastAsia="es-MX"/>
              </w:rPr>
              <w:t>Se presenta el diagnóstico de una enfermedad y el consecuente tratamiento médico.</w:t>
            </w:r>
          </w:p>
          <w:p w14:paraId="12C15487" w14:textId="77777777" w:rsidR="00B179C9" w:rsidRPr="00E320CE" w:rsidRDefault="00B179C9" w:rsidP="00D66E77">
            <w:pPr>
              <w:autoSpaceDE/>
              <w:autoSpaceDN/>
              <w:jc w:val="both"/>
              <w:rPr>
                <w:rFonts w:ascii="Calibri" w:hAnsi="Calibri" w:cs="Calibri"/>
                <w:color w:val="2D2D2D"/>
                <w:sz w:val="24"/>
                <w:szCs w:val="24"/>
                <w:lang w:val="es-CO" w:eastAsia="es-MX"/>
              </w:rPr>
            </w:pPr>
            <w:r w:rsidRPr="00E320CE">
              <w:rPr>
                <w:color w:val="000000"/>
                <w:sz w:val="24"/>
                <w:szCs w:val="24"/>
                <w:lang w:val="es-ES_tradnl" w:eastAsia="es-MX"/>
              </w:rPr>
              <w:t> </w:t>
            </w:r>
          </w:p>
          <w:p w14:paraId="1DD483E8" w14:textId="04E86028" w:rsidR="00B179C9" w:rsidRPr="00E320CE" w:rsidRDefault="00B179C9" w:rsidP="00D66E77">
            <w:pPr>
              <w:autoSpaceDE/>
              <w:autoSpaceDN/>
              <w:spacing w:after="160"/>
              <w:jc w:val="both"/>
              <w:rPr>
                <w:rFonts w:ascii="Calibri" w:hAnsi="Calibri" w:cs="Calibri"/>
                <w:color w:val="2D2D2D"/>
                <w:sz w:val="24"/>
                <w:szCs w:val="24"/>
                <w:lang w:val="es-CO" w:eastAsia="es-MX"/>
              </w:rPr>
            </w:pPr>
            <w:r w:rsidRPr="00E320CE">
              <w:rPr>
                <w:color w:val="000000"/>
                <w:sz w:val="24"/>
                <w:szCs w:val="24"/>
                <w:lang w:val="es-US" w:eastAsia="es-MX"/>
              </w:rPr>
              <w:t>(d) Existe el diagnóstico médico de una enfermedad efectuado durante el último mes del despido, dicha enfermedad es causada por un accidente de trabajo que genera consecuentes incapacidades médicas anteriores a la fecha de terminación de la vinculación, y la calificación de PCL tiene lugar antes del despido.</w:t>
            </w:r>
          </w:p>
        </w:tc>
      </w:tr>
      <w:tr w:rsidR="00B179C9" w:rsidRPr="00E320CE" w14:paraId="54E08C07" w14:textId="77777777" w:rsidTr="00B179C9">
        <w:trPr>
          <w:jc w:val="center"/>
        </w:trPr>
        <w:tc>
          <w:tcPr>
            <w:tcW w:w="26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399EF0" w14:textId="77777777" w:rsidR="00B179C9" w:rsidRPr="00E320CE" w:rsidRDefault="00B179C9" w:rsidP="00D66E77">
            <w:pPr>
              <w:autoSpaceDE/>
              <w:autoSpaceDN/>
              <w:spacing w:after="160"/>
              <w:jc w:val="center"/>
              <w:rPr>
                <w:rFonts w:ascii="Calibri" w:hAnsi="Calibri" w:cs="Calibri"/>
                <w:color w:val="2D2D2D"/>
                <w:sz w:val="24"/>
                <w:szCs w:val="24"/>
                <w:lang w:val="es-CO" w:eastAsia="es-MX"/>
              </w:rPr>
            </w:pPr>
            <w:r w:rsidRPr="00E320CE">
              <w:rPr>
                <w:color w:val="000000"/>
                <w:sz w:val="24"/>
                <w:szCs w:val="24"/>
                <w:lang w:val="es-ES_tradnl" w:eastAsia="es-MX"/>
              </w:rPr>
              <w:t>Afectación psicológica o psiquiátrica que impida significativamente el normal desempeño laboral</w:t>
            </w:r>
          </w:p>
        </w:tc>
        <w:tc>
          <w:tcPr>
            <w:tcW w:w="6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BF5DC3" w14:textId="09735CC8" w:rsidR="00B179C9" w:rsidRPr="00E320CE" w:rsidRDefault="00B179C9" w:rsidP="00D66E77">
            <w:pPr>
              <w:autoSpaceDE/>
              <w:autoSpaceDN/>
              <w:spacing w:after="160"/>
              <w:jc w:val="both"/>
              <w:rPr>
                <w:rFonts w:ascii="Calibri" w:hAnsi="Calibri" w:cs="Calibri"/>
                <w:color w:val="2D2D2D"/>
                <w:sz w:val="24"/>
                <w:szCs w:val="24"/>
                <w:lang w:val="es-CO" w:eastAsia="es-MX"/>
              </w:rPr>
            </w:pPr>
            <w:r w:rsidRPr="00E320CE">
              <w:rPr>
                <w:color w:val="000000"/>
                <w:sz w:val="24"/>
                <w:szCs w:val="24"/>
                <w:lang w:val="es-US" w:eastAsia="es-MX"/>
              </w:rPr>
              <w:t xml:space="preserve">(a) </w:t>
            </w:r>
            <w:r w:rsidRPr="00E320CE">
              <w:rPr>
                <w:color w:val="000000"/>
                <w:sz w:val="24"/>
                <w:szCs w:val="24"/>
                <w:u w:val="single"/>
                <w:lang w:val="es-US" w:eastAsia="es-MX"/>
              </w:rPr>
              <w:t>El estrés laboral gener</w:t>
            </w:r>
            <w:r w:rsidR="005C66C9" w:rsidRPr="00E320CE">
              <w:rPr>
                <w:color w:val="000000"/>
                <w:sz w:val="24"/>
                <w:szCs w:val="24"/>
                <w:u w:val="single"/>
                <w:lang w:val="es-US" w:eastAsia="es-MX"/>
              </w:rPr>
              <w:t>a</w:t>
            </w:r>
            <w:r w:rsidRPr="00E320CE">
              <w:rPr>
                <w:color w:val="000000"/>
                <w:sz w:val="24"/>
                <w:szCs w:val="24"/>
                <w:u w:val="single"/>
                <w:lang w:val="es-US" w:eastAsia="es-MX"/>
              </w:rPr>
              <w:t xml:space="preserve"> quebrantos de salud física y mental.</w:t>
            </w:r>
          </w:p>
          <w:p w14:paraId="257CB252" w14:textId="41605F59" w:rsidR="00B179C9" w:rsidRPr="00E320CE" w:rsidRDefault="00B179C9" w:rsidP="00D66E77">
            <w:pPr>
              <w:autoSpaceDE/>
              <w:autoSpaceDN/>
              <w:jc w:val="both"/>
              <w:rPr>
                <w:rFonts w:ascii="Calibri" w:hAnsi="Calibri" w:cs="Calibri"/>
                <w:color w:val="2D2D2D"/>
                <w:sz w:val="24"/>
                <w:szCs w:val="24"/>
                <w:lang w:val="es-CO" w:eastAsia="es-MX"/>
              </w:rPr>
            </w:pPr>
            <w:r w:rsidRPr="00E320CE">
              <w:rPr>
                <w:color w:val="000000"/>
                <w:sz w:val="24"/>
                <w:szCs w:val="24"/>
                <w:lang w:val="es-US" w:eastAsia="es-MX"/>
              </w:rPr>
              <w:t xml:space="preserve">(b) </w:t>
            </w:r>
            <w:r w:rsidRPr="00E320CE">
              <w:rPr>
                <w:color w:val="000000"/>
                <w:sz w:val="24"/>
                <w:szCs w:val="24"/>
                <w:u w:val="single"/>
                <w:lang w:val="es-US" w:eastAsia="es-MX"/>
              </w:rPr>
              <w:t>Al momento de la terminación de la relación laboral el actor se encuentre en tratamiento médico y presente diferentes incapacidades, y recomendaciones laborales.</w:t>
            </w:r>
            <w:r w:rsidRPr="00E320CE">
              <w:rPr>
                <w:color w:val="000000"/>
                <w:sz w:val="24"/>
                <w:szCs w:val="24"/>
                <w:lang w:val="es-US" w:eastAsia="es-MX"/>
              </w:rPr>
              <w:t xml:space="preserve"> Cuando, además, el accionante informe al empleador, antes del despido, que su bajo rendimiento se debe a la condición de salud, y que después de la terminación de la vinculación continúe la enfermedad.</w:t>
            </w:r>
          </w:p>
          <w:p w14:paraId="3BD1C6C5" w14:textId="77777777" w:rsidR="00B179C9" w:rsidRPr="00E320CE" w:rsidRDefault="00B179C9" w:rsidP="00D66E77">
            <w:pPr>
              <w:autoSpaceDE/>
              <w:autoSpaceDN/>
              <w:jc w:val="both"/>
              <w:rPr>
                <w:rFonts w:ascii="Calibri" w:hAnsi="Calibri" w:cs="Calibri"/>
                <w:color w:val="2D2D2D"/>
                <w:sz w:val="24"/>
                <w:szCs w:val="24"/>
                <w:lang w:val="es-CO" w:eastAsia="es-MX"/>
              </w:rPr>
            </w:pPr>
            <w:r w:rsidRPr="00E320CE">
              <w:rPr>
                <w:color w:val="000000"/>
                <w:sz w:val="24"/>
                <w:szCs w:val="24"/>
                <w:lang w:val="es-ES_tradnl" w:eastAsia="es-MX"/>
              </w:rPr>
              <w:t> </w:t>
            </w:r>
          </w:p>
          <w:p w14:paraId="79C34FFD" w14:textId="46E612D3" w:rsidR="00B179C9" w:rsidRPr="00E320CE" w:rsidRDefault="00B179C9" w:rsidP="00D66E77">
            <w:pPr>
              <w:autoSpaceDE/>
              <w:autoSpaceDN/>
              <w:spacing w:after="160"/>
              <w:jc w:val="both"/>
              <w:rPr>
                <w:rFonts w:ascii="Calibri" w:hAnsi="Calibri" w:cs="Calibri"/>
                <w:color w:val="2D2D2D"/>
                <w:sz w:val="24"/>
                <w:szCs w:val="24"/>
                <w:lang w:val="es-CO" w:eastAsia="es-MX"/>
              </w:rPr>
            </w:pPr>
            <w:r w:rsidRPr="00E320CE">
              <w:rPr>
                <w:color w:val="000000"/>
                <w:sz w:val="24"/>
                <w:szCs w:val="24"/>
                <w:lang w:val="es-US" w:eastAsia="es-MX"/>
              </w:rPr>
              <w:t>(c) El estrés laboral cause quebrantos de salud física y mental y, además, se cuente con un porcentaje de PCL.</w:t>
            </w:r>
          </w:p>
        </w:tc>
      </w:tr>
      <w:tr w:rsidR="00B179C9" w:rsidRPr="00E320CE" w14:paraId="16F1F58E" w14:textId="77777777" w:rsidTr="00B179C9">
        <w:trPr>
          <w:jc w:val="center"/>
        </w:trPr>
        <w:tc>
          <w:tcPr>
            <w:tcW w:w="26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568D0C5" w14:textId="77777777" w:rsidR="00B179C9" w:rsidRPr="00E320CE" w:rsidRDefault="00B179C9" w:rsidP="00D66E77">
            <w:pPr>
              <w:autoSpaceDE/>
              <w:autoSpaceDN/>
              <w:spacing w:after="160"/>
              <w:jc w:val="center"/>
              <w:rPr>
                <w:rFonts w:ascii="Calibri" w:hAnsi="Calibri" w:cs="Calibri"/>
                <w:color w:val="2D2D2D"/>
                <w:sz w:val="24"/>
                <w:szCs w:val="24"/>
                <w:lang w:val="es-CO" w:eastAsia="es-MX"/>
              </w:rPr>
            </w:pPr>
            <w:r w:rsidRPr="00E320CE">
              <w:rPr>
                <w:color w:val="000000"/>
                <w:sz w:val="24"/>
                <w:szCs w:val="24"/>
                <w:lang w:val="es-ES_tradnl" w:eastAsia="es-MX"/>
              </w:rPr>
              <w:t>Inexistencia de una condición de salud que impida significativamente el normal desempeño laboral</w:t>
            </w:r>
          </w:p>
        </w:tc>
        <w:tc>
          <w:tcPr>
            <w:tcW w:w="6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84F0D3" w14:textId="29369ECB" w:rsidR="00B179C9" w:rsidRPr="00E320CE" w:rsidRDefault="00B179C9" w:rsidP="00D66E77">
            <w:pPr>
              <w:autoSpaceDE/>
              <w:autoSpaceDN/>
              <w:spacing w:after="160"/>
              <w:jc w:val="both"/>
              <w:rPr>
                <w:rFonts w:ascii="Calibri" w:hAnsi="Calibri" w:cs="Calibri"/>
                <w:color w:val="2D2D2D"/>
                <w:sz w:val="24"/>
                <w:szCs w:val="24"/>
                <w:lang w:val="es-CO" w:eastAsia="es-MX"/>
              </w:rPr>
            </w:pPr>
            <w:r w:rsidRPr="00E320CE">
              <w:rPr>
                <w:color w:val="000000"/>
                <w:sz w:val="24"/>
                <w:szCs w:val="24"/>
                <w:lang w:val="es-US" w:eastAsia="es-MX"/>
              </w:rPr>
              <w:t>(a) No se demuestra la relación entre el despido y las afecciones en salud, y la PCL es de un 0%.</w:t>
            </w:r>
          </w:p>
          <w:p w14:paraId="5117BE72" w14:textId="2F7693D6" w:rsidR="00B179C9" w:rsidRPr="00E320CE" w:rsidRDefault="00B179C9" w:rsidP="00D66E77">
            <w:pPr>
              <w:autoSpaceDE/>
              <w:autoSpaceDN/>
              <w:spacing w:after="160"/>
              <w:jc w:val="both"/>
              <w:rPr>
                <w:rFonts w:ascii="Calibri" w:hAnsi="Calibri" w:cs="Calibri"/>
                <w:color w:val="2D2D2D"/>
                <w:sz w:val="24"/>
                <w:szCs w:val="24"/>
                <w:lang w:val="es-CO" w:eastAsia="es-MX"/>
              </w:rPr>
            </w:pPr>
            <w:r w:rsidRPr="00E320CE">
              <w:rPr>
                <w:color w:val="000000"/>
                <w:sz w:val="24"/>
                <w:szCs w:val="24"/>
                <w:lang w:val="es-US" w:eastAsia="es-MX"/>
              </w:rPr>
              <w:t>(b) El accionante no presenta incapacidad médica durante el último año de trabajo, y solo debe asistir a controles por un antecedente médico, pero no a un tratamiento médico en sentido estricto.</w:t>
            </w:r>
          </w:p>
        </w:tc>
      </w:tr>
    </w:tbl>
    <w:p w14:paraId="23D0CC37" w14:textId="75FCE306" w:rsidR="00B179C9" w:rsidRPr="00E320CE" w:rsidRDefault="00B179C9" w:rsidP="00D66E77">
      <w:pPr>
        <w:autoSpaceDE/>
        <w:autoSpaceDN/>
        <w:jc w:val="both"/>
        <w:rPr>
          <w:rFonts w:ascii="Calibri" w:hAnsi="Calibri" w:cs="Calibri"/>
          <w:color w:val="2D2D2D"/>
          <w:sz w:val="22"/>
          <w:szCs w:val="22"/>
          <w:lang w:val="es-CO" w:eastAsia="es-MX"/>
        </w:rPr>
      </w:pPr>
    </w:p>
    <w:tbl>
      <w:tblPr>
        <w:tblW w:w="0" w:type="auto"/>
        <w:jc w:val="center"/>
        <w:tblCellMar>
          <w:left w:w="0" w:type="dxa"/>
          <w:right w:w="0" w:type="dxa"/>
        </w:tblCellMar>
        <w:tblLook w:val="04A0" w:firstRow="1" w:lastRow="0" w:firstColumn="1" w:lastColumn="0" w:noHBand="0" w:noVBand="1"/>
      </w:tblPr>
      <w:tblGrid>
        <w:gridCol w:w="4591"/>
        <w:gridCol w:w="4227"/>
      </w:tblGrid>
      <w:tr w:rsidR="00B179C9" w:rsidRPr="00E320CE" w14:paraId="0EDBDF52" w14:textId="77777777" w:rsidTr="00B179C9">
        <w:trPr>
          <w:jc w:val="center"/>
        </w:trPr>
        <w:tc>
          <w:tcPr>
            <w:tcW w:w="4599"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C370E6F" w14:textId="79C2BEFE" w:rsidR="00B179C9" w:rsidRPr="00E320CE" w:rsidRDefault="00B179C9" w:rsidP="00D66E77">
            <w:pPr>
              <w:autoSpaceDE/>
              <w:autoSpaceDN/>
              <w:spacing w:after="160"/>
              <w:jc w:val="center"/>
              <w:rPr>
                <w:rFonts w:ascii="Calibri" w:hAnsi="Calibri" w:cs="Calibri"/>
                <w:color w:val="2D2D2D"/>
                <w:sz w:val="24"/>
                <w:szCs w:val="24"/>
                <w:lang w:val="es-CO" w:eastAsia="es-MX"/>
              </w:rPr>
            </w:pPr>
            <w:r w:rsidRPr="00E320CE">
              <w:rPr>
                <w:b/>
                <w:color w:val="000000"/>
                <w:sz w:val="24"/>
                <w:szCs w:val="24"/>
                <w:lang w:val="es-US" w:eastAsia="es-MX"/>
              </w:rPr>
              <w:t>Eventos que acreditan el conocimiento</w:t>
            </w:r>
            <w:r w:rsidR="00D66E77" w:rsidRPr="00E320CE">
              <w:rPr>
                <w:b/>
                <w:color w:val="000000"/>
                <w:sz w:val="24"/>
                <w:szCs w:val="24"/>
                <w:lang w:val="es-US" w:eastAsia="es-MX"/>
              </w:rPr>
              <w:t xml:space="preserve"> del empleador, </w:t>
            </w:r>
            <w:r w:rsidR="00D66E77" w:rsidRPr="00E320CE">
              <w:rPr>
                <w:b/>
                <w:color w:val="000000"/>
                <w:sz w:val="24"/>
                <w:szCs w:val="24"/>
                <w:lang w:val="es-CO" w:eastAsia="es-MX"/>
              </w:rPr>
              <w:t>previo al despido, sobre la situación de debilidad manifiesta:</w:t>
            </w:r>
          </w:p>
        </w:tc>
        <w:tc>
          <w:tcPr>
            <w:tcW w:w="423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7317180" w14:textId="77777777" w:rsidR="00B179C9" w:rsidRPr="00E320CE" w:rsidRDefault="00B179C9" w:rsidP="00D66E77">
            <w:pPr>
              <w:autoSpaceDE/>
              <w:autoSpaceDN/>
              <w:spacing w:after="160"/>
              <w:jc w:val="center"/>
              <w:rPr>
                <w:rFonts w:ascii="Calibri" w:hAnsi="Calibri" w:cs="Calibri"/>
                <w:color w:val="2D2D2D"/>
                <w:sz w:val="24"/>
                <w:szCs w:val="24"/>
                <w:lang w:val="es-CO" w:eastAsia="es-MX"/>
              </w:rPr>
            </w:pPr>
            <w:r w:rsidRPr="00E320CE">
              <w:rPr>
                <w:b/>
                <w:color w:val="000000"/>
                <w:sz w:val="24"/>
                <w:szCs w:val="24"/>
                <w:lang w:val="es-US" w:eastAsia="es-MX"/>
              </w:rPr>
              <w:t>Eventos que descartan el conocimiento</w:t>
            </w:r>
          </w:p>
        </w:tc>
      </w:tr>
      <w:tr w:rsidR="00B179C9" w:rsidRPr="00E320CE" w14:paraId="3DDA7A11" w14:textId="77777777" w:rsidTr="00B179C9">
        <w:trPr>
          <w:jc w:val="center"/>
        </w:trPr>
        <w:tc>
          <w:tcPr>
            <w:tcW w:w="45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412F986" w14:textId="77777777" w:rsidR="00B179C9" w:rsidRPr="00E320CE" w:rsidRDefault="00B179C9" w:rsidP="00D66E77">
            <w:pPr>
              <w:autoSpaceDE/>
              <w:autoSpaceDN/>
              <w:ind w:left="380" w:hanging="360"/>
              <w:jc w:val="both"/>
              <w:rPr>
                <w:rFonts w:ascii="Calibri" w:hAnsi="Calibri" w:cs="Calibri"/>
                <w:color w:val="2D2D2D"/>
                <w:sz w:val="24"/>
                <w:szCs w:val="24"/>
                <w:lang w:val="es-CO" w:eastAsia="es-MX"/>
              </w:rPr>
            </w:pPr>
            <w:r w:rsidRPr="00E320CE">
              <w:rPr>
                <w:color w:val="000000"/>
                <w:sz w:val="24"/>
                <w:szCs w:val="24"/>
                <w:lang w:val="es-ES_tradnl" w:eastAsia="es-MX"/>
              </w:rPr>
              <w:t>(a)  La enfermedad presenta síntomas que la hacen notoria. </w:t>
            </w:r>
          </w:p>
          <w:p w14:paraId="06FB4E05" w14:textId="77777777" w:rsidR="00B179C9" w:rsidRPr="00E320CE" w:rsidRDefault="00B179C9" w:rsidP="00D66E77">
            <w:pPr>
              <w:autoSpaceDE/>
              <w:autoSpaceDN/>
              <w:ind w:left="380"/>
              <w:jc w:val="both"/>
              <w:rPr>
                <w:rFonts w:ascii="Calibri" w:hAnsi="Calibri" w:cs="Calibri"/>
                <w:color w:val="2D2D2D"/>
                <w:sz w:val="24"/>
                <w:szCs w:val="24"/>
                <w:lang w:val="es-CO" w:eastAsia="es-MX"/>
              </w:rPr>
            </w:pPr>
            <w:r w:rsidRPr="00E320CE">
              <w:rPr>
                <w:color w:val="000000"/>
                <w:sz w:val="24"/>
                <w:szCs w:val="24"/>
                <w:lang w:val="es-ES_tradnl" w:eastAsia="es-MX"/>
              </w:rPr>
              <w:lastRenderedPageBreak/>
              <w:t> </w:t>
            </w:r>
          </w:p>
          <w:p w14:paraId="71ECBC1A" w14:textId="77777777" w:rsidR="00B179C9" w:rsidRPr="00E320CE" w:rsidRDefault="00B179C9" w:rsidP="00D66E77">
            <w:pPr>
              <w:autoSpaceDE/>
              <w:autoSpaceDN/>
              <w:ind w:left="380" w:hanging="360"/>
              <w:jc w:val="both"/>
              <w:rPr>
                <w:rFonts w:ascii="Calibri" w:hAnsi="Calibri" w:cs="Calibri"/>
                <w:color w:val="2D2D2D"/>
                <w:sz w:val="24"/>
                <w:szCs w:val="24"/>
                <w:lang w:val="es-CO" w:eastAsia="es-MX"/>
              </w:rPr>
            </w:pPr>
            <w:r w:rsidRPr="00E320CE">
              <w:rPr>
                <w:color w:val="000000"/>
                <w:sz w:val="24"/>
                <w:szCs w:val="24"/>
                <w:lang w:val="es-ES_tradnl" w:eastAsia="es-MX"/>
              </w:rPr>
              <w:t>(b) El empleador tramita incapacidades médicas del funcionario, quien después del periodo de incapacidad solicita permisos para asistir a citas médicas, y debe cumplir recomendaciones de medicina laboral. </w:t>
            </w:r>
          </w:p>
          <w:p w14:paraId="21F92AAE" w14:textId="77777777" w:rsidR="00B179C9" w:rsidRPr="00E320CE" w:rsidRDefault="00B179C9" w:rsidP="00D66E77">
            <w:pPr>
              <w:autoSpaceDE/>
              <w:autoSpaceDN/>
              <w:ind w:left="380"/>
              <w:jc w:val="both"/>
              <w:rPr>
                <w:rFonts w:ascii="Calibri" w:hAnsi="Calibri" w:cs="Calibri"/>
                <w:color w:val="2D2D2D"/>
                <w:sz w:val="24"/>
                <w:szCs w:val="24"/>
                <w:lang w:val="es-CO" w:eastAsia="es-MX"/>
              </w:rPr>
            </w:pPr>
            <w:r w:rsidRPr="00E320CE">
              <w:rPr>
                <w:color w:val="000000"/>
                <w:sz w:val="24"/>
                <w:szCs w:val="24"/>
                <w:lang w:val="es-ES_tradnl" w:eastAsia="es-MX"/>
              </w:rPr>
              <w:t> </w:t>
            </w:r>
          </w:p>
          <w:p w14:paraId="6EE72B00" w14:textId="77777777" w:rsidR="00B179C9" w:rsidRPr="00E320CE" w:rsidRDefault="00B179C9" w:rsidP="00D66E77">
            <w:pPr>
              <w:autoSpaceDE/>
              <w:autoSpaceDN/>
              <w:ind w:left="380" w:hanging="360"/>
              <w:jc w:val="both"/>
              <w:rPr>
                <w:rFonts w:ascii="Calibri" w:hAnsi="Calibri" w:cs="Calibri"/>
                <w:color w:val="2D2D2D"/>
                <w:sz w:val="24"/>
                <w:szCs w:val="24"/>
                <w:lang w:val="es-CO" w:eastAsia="es-MX"/>
              </w:rPr>
            </w:pPr>
            <w:r w:rsidRPr="00E320CE">
              <w:rPr>
                <w:color w:val="000000"/>
                <w:sz w:val="24"/>
                <w:szCs w:val="24"/>
                <w:lang w:val="es-ES_tradnl" w:eastAsia="es-MX"/>
              </w:rPr>
              <w:t>(c)  El accionante es despedido durante un periodo de incapacidad médica de varios días, por una enfermedad que generó la necesidad de asistir a diferentes citas médicas durante la relación laboral. </w:t>
            </w:r>
          </w:p>
          <w:p w14:paraId="35699E61" w14:textId="77777777" w:rsidR="00B179C9" w:rsidRPr="00E320CE" w:rsidRDefault="00B179C9" w:rsidP="00D66E77">
            <w:pPr>
              <w:autoSpaceDE/>
              <w:autoSpaceDN/>
              <w:ind w:left="380"/>
              <w:jc w:val="both"/>
              <w:rPr>
                <w:rFonts w:ascii="Calibri" w:hAnsi="Calibri" w:cs="Calibri"/>
                <w:color w:val="2D2D2D"/>
                <w:sz w:val="24"/>
                <w:szCs w:val="24"/>
                <w:lang w:val="es-CO" w:eastAsia="es-MX"/>
              </w:rPr>
            </w:pPr>
            <w:r w:rsidRPr="00E320CE">
              <w:rPr>
                <w:color w:val="000000"/>
                <w:sz w:val="24"/>
                <w:szCs w:val="24"/>
                <w:lang w:val="es-ES_tradnl" w:eastAsia="es-MX"/>
              </w:rPr>
              <w:t> </w:t>
            </w:r>
          </w:p>
          <w:p w14:paraId="2FEDC0FD" w14:textId="77777777" w:rsidR="00B179C9" w:rsidRPr="00E320CE" w:rsidRDefault="00B179C9" w:rsidP="00D66E77">
            <w:pPr>
              <w:autoSpaceDE/>
              <w:autoSpaceDN/>
              <w:ind w:left="380" w:hanging="360"/>
              <w:jc w:val="both"/>
              <w:rPr>
                <w:rFonts w:ascii="Calibri" w:hAnsi="Calibri" w:cs="Calibri"/>
                <w:color w:val="2D2D2D"/>
                <w:sz w:val="24"/>
                <w:szCs w:val="24"/>
                <w:lang w:val="es-CO" w:eastAsia="es-MX"/>
              </w:rPr>
            </w:pPr>
            <w:r w:rsidRPr="00E320CE">
              <w:rPr>
                <w:color w:val="000000"/>
                <w:sz w:val="24"/>
                <w:szCs w:val="24"/>
                <w:lang w:val="es-US" w:eastAsia="es-MX"/>
              </w:rPr>
              <w:t>(d) El accionante prueba que tuvo un accidente de trabajo durante los últimos meses de la relación, que le generó una serie de incapacidades y la calificación de un porcentaje de PCL antes de la terminación del contrato.</w:t>
            </w:r>
          </w:p>
          <w:p w14:paraId="4F1163E7" w14:textId="77777777" w:rsidR="00B179C9" w:rsidRPr="00E320CE" w:rsidRDefault="00B179C9" w:rsidP="00D66E77">
            <w:pPr>
              <w:autoSpaceDE/>
              <w:autoSpaceDN/>
              <w:ind w:left="380"/>
              <w:jc w:val="both"/>
              <w:rPr>
                <w:rFonts w:ascii="Calibri" w:hAnsi="Calibri" w:cs="Calibri"/>
                <w:color w:val="2D2D2D"/>
                <w:sz w:val="24"/>
                <w:szCs w:val="24"/>
                <w:lang w:val="es-CO" w:eastAsia="es-MX"/>
              </w:rPr>
            </w:pPr>
            <w:r w:rsidRPr="00E320CE">
              <w:rPr>
                <w:color w:val="000000"/>
                <w:sz w:val="24"/>
                <w:szCs w:val="24"/>
                <w:lang w:val="es-ES_tradnl" w:eastAsia="es-MX"/>
              </w:rPr>
              <w:t> </w:t>
            </w:r>
          </w:p>
          <w:p w14:paraId="69328562" w14:textId="77777777" w:rsidR="00B179C9" w:rsidRPr="00E320CE" w:rsidRDefault="00B179C9" w:rsidP="00D66E77">
            <w:pPr>
              <w:autoSpaceDE/>
              <w:autoSpaceDN/>
              <w:ind w:left="380" w:hanging="360"/>
              <w:jc w:val="both"/>
              <w:rPr>
                <w:rFonts w:ascii="Calibri" w:hAnsi="Calibri" w:cs="Calibri"/>
                <w:color w:val="2D2D2D"/>
                <w:sz w:val="24"/>
                <w:szCs w:val="24"/>
                <w:lang w:val="es-CO" w:eastAsia="es-MX"/>
              </w:rPr>
            </w:pPr>
            <w:r w:rsidRPr="00E320CE">
              <w:rPr>
                <w:color w:val="000000"/>
                <w:sz w:val="24"/>
                <w:szCs w:val="24"/>
                <w:lang w:val="es-ES_tradnl" w:eastAsia="es-MX"/>
              </w:rPr>
              <w:t>(e)  El empleador decide contratar a una persona con el conocimiento de que tiene una enfermedad diagnosticada, que al momento de la terminación del contrato estaba en tratamiento médico y estuvo incapacitada un mes antes del despido. </w:t>
            </w:r>
          </w:p>
          <w:p w14:paraId="5233F317" w14:textId="77777777" w:rsidR="00B179C9" w:rsidRPr="00E320CE" w:rsidRDefault="00B179C9" w:rsidP="00D66E77">
            <w:pPr>
              <w:autoSpaceDE/>
              <w:autoSpaceDN/>
              <w:ind w:left="380"/>
              <w:jc w:val="both"/>
              <w:rPr>
                <w:rFonts w:ascii="Calibri" w:hAnsi="Calibri" w:cs="Calibri"/>
                <w:color w:val="2D2D2D"/>
                <w:sz w:val="24"/>
                <w:szCs w:val="24"/>
                <w:lang w:val="es-CO" w:eastAsia="es-MX"/>
              </w:rPr>
            </w:pPr>
            <w:r w:rsidRPr="00E320CE">
              <w:rPr>
                <w:color w:val="000000"/>
                <w:sz w:val="24"/>
                <w:szCs w:val="24"/>
                <w:lang w:val="es-ES_tradnl" w:eastAsia="es-MX"/>
              </w:rPr>
              <w:t> </w:t>
            </w:r>
          </w:p>
          <w:p w14:paraId="2E01A82D" w14:textId="77777777" w:rsidR="00B179C9" w:rsidRPr="00E320CE" w:rsidRDefault="00B179C9" w:rsidP="00D66E77">
            <w:pPr>
              <w:autoSpaceDE/>
              <w:autoSpaceDN/>
              <w:ind w:left="380" w:hanging="360"/>
              <w:jc w:val="both"/>
              <w:rPr>
                <w:rFonts w:ascii="Calibri" w:hAnsi="Calibri" w:cs="Calibri"/>
                <w:color w:val="2D2D2D"/>
                <w:sz w:val="24"/>
                <w:szCs w:val="24"/>
                <w:lang w:val="es-CO" w:eastAsia="es-MX"/>
              </w:rPr>
            </w:pPr>
            <w:r w:rsidRPr="00E320CE">
              <w:rPr>
                <w:color w:val="000000"/>
                <w:sz w:val="24"/>
                <w:szCs w:val="24"/>
                <w:lang w:val="es-US" w:eastAsia="es-MX"/>
              </w:rPr>
              <w:t>(f)   No se le puede imponer al trabajador la carga de soportar las consecuencias de que en razón a un empalme entre una antigua y nueva administración de una empresa no sea posible establecer si esa empresa tenía conocimiento o no del estado de salud del actor. Por tanto, se da prevalencia a las afirmaciones y pruebas del accionante, y no a las de la demandada en la contestación de la tutela. </w:t>
            </w:r>
          </w:p>
          <w:p w14:paraId="109D92A1" w14:textId="77777777" w:rsidR="00B179C9" w:rsidRPr="00E320CE" w:rsidRDefault="00B179C9" w:rsidP="00D66E77">
            <w:pPr>
              <w:autoSpaceDE/>
              <w:autoSpaceDN/>
              <w:ind w:left="380"/>
              <w:jc w:val="both"/>
              <w:rPr>
                <w:rFonts w:ascii="Calibri" w:hAnsi="Calibri" w:cs="Calibri"/>
                <w:color w:val="2D2D2D"/>
                <w:sz w:val="24"/>
                <w:szCs w:val="24"/>
                <w:lang w:val="es-CO" w:eastAsia="es-MX"/>
              </w:rPr>
            </w:pPr>
            <w:r w:rsidRPr="00E320CE">
              <w:rPr>
                <w:color w:val="000000"/>
                <w:sz w:val="24"/>
                <w:szCs w:val="24"/>
                <w:lang w:val="es-ES_tradnl" w:eastAsia="es-MX"/>
              </w:rPr>
              <w:t> </w:t>
            </w:r>
          </w:p>
          <w:p w14:paraId="080EDA85" w14:textId="73123428" w:rsidR="00B179C9" w:rsidRPr="00E320CE" w:rsidRDefault="00B179C9" w:rsidP="00D66E77">
            <w:pPr>
              <w:autoSpaceDE/>
              <w:autoSpaceDN/>
              <w:ind w:left="380" w:hanging="360"/>
              <w:jc w:val="both"/>
              <w:rPr>
                <w:rFonts w:ascii="Calibri" w:hAnsi="Calibri" w:cs="Calibri"/>
                <w:color w:val="2D2D2D"/>
                <w:sz w:val="24"/>
                <w:szCs w:val="24"/>
                <w:lang w:val="es-CO" w:eastAsia="es-MX"/>
              </w:rPr>
            </w:pPr>
            <w:r w:rsidRPr="00E320CE">
              <w:rPr>
                <w:color w:val="000000"/>
                <w:sz w:val="24"/>
                <w:szCs w:val="24"/>
                <w:lang w:val="es-ES_tradnl" w:eastAsia="es-MX"/>
              </w:rPr>
              <w:t>(g) </w:t>
            </w:r>
            <w:r w:rsidRPr="00E320CE">
              <w:rPr>
                <w:color w:val="000000"/>
                <w:sz w:val="24"/>
                <w:szCs w:val="24"/>
                <w:lang w:val="es-US" w:eastAsia="es-MX"/>
              </w:rPr>
              <w:t>Los indicios probatorios evidencian que, durante la ejecución del contrato, el trabajador tuvo que acudir en bastantes oportunidades al médico, presentó incapacidades médicas, y en la tutela afirma que le informó de su condición de salud al empleador.</w:t>
            </w:r>
          </w:p>
        </w:tc>
        <w:tc>
          <w:tcPr>
            <w:tcW w:w="42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E1E45A" w14:textId="77777777" w:rsidR="00B179C9" w:rsidRPr="00E320CE" w:rsidRDefault="00B179C9" w:rsidP="00D66E77">
            <w:pPr>
              <w:autoSpaceDE/>
              <w:autoSpaceDN/>
              <w:ind w:left="536" w:hanging="360"/>
              <w:jc w:val="both"/>
              <w:rPr>
                <w:rFonts w:ascii="Calibri" w:hAnsi="Calibri" w:cs="Calibri"/>
                <w:color w:val="2D2D2D"/>
                <w:sz w:val="24"/>
                <w:szCs w:val="24"/>
                <w:lang w:val="es-CO" w:eastAsia="es-MX"/>
              </w:rPr>
            </w:pPr>
            <w:r w:rsidRPr="00E320CE">
              <w:rPr>
                <w:color w:val="000000"/>
                <w:sz w:val="24"/>
                <w:szCs w:val="24"/>
                <w:lang w:val="es-ES_tradnl" w:eastAsia="es-MX"/>
              </w:rPr>
              <w:lastRenderedPageBreak/>
              <w:t>(a)  Ninguna de las partes prueba su argumentación. </w:t>
            </w:r>
          </w:p>
          <w:p w14:paraId="410227D6" w14:textId="77777777" w:rsidR="00B179C9" w:rsidRPr="00E320CE" w:rsidRDefault="00B179C9" w:rsidP="00D66E77">
            <w:pPr>
              <w:autoSpaceDE/>
              <w:autoSpaceDN/>
              <w:ind w:left="111" w:firstLine="142"/>
              <w:jc w:val="both"/>
              <w:rPr>
                <w:rFonts w:ascii="Calibri" w:hAnsi="Calibri" w:cs="Calibri"/>
                <w:color w:val="2D2D2D"/>
                <w:sz w:val="24"/>
                <w:szCs w:val="24"/>
                <w:lang w:val="es-CO" w:eastAsia="es-MX"/>
              </w:rPr>
            </w:pPr>
            <w:r w:rsidRPr="00E320CE">
              <w:rPr>
                <w:color w:val="000000"/>
                <w:sz w:val="24"/>
                <w:szCs w:val="24"/>
                <w:lang w:val="es-ES_tradnl" w:eastAsia="es-MX"/>
              </w:rPr>
              <w:lastRenderedPageBreak/>
              <w:t> </w:t>
            </w:r>
          </w:p>
          <w:p w14:paraId="613F3360" w14:textId="2EB4792B" w:rsidR="00B179C9" w:rsidRPr="00E320CE" w:rsidRDefault="00B179C9" w:rsidP="00662E57">
            <w:pPr>
              <w:autoSpaceDE/>
              <w:autoSpaceDN/>
              <w:spacing w:after="160"/>
              <w:ind w:left="536" w:hanging="360"/>
              <w:jc w:val="both"/>
              <w:rPr>
                <w:rFonts w:ascii="Calibri" w:hAnsi="Calibri" w:cs="Calibri"/>
                <w:color w:val="2D2D2D"/>
                <w:sz w:val="24"/>
                <w:szCs w:val="24"/>
                <w:lang w:val="es-CO" w:eastAsia="es-MX"/>
              </w:rPr>
            </w:pPr>
            <w:r w:rsidRPr="00E320CE">
              <w:rPr>
                <w:color w:val="000000"/>
                <w:sz w:val="24"/>
                <w:szCs w:val="24"/>
                <w:lang w:val="es-ES_tradnl" w:eastAsia="es-MX"/>
              </w:rPr>
              <w:t>(b) La enfermedad se presenta en una fecha posterior a la terminación del contrato. </w:t>
            </w:r>
          </w:p>
          <w:p w14:paraId="50A2D0FA" w14:textId="77777777" w:rsidR="00B179C9" w:rsidRPr="00E320CE" w:rsidRDefault="00B179C9" w:rsidP="00D66E77">
            <w:pPr>
              <w:autoSpaceDE/>
              <w:autoSpaceDN/>
              <w:ind w:left="536" w:hanging="360"/>
              <w:jc w:val="both"/>
              <w:rPr>
                <w:rFonts w:ascii="Calibri" w:hAnsi="Calibri" w:cs="Calibri"/>
                <w:color w:val="2D2D2D"/>
                <w:sz w:val="24"/>
                <w:szCs w:val="24"/>
                <w:lang w:val="es-CO" w:eastAsia="es-MX"/>
              </w:rPr>
            </w:pPr>
            <w:r w:rsidRPr="00E320CE">
              <w:rPr>
                <w:color w:val="000000"/>
                <w:sz w:val="24"/>
                <w:szCs w:val="24"/>
                <w:lang w:val="es-ES_tradnl" w:eastAsia="es-MX"/>
              </w:rPr>
              <w:t>(c)  El diagnóstico médico se da después del despido.</w:t>
            </w:r>
          </w:p>
          <w:p w14:paraId="1137DE44" w14:textId="77777777" w:rsidR="00B179C9" w:rsidRPr="00E320CE" w:rsidRDefault="00B179C9" w:rsidP="00D66E77">
            <w:pPr>
              <w:autoSpaceDE/>
              <w:autoSpaceDN/>
              <w:ind w:left="111" w:firstLine="142"/>
              <w:jc w:val="both"/>
              <w:rPr>
                <w:rFonts w:ascii="Calibri" w:hAnsi="Calibri" w:cs="Calibri"/>
                <w:color w:val="2D2D2D"/>
                <w:sz w:val="24"/>
                <w:szCs w:val="24"/>
                <w:lang w:val="es-CO" w:eastAsia="es-MX"/>
              </w:rPr>
            </w:pPr>
            <w:r w:rsidRPr="00E320CE">
              <w:rPr>
                <w:color w:val="000000"/>
                <w:sz w:val="24"/>
                <w:szCs w:val="24"/>
                <w:lang w:val="es-ES_tradnl" w:eastAsia="es-MX"/>
              </w:rPr>
              <w:t> </w:t>
            </w:r>
          </w:p>
          <w:p w14:paraId="27568935" w14:textId="1C67E44F" w:rsidR="00B179C9" w:rsidRPr="00E320CE" w:rsidRDefault="00B179C9" w:rsidP="00D66E77">
            <w:pPr>
              <w:autoSpaceDE/>
              <w:autoSpaceDN/>
              <w:spacing w:after="160"/>
              <w:ind w:left="536" w:hanging="360"/>
              <w:jc w:val="both"/>
              <w:rPr>
                <w:rFonts w:ascii="Calibri" w:hAnsi="Calibri" w:cs="Calibri"/>
                <w:color w:val="2D2D2D"/>
                <w:sz w:val="24"/>
                <w:szCs w:val="24"/>
                <w:lang w:val="es-CO" w:eastAsia="es-MX"/>
              </w:rPr>
            </w:pPr>
            <w:r w:rsidRPr="00E320CE">
              <w:rPr>
                <w:color w:val="000000"/>
                <w:sz w:val="24"/>
                <w:szCs w:val="24"/>
                <w:lang w:val="es-ES_tradnl" w:eastAsia="es-MX"/>
              </w:rPr>
              <w:t>(d) </w:t>
            </w:r>
            <w:r w:rsidRPr="00E320CE">
              <w:rPr>
                <w:color w:val="000000"/>
                <w:sz w:val="24"/>
                <w:szCs w:val="24"/>
                <w:lang w:val="es-US" w:eastAsia="es-MX"/>
              </w:rPr>
              <w:t>Pese a la asistencia a citas médicas durante la vigencia de la relación, no se presentó incapacidad o recomendaciones laborales como consecuencia de dichas citas médicas.</w:t>
            </w:r>
          </w:p>
        </w:tc>
      </w:tr>
    </w:tbl>
    <w:p w14:paraId="7C4ADBF5" w14:textId="77777777" w:rsidR="00B179C9" w:rsidRPr="00E320CE" w:rsidRDefault="00B179C9" w:rsidP="00D66E77">
      <w:pPr>
        <w:rPr>
          <w:rFonts w:eastAsia="SimSun"/>
          <w:sz w:val="28"/>
          <w:szCs w:val="28"/>
          <w:lang w:val="es-MX"/>
        </w:rPr>
      </w:pPr>
    </w:p>
    <w:p w14:paraId="2C8B6FC0" w14:textId="5C992EA0" w:rsidR="00B179C9" w:rsidRPr="00E320CE" w:rsidRDefault="00944BF8" w:rsidP="00653690">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Finalmente, en relación con el requisito </w:t>
      </w:r>
      <w:proofErr w:type="spellStart"/>
      <w:r w:rsidRPr="00E320CE">
        <w:rPr>
          <w:rFonts w:eastAsia="SimSun"/>
          <w:sz w:val="28"/>
          <w:szCs w:val="28"/>
          <w:lang w:val="es-MX"/>
        </w:rPr>
        <w:t>iii</w:t>
      </w:r>
      <w:proofErr w:type="spellEnd"/>
      <w:r w:rsidRPr="00E320CE">
        <w:rPr>
          <w:rFonts w:eastAsia="SimSun"/>
          <w:sz w:val="28"/>
          <w:szCs w:val="28"/>
          <w:lang w:val="es-MX"/>
        </w:rPr>
        <w:t xml:space="preserve">, el empleador </w:t>
      </w:r>
      <w:r w:rsidR="00AA56BA" w:rsidRPr="00E320CE">
        <w:rPr>
          <w:rFonts w:eastAsia="SimSun"/>
          <w:sz w:val="28"/>
          <w:szCs w:val="28"/>
          <w:lang w:val="es-MX"/>
        </w:rPr>
        <w:t xml:space="preserve">tiene la carga de probar que </w:t>
      </w:r>
      <w:r w:rsidR="000B1354" w:rsidRPr="00E320CE">
        <w:rPr>
          <w:rFonts w:eastAsia="SimSun"/>
          <w:sz w:val="28"/>
          <w:szCs w:val="28"/>
          <w:lang w:val="es-MX"/>
        </w:rPr>
        <w:t xml:space="preserve">la terminación del contrato </w:t>
      </w:r>
      <w:r w:rsidR="00AA56BA" w:rsidRPr="00E320CE">
        <w:rPr>
          <w:rFonts w:eastAsia="SimSun"/>
          <w:sz w:val="28"/>
          <w:szCs w:val="28"/>
          <w:lang w:val="es-MX"/>
        </w:rPr>
        <w:t>obedeció a una justa causa y, de esa forma, desvirtuar la presunción del despido discriminatorio</w:t>
      </w:r>
      <w:r w:rsidR="00AA56BA" w:rsidRPr="00E320CE">
        <w:rPr>
          <w:rStyle w:val="Refdenotaalpie"/>
          <w:rFonts w:eastAsia="SimSun"/>
          <w:sz w:val="28"/>
          <w:szCs w:val="28"/>
          <w:lang w:val="es-MX"/>
        </w:rPr>
        <w:footnoteReference w:id="120"/>
      </w:r>
      <w:r w:rsidR="00AA56BA" w:rsidRPr="00E320CE">
        <w:rPr>
          <w:rFonts w:eastAsia="SimSun"/>
          <w:sz w:val="28"/>
          <w:szCs w:val="28"/>
          <w:lang w:val="es-MX"/>
        </w:rPr>
        <w:t xml:space="preserve">. </w:t>
      </w:r>
      <w:r w:rsidR="00653690" w:rsidRPr="00E320CE">
        <w:rPr>
          <w:rFonts w:eastAsia="SimSun"/>
          <w:sz w:val="28"/>
          <w:szCs w:val="28"/>
          <w:lang w:val="es-MX"/>
        </w:rPr>
        <w:t>Aunque en circunstancias ordinarias los empleadores tienen la posibilidad de terminar los contratos de trabajo de sus empleados sin justa causa siempre que paguen la respectiva indemnización, en casos en los que el trabajador es titular de la estabilidad laboral reforzada esta opción se ve restringida</w:t>
      </w:r>
      <w:r w:rsidR="00653690" w:rsidRPr="00E320CE">
        <w:rPr>
          <w:rStyle w:val="Refdenotaalpie"/>
          <w:rFonts w:eastAsia="SimSun"/>
          <w:sz w:val="28"/>
          <w:szCs w:val="28"/>
          <w:lang w:val="es-MX"/>
        </w:rPr>
        <w:footnoteReference w:id="121"/>
      </w:r>
      <w:r w:rsidR="00653690" w:rsidRPr="00E320CE">
        <w:rPr>
          <w:rFonts w:eastAsia="SimSun"/>
          <w:sz w:val="28"/>
          <w:szCs w:val="28"/>
          <w:lang w:val="es-MX"/>
        </w:rPr>
        <w:t xml:space="preserve">. Esta limitación </w:t>
      </w:r>
      <w:r w:rsidR="00AA56BA" w:rsidRPr="00E320CE">
        <w:rPr>
          <w:rFonts w:eastAsia="SimSun"/>
          <w:sz w:val="28"/>
          <w:szCs w:val="28"/>
          <w:lang w:val="es-MX"/>
        </w:rPr>
        <w:t>se fundamenta en “los derechos de los empleados a un trato igualitario y a condiciones de trabajo dignas [que] deben prevalecer sobre los derechos económicos de las empresas”</w:t>
      </w:r>
      <w:r w:rsidR="00AA56BA" w:rsidRPr="00E320CE">
        <w:rPr>
          <w:rStyle w:val="Refdenotaalpie"/>
          <w:rFonts w:eastAsia="SimSun"/>
          <w:sz w:val="28"/>
          <w:szCs w:val="28"/>
          <w:lang w:val="es-MX"/>
        </w:rPr>
        <w:footnoteReference w:id="122"/>
      </w:r>
      <w:r w:rsidR="00AA56BA" w:rsidRPr="00E320CE">
        <w:rPr>
          <w:rFonts w:eastAsia="SimSun"/>
          <w:sz w:val="28"/>
          <w:szCs w:val="28"/>
          <w:lang w:val="es-MX"/>
        </w:rPr>
        <w:t>.</w:t>
      </w:r>
    </w:p>
    <w:p w14:paraId="26DE069C" w14:textId="77777777" w:rsidR="00653690" w:rsidRPr="00E320CE" w:rsidRDefault="00653690" w:rsidP="00653690">
      <w:pPr>
        <w:pStyle w:val="Prrafodelista"/>
        <w:autoSpaceDE/>
        <w:autoSpaceDN/>
        <w:ind w:left="0"/>
        <w:contextualSpacing w:val="0"/>
        <w:jc w:val="both"/>
        <w:rPr>
          <w:rFonts w:eastAsia="SimSun"/>
          <w:sz w:val="28"/>
          <w:szCs w:val="28"/>
          <w:lang w:val="es-MX"/>
        </w:rPr>
      </w:pPr>
    </w:p>
    <w:p w14:paraId="26E991DF" w14:textId="390EDA92" w:rsidR="000308E1" w:rsidRPr="00E320CE" w:rsidRDefault="00653690">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lastRenderedPageBreak/>
        <w:t xml:space="preserve">Por esa razón, en los casos en los que el trabajador </w:t>
      </w:r>
      <w:r w:rsidR="00937B07" w:rsidRPr="00E320CE">
        <w:rPr>
          <w:rFonts w:eastAsia="SimSun"/>
          <w:sz w:val="28"/>
          <w:szCs w:val="28"/>
          <w:lang w:val="es-MX"/>
        </w:rPr>
        <w:t>o contratista</w:t>
      </w:r>
      <w:r w:rsidRPr="00E320CE">
        <w:rPr>
          <w:rFonts w:eastAsia="SimSun"/>
          <w:sz w:val="28"/>
          <w:szCs w:val="28"/>
          <w:lang w:val="es-MX"/>
        </w:rPr>
        <w:t xml:space="preserve"> tiene derecho a la estabilidad laboral </w:t>
      </w:r>
      <w:r w:rsidR="00937B07" w:rsidRPr="00E320CE">
        <w:rPr>
          <w:rFonts w:eastAsia="SimSun"/>
          <w:sz w:val="28"/>
          <w:szCs w:val="28"/>
          <w:lang w:val="es-MX"/>
        </w:rPr>
        <w:t>u ocupacional</w:t>
      </w:r>
      <w:r w:rsidRPr="00E320CE">
        <w:rPr>
          <w:rFonts w:eastAsia="SimSun"/>
          <w:sz w:val="28"/>
          <w:szCs w:val="28"/>
          <w:lang w:val="es-MX"/>
        </w:rPr>
        <w:t xml:space="preserve"> reforzada, si el empleador </w:t>
      </w:r>
      <w:r w:rsidR="001B2DB2" w:rsidRPr="00E320CE">
        <w:rPr>
          <w:rFonts w:eastAsia="SimSun"/>
          <w:sz w:val="28"/>
          <w:szCs w:val="28"/>
          <w:lang w:val="es-MX"/>
        </w:rPr>
        <w:t xml:space="preserve">o contratante </w:t>
      </w:r>
      <w:r w:rsidRPr="00E320CE">
        <w:rPr>
          <w:rFonts w:eastAsia="SimSun"/>
          <w:sz w:val="28"/>
          <w:szCs w:val="28"/>
          <w:lang w:val="es-MX"/>
        </w:rPr>
        <w:t xml:space="preserve">quiere desvincularlo </w:t>
      </w:r>
      <w:r w:rsidR="00B904A7" w:rsidRPr="00E320CE">
        <w:rPr>
          <w:rFonts w:eastAsia="SimSun"/>
          <w:sz w:val="28"/>
          <w:szCs w:val="28"/>
          <w:lang w:val="es-MX"/>
        </w:rPr>
        <w:t>o no renovar su contrato–de trabajo a término fijo o de prestación de servicios–</w:t>
      </w:r>
      <w:r w:rsidRPr="00E320CE">
        <w:rPr>
          <w:rFonts w:eastAsia="SimSun"/>
          <w:sz w:val="28"/>
          <w:szCs w:val="28"/>
          <w:lang w:val="es-MX"/>
        </w:rPr>
        <w:t xml:space="preserve">debe acudir previamente ante el inspector del trabajo, quien tiene el deber de </w:t>
      </w:r>
      <w:r w:rsidR="003253CF" w:rsidRPr="00E320CE">
        <w:rPr>
          <w:rFonts w:eastAsia="SimSun"/>
          <w:sz w:val="28"/>
          <w:szCs w:val="28"/>
          <w:lang w:val="es-MX"/>
        </w:rPr>
        <w:t>acreditar</w:t>
      </w:r>
      <w:r w:rsidRPr="00E320CE">
        <w:rPr>
          <w:rFonts w:eastAsia="SimSun"/>
          <w:sz w:val="28"/>
          <w:szCs w:val="28"/>
          <w:lang w:val="es-MX"/>
        </w:rPr>
        <w:t xml:space="preserve"> que </w:t>
      </w:r>
      <w:r w:rsidR="003253CF" w:rsidRPr="00E320CE">
        <w:rPr>
          <w:rFonts w:eastAsia="SimSun"/>
          <w:sz w:val="28"/>
          <w:szCs w:val="28"/>
          <w:lang w:val="es-MX"/>
        </w:rPr>
        <w:t>existe</w:t>
      </w:r>
      <w:r w:rsidRPr="00E320CE">
        <w:rPr>
          <w:rFonts w:eastAsia="SimSun"/>
          <w:sz w:val="28"/>
          <w:szCs w:val="28"/>
          <w:lang w:val="es-MX"/>
        </w:rPr>
        <w:t xml:space="preserve"> una causa objetiva para la decisión</w:t>
      </w:r>
      <w:r w:rsidRPr="00E320CE">
        <w:rPr>
          <w:rStyle w:val="Refdenotaalpie"/>
          <w:rFonts w:eastAsia="SimSun"/>
          <w:sz w:val="28"/>
          <w:szCs w:val="28"/>
          <w:lang w:val="es-MX"/>
        </w:rPr>
        <w:footnoteReference w:id="123"/>
      </w:r>
      <w:r w:rsidRPr="00E320CE">
        <w:rPr>
          <w:rFonts w:eastAsia="SimSun"/>
          <w:sz w:val="28"/>
          <w:szCs w:val="28"/>
          <w:lang w:val="es-MX"/>
        </w:rPr>
        <w:t>.</w:t>
      </w:r>
      <w:r w:rsidR="00B904A7" w:rsidRPr="00E320CE">
        <w:rPr>
          <w:rFonts w:eastAsia="SimSun"/>
          <w:sz w:val="28"/>
          <w:szCs w:val="28"/>
          <w:lang w:val="es-MX"/>
        </w:rPr>
        <w:t xml:space="preserve"> En caso de que no se cumpla esta carga, operará la presunción de despido discriminatorio, lo que implica asumir que la desvinculación </w:t>
      </w:r>
      <w:r w:rsidR="00BE2E29" w:rsidRPr="00E320CE">
        <w:rPr>
          <w:rFonts w:eastAsia="SimSun"/>
          <w:sz w:val="28"/>
          <w:szCs w:val="28"/>
          <w:lang w:val="es-MX"/>
        </w:rPr>
        <w:t>tuvo lugar por e</w:t>
      </w:r>
      <w:r w:rsidR="00B904A7" w:rsidRPr="00E320CE">
        <w:rPr>
          <w:rFonts w:eastAsia="SimSun"/>
          <w:sz w:val="28"/>
          <w:szCs w:val="28"/>
          <w:lang w:val="es-MX"/>
        </w:rPr>
        <w:t>l deterioro en el estado de salud del trabajador y, por ende</w:t>
      </w:r>
      <w:r w:rsidR="00B81989" w:rsidRPr="00E320CE">
        <w:rPr>
          <w:rFonts w:eastAsia="SimSun"/>
          <w:sz w:val="28"/>
          <w:szCs w:val="28"/>
          <w:lang w:val="es-MX"/>
        </w:rPr>
        <w:t>:</w:t>
      </w:r>
    </w:p>
    <w:p w14:paraId="357A2D6D" w14:textId="77777777" w:rsidR="00B81989" w:rsidRPr="00E320CE" w:rsidRDefault="00B81989" w:rsidP="00B81989">
      <w:pPr>
        <w:pStyle w:val="Prrafodelista"/>
        <w:autoSpaceDE/>
        <w:autoSpaceDN/>
        <w:ind w:left="0"/>
        <w:contextualSpacing w:val="0"/>
        <w:jc w:val="both"/>
        <w:rPr>
          <w:rFonts w:eastAsia="SimSun"/>
          <w:sz w:val="28"/>
          <w:szCs w:val="28"/>
          <w:lang w:val="es-MX"/>
        </w:rPr>
      </w:pPr>
    </w:p>
    <w:p w14:paraId="187A1EE8" w14:textId="70F17EBE" w:rsidR="00B81989" w:rsidRPr="00E320CE" w:rsidRDefault="00B81989" w:rsidP="00B81989">
      <w:pPr>
        <w:pStyle w:val="Prrafodelista"/>
        <w:autoSpaceDE/>
        <w:autoSpaceDN/>
        <w:ind w:left="708"/>
        <w:contextualSpacing w:val="0"/>
        <w:jc w:val="both"/>
        <w:rPr>
          <w:rFonts w:eastAsia="SimSun"/>
          <w:sz w:val="24"/>
          <w:szCs w:val="24"/>
          <w:lang w:val="es-MX"/>
        </w:rPr>
      </w:pPr>
      <w:r w:rsidRPr="00E320CE">
        <w:rPr>
          <w:color w:val="000000"/>
          <w:sz w:val="24"/>
          <w:szCs w:val="24"/>
        </w:rPr>
        <w:t>“(i) declarar la ineficacia del despido, (</w:t>
      </w:r>
      <w:proofErr w:type="spellStart"/>
      <w:r w:rsidRPr="00E320CE">
        <w:rPr>
          <w:color w:val="000000"/>
          <w:sz w:val="24"/>
          <w:szCs w:val="24"/>
        </w:rPr>
        <w:t>ii</w:t>
      </w:r>
      <w:proofErr w:type="spellEnd"/>
      <w:r w:rsidRPr="00E320CE">
        <w:rPr>
          <w:color w:val="000000"/>
          <w:sz w:val="24"/>
          <w:szCs w:val="24"/>
        </w:rPr>
        <w:t>) ordenar el reintegro de la persona a un cargo igual o similar al que desempeñaba, de un modo que facilite su rehabilitación,</w:t>
      </w:r>
      <w:r w:rsidRPr="00E320CE">
        <w:rPr>
          <w:rStyle w:val="apple-converted-space"/>
          <w:color w:val="000000"/>
          <w:sz w:val="24"/>
          <w:szCs w:val="24"/>
        </w:rPr>
        <w:t> </w:t>
      </w:r>
      <w:r w:rsidRPr="00E320CE">
        <w:rPr>
          <w:color w:val="000000"/>
          <w:sz w:val="24"/>
          <w:szCs w:val="24"/>
          <w:lang w:val="es-MX"/>
        </w:rPr>
        <w:t>(</w:t>
      </w:r>
      <w:proofErr w:type="spellStart"/>
      <w:r w:rsidRPr="00E320CE">
        <w:rPr>
          <w:color w:val="000000"/>
          <w:sz w:val="24"/>
          <w:szCs w:val="24"/>
          <w:lang w:val="es-MX"/>
        </w:rPr>
        <w:t>iii</w:t>
      </w:r>
      <w:proofErr w:type="spellEnd"/>
      <w:r w:rsidRPr="00E320CE">
        <w:rPr>
          <w:color w:val="000000"/>
          <w:sz w:val="24"/>
          <w:szCs w:val="24"/>
          <w:lang w:val="es-MX"/>
        </w:rPr>
        <w:t>) disponer el pago de los salarios y prestaciones sociales dejadas de percibir desde la terminación del contrato hasta que se haga efectivo el reintegro,</w:t>
      </w:r>
      <w:r w:rsidRPr="00E320CE">
        <w:rPr>
          <w:rStyle w:val="apple-converted-space"/>
          <w:color w:val="000000"/>
          <w:sz w:val="24"/>
          <w:szCs w:val="24"/>
          <w:lang w:val="es-MX"/>
        </w:rPr>
        <w:t> </w:t>
      </w:r>
      <w:r w:rsidRPr="00E320CE">
        <w:rPr>
          <w:color w:val="000000"/>
          <w:sz w:val="24"/>
          <w:szCs w:val="24"/>
        </w:rPr>
        <w:t>y (</w:t>
      </w:r>
      <w:proofErr w:type="spellStart"/>
      <w:r w:rsidRPr="00E320CE">
        <w:rPr>
          <w:color w:val="000000"/>
          <w:sz w:val="24"/>
          <w:szCs w:val="24"/>
        </w:rPr>
        <w:t>iv</w:t>
      </w:r>
      <w:proofErr w:type="spellEnd"/>
      <w:r w:rsidRPr="00E320CE">
        <w:rPr>
          <w:color w:val="000000"/>
          <w:sz w:val="24"/>
          <w:szCs w:val="24"/>
        </w:rPr>
        <w:t>)</w:t>
      </w:r>
      <w:r w:rsidRPr="00E320CE">
        <w:rPr>
          <w:rStyle w:val="apple-converted-space"/>
          <w:color w:val="000000"/>
          <w:sz w:val="24"/>
          <w:szCs w:val="24"/>
          <w:lang w:val="es-ES"/>
        </w:rPr>
        <w:t> </w:t>
      </w:r>
      <w:r w:rsidRPr="00E320CE">
        <w:rPr>
          <w:color w:val="000000"/>
          <w:sz w:val="24"/>
          <w:szCs w:val="24"/>
          <w:lang w:val="es-ES"/>
        </w:rPr>
        <w:t>pagar</w:t>
      </w:r>
      <w:r w:rsidR="00DB47D8" w:rsidRPr="00E320CE">
        <w:rPr>
          <w:color w:val="000000"/>
          <w:sz w:val="24"/>
          <w:szCs w:val="24"/>
          <w:lang w:val="es-ES"/>
        </w:rPr>
        <w:t xml:space="preserve"> </w:t>
      </w:r>
      <w:r w:rsidRPr="00E320CE">
        <w:rPr>
          <w:color w:val="000000"/>
          <w:sz w:val="24"/>
          <w:szCs w:val="24"/>
        </w:rPr>
        <w:t>una indemnización de ciento ochenta días de salario”</w:t>
      </w:r>
      <w:r w:rsidRPr="00E320CE">
        <w:rPr>
          <w:rStyle w:val="Refdenotaalpie"/>
          <w:color w:val="000000"/>
          <w:sz w:val="24"/>
          <w:szCs w:val="24"/>
        </w:rPr>
        <w:footnoteReference w:id="124"/>
      </w:r>
      <w:r w:rsidRPr="00E320CE">
        <w:rPr>
          <w:color w:val="000000"/>
          <w:sz w:val="24"/>
          <w:szCs w:val="24"/>
        </w:rPr>
        <w:t>.</w:t>
      </w:r>
    </w:p>
    <w:p w14:paraId="4D4F9CA7" w14:textId="77777777" w:rsidR="00B81989" w:rsidRPr="00E320CE" w:rsidRDefault="00B81989" w:rsidP="00B81989">
      <w:pPr>
        <w:pStyle w:val="Prrafodelista"/>
        <w:autoSpaceDE/>
        <w:autoSpaceDN/>
        <w:ind w:left="0"/>
        <w:contextualSpacing w:val="0"/>
        <w:jc w:val="both"/>
        <w:rPr>
          <w:rFonts w:eastAsia="SimSun"/>
          <w:sz w:val="28"/>
          <w:szCs w:val="28"/>
          <w:lang w:val="es-MX"/>
        </w:rPr>
      </w:pPr>
    </w:p>
    <w:p w14:paraId="5C96F95F" w14:textId="0AAACCF1" w:rsidR="000308E1" w:rsidRPr="00E320CE" w:rsidRDefault="000308E1" w:rsidP="002F22D6">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En casos en los que estudió </w:t>
      </w:r>
      <w:r w:rsidR="00810771" w:rsidRPr="00E320CE">
        <w:rPr>
          <w:rFonts w:eastAsia="SimSun"/>
          <w:sz w:val="28"/>
          <w:szCs w:val="28"/>
          <w:lang w:val="es-MX"/>
        </w:rPr>
        <w:t>el despido de trabajadores titulares de la estabilidad laboral reforzada a raíz de la liquidación de la empresa, la Corte determinó que</w:t>
      </w:r>
      <w:r w:rsidR="003253CF" w:rsidRPr="00E320CE">
        <w:rPr>
          <w:rFonts w:eastAsia="SimSun"/>
          <w:sz w:val="28"/>
          <w:szCs w:val="28"/>
          <w:lang w:val="es-MX"/>
        </w:rPr>
        <w:t>, a pesar de que este hecho</w:t>
      </w:r>
      <w:r w:rsidR="00810771" w:rsidRPr="00E320CE">
        <w:rPr>
          <w:rFonts w:eastAsia="SimSun"/>
          <w:sz w:val="28"/>
          <w:szCs w:val="28"/>
          <w:lang w:val="es-MX"/>
        </w:rPr>
        <w:t xml:space="preserve"> </w:t>
      </w:r>
      <w:r w:rsidR="00CC4937" w:rsidRPr="00E320CE">
        <w:rPr>
          <w:rFonts w:eastAsia="SimSun"/>
          <w:sz w:val="28"/>
          <w:szCs w:val="28"/>
          <w:lang w:val="es-MX"/>
        </w:rPr>
        <w:t>pued</w:t>
      </w:r>
      <w:r w:rsidR="004050FF" w:rsidRPr="00E320CE">
        <w:rPr>
          <w:rFonts w:eastAsia="SimSun"/>
          <w:sz w:val="28"/>
          <w:szCs w:val="28"/>
          <w:lang w:val="es-MX"/>
        </w:rPr>
        <w:t>e</w:t>
      </w:r>
      <w:r w:rsidR="00CC4937" w:rsidRPr="00E320CE">
        <w:rPr>
          <w:rFonts w:eastAsia="SimSun"/>
          <w:sz w:val="28"/>
          <w:szCs w:val="28"/>
          <w:lang w:val="es-MX"/>
        </w:rPr>
        <w:t xml:space="preserve"> ser una </w:t>
      </w:r>
      <w:r w:rsidR="0017532F" w:rsidRPr="00E320CE">
        <w:rPr>
          <w:rFonts w:eastAsia="SimSun"/>
          <w:sz w:val="28"/>
          <w:szCs w:val="28"/>
          <w:lang w:val="es-MX"/>
        </w:rPr>
        <w:t>causal</w:t>
      </w:r>
      <w:r w:rsidR="00F05D1C" w:rsidRPr="00E320CE">
        <w:rPr>
          <w:rFonts w:eastAsia="SimSun"/>
          <w:sz w:val="28"/>
          <w:szCs w:val="28"/>
          <w:lang w:val="es-MX"/>
        </w:rPr>
        <w:t xml:space="preserve"> objetiva</w:t>
      </w:r>
      <w:r w:rsidR="0017532F" w:rsidRPr="00E320CE">
        <w:rPr>
          <w:rFonts w:eastAsia="SimSun"/>
          <w:sz w:val="28"/>
          <w:szCs w:val="28"/>
          <w:lang w:val="es-MX"/>
        </w:rPr>
        <w:t xml:space="preserve"> de terminación, </w:t>
      </w:r>
      <w:r w:rsidR="004050FF" w:rsidRPr="00E320CE">
        <w:rPr>
          <w:rFonts w:eastAsia="SimSun"/>
          <w:sz w:val="28"/>
          <w:szCs w:val="28"/>
          <w:lang w:val="es-MX"/>
        </w:rPr>
        <w:t xml:space="preserve">no </w:t>
      </w:r>
      <w:r w:rsidR="009E3D2A" w:rsidRPr="00E320CE">
        <w:rPr>
          <w:rFonts w:eastAsia="SimSun"/>
          <w:sz w:val="28"/>
          <w:szCs w:val="28"/>
          <w:lang w:val="es-MX"/>
        </w:rPr>
        <w:t xml:space="preserve">constituye una justa causa, </w:t>
      </w:r>
      <w:r w:rsidR="0017532F" w:rsidRPr="00E320CE">
        <w:rPr>
          <w:rFonts w:eastAsia="SimSun"/>
          <w:sz w:val="28"/>
          <w:szCs w:val="28"/>
          <w:lang w:val="es-MX"/>
        </w:rPr>
        <w:t xml:space="preserve">por lo que no desvirtúa </w:t>
      </w:r>
      <w:r w:rsidR="009E2112" w:rsidRPr="00E320CE">
        <w:rPr>
          <w:rFonts w:eastAsia="SimSun"/>
          <w:sz w:val="28"/>
          <w:szCs w:val="28"/>
          <w:lang w:val="es-MX"/>
        </w:rPr>
        <w:t>la presunción de despido discriminatorio</w:t>
      </w:r>
      <w:r w:rsidR="009E2112" w:rsidRPr="00E320CE">
        <w:rPr>
          <w:rStyle w:val="Refdenotaalpie"/>
          <w:rFonts w:eastAsia="SimSun"/>
          <w:sz w:val="28"/>
          <w:szCs w:val="28"/>
          <w:lang w:val="es-MX"/>
        </w:rPr>
        <w:footnoteReference w:id="125"/>
      </w:r>
      <w:r w:rsidR="009E2112" w:rsidRPr="00E320CE">
        <w:rPr>
          <w:rFonts w:eastAsia="SimSun"/>
          <w:sz w:val="28"/>
          <w:szCs w:val="28"/>
          <w:lang w:val="es-MX"/>
        </w:rPr>
        <w:t xml:space="preserve">. </w:t>
      </w:r>
      <w:r w:rsidR="000020F0" w:rsidRPr="00E320CE">
        <w:rPr>
          <w:rFonts w:eastAsia="SimSun"/>
          <w:sz w:val="28"/>
          <w:szCs w:val="28"/>
          <w:lang w:val="es-MX"/>
        </w:rPr>
        <w:t>Esta Corporación l</w:t>
      </w:r>
      <w:r w:rsidR="009E2112" w:rsidRPr="00E320CE">
        <w:rPr>
          <w:rFonts w:eastAsia="SimSun"/>
          <w:sz w:val="28"/>
          <w:szCs w:val="28"/>
          <w:lang w:val="es-MX"/>
        </w:rPr>
        <w:t>legó a esta conclusión tras determinar que la “liquidación o clausura definitiva de la empresa o establecimiento” no hace parte de los supuestos de terminación del contrato por justa causa, de acuerdo con el artículo 62 del Código Sustantivo del Trabajo</w:t>
      </w:r>
      <w:r w:rsidR="009E2112" w:rsidRPr="00E320CE">
        <w:rPr>
          <w:rStyle w:val="Refdenotaalpie"/>
          <w:rFonts w:eastAsia="SimSun"/>
          <w:sz w:val="28"/>
          <w:szCs w:val="28"/>
          <w:lang w:val="es-MX"/>
        </w:rPr>
        <w:footnoteReference w:id="126"/>
      </w:r>
      <w:r w:rsidR="009E2112" w:rsidRPr="00E320CE">
        <w:rPr>
          <w:rFonts w:eastAsia="SimSun"/>
          <w:sz w:val="28"/>
          <w:szCs w:val="28"/>
          <w:lang w:val="es-MX"/>
        </w:rPr>
        <w:t xml:space="preserve">. Por el contrario, de acuerdo con el numeral 2 del artículo 61, la liquidación de la empresa </w:t>
      </w:r>
      <w:r w:rsidR="001D6164" w:rsidRPr="00E320CE">
        <w:rPr>
          <w:rFonts w:eastAsia="SimSun"/>
          <w:sz w:val="28"/>
          <w:szCs w:val="28"/>
          <w:lang w:val="es-MX"/>
        </w:rPr>
        <w:t>es una causal de terminación del contrato de trabajo que</w:t>
      </w:r>
      <w:r w:rsidR="00F05D1C" w:rsidRPr="00E320CE">
        <w:rPr>
          <w:rFonts w:eastAsia="SimSun"/>
          <w:sz w:val="28"/>
          <w:szCs w:val="28"/>
          <w:lang w:val="es-MX"/>
        </w:rPr>
        <w:t xml:space="preserve"> necesita la autorización previa del Ministerio de Trabajo y Seguridad Social incluso en casos en los que no hay estabilidad laboral reforzada</w:t>
      </w:r>
      <w:r w:rsidR="00F05D1C" w:rsidRPr="00E320CE">
        <w:rPr>
          <w:rStyle w:val="Refdenotaalpie"/>
          <w:rFonts w:eastAsia="SimSun"/>
          <w:sz w:val="28"/>
          <w:szCs w:val="28"/>
          <w:lang w:val="es-MX"/>
        </w:rPr>
        <w:footnoteReference w:id="127"/>
      </w:r>
      <w:r w:rsidR="00F05D1C" w:rsidRPr="00E320CE">
        <w:rPr>
          <w:rFonts w:eastAsia="SimSun"/>
          <w:sz w:val="28"/>
          <w:szCs w:val="28"/>
          <w:lang w:val="es-MX"/>
        </w:rPr>
        <w:t xml:space="preserve">. En esos términos, el hecho de que la empresa accionada se encuentre en liquidación no es </w:t>
      </w:r>
      <w:r w:rsidR="00340189" w:rsidRPr="00E320CE">
        <w:rPr>
          <w:rFonts w:eastAsia="SimSun"/>
          <w:sz w:val="28"/>
          <w:szCs w:val="28"/>
          <w:lang w:val="es-MX"/>
        </w:rPr>
        <w:t>una causa justa que permita</w:t>
      </w:r>
      <w:r w:rsidR="00F05D1C" w:rsidRPr="00E320CE">
        <w:rPr>
          <w:rFonts w:eastAsia="SimSun"/>
          <w:sz w:val="28"/>
          <w:szCs w:val="28"/>
          <w:lang w:val="es-MX"/>
        </w:rPr>
        <w:t xml:space="preserve"> desvirtuar la presunción de despido discriminatorio que se activa cuando el empleador no acude al inspector del trabajo para desvincular a una persona titular de la estabilidad laboral reforzada y, por ende, operan todas las garantías derivadas de </w:t>
      </w:r>
      <w:r w:rsidR="004207C5" w:rsidRPr="00E320CE">
        <w:rPr>
          <w:rFonts w:eastAsia="SimSun"/>
          <w:sz w:val="28"/>
          <w:szCs w:val="28"/>
          <w:lang w:val="es-MX"/>
        </w:rPr>
        <w:t>ese derecho</w:t>
      </w:r>
      <w:r w:rsidR="00FD7795" w:rsidRPr="00E320CE">
        <w:rPr>
          <w:rStyle w:val="Refdenotaalpie"/>
          <w:rFonts w:eastAsia="SimSun"/>
          <w:sz w:val="28"/>
          <w:szCs w:val="28"/>
          <w:lang w:val="es-MX"/>
        </w:rPr>
        <w:footnoteReference w:id="128"/>
      </w:r>
      <w:r w:rsidR="00F05D1C" w:rsidRPr="00E320CE">
        <w:rPr>
          <w:rFonts w:eastAsia="SimSun"/>
          <w:sz w:val="28"/>
          <w:szCs w:val="28"/>
          <w:lang w:val="es-MX"/>
        </w:rPr>
        <w:t xml:space="preserve">. </w:t>
      </w:r>
    </w:p>
    <w:p w14:paraId="73D51C9E" w14:textId="77777777" w:rsidR="001E0B2B" w:rsidRPr="00E320CE" w:rsidRDefault="001E0B2B" w:rsidP="001E0B2B">
      <w:pPr>
        <w:pStyle w:val="Prrafodelista"/>
        <w:autoSpaceDE/>
        <w:autoSpaceDN/>
        <w:ind w:left="0"/>
        <w:contextualSpacing w:val="0"/>
        <w:jc w:val="both"/>
        <w:rPr>
          <w:rFonts w:eastAsia="SimSun"/>
          <w:sz w:val="28"/>
          <w:szCs w:val="28"/>
          <w:lang w:val="es-MX"/>
        </w:rPr>
      </w:pPr>
    </w:p>
    <w:p w14:paraId="1F2E8E25" w14:textId="67C85807" w:rsidR="001E0B2B" w:rsidRPr="00E320CE" w:rsidRDefault="001E0B2B" w:rsidP="000308E1">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En conclusión, </w:t>
      </w:r>
      <w:r w:rsidR="00C647B6" w:rsidRPr="00E320CE">
        <w:rPr>
          <w:rFonts w:eastAsia="SimSun"/>
          <w:sz w:val="28"/>
          <w:szCs w:val="28"/>
          <w:lang w:val="es-MX"/>
        </w:rPr>
        <w:t xml:space="preserve">para que se active </w:t>
      </w:r>
      <w:r w:rsidR="003F42AF" w:rsidRPr="00E320CE">
        <w:rPr>
          <w:rFonts w:eastAsia="SimSun"/>
          <w:sz w:val="28"/>
          <w:szCs w:val="28"/>
          <w:lang w:val="es-MX"/>
        </w:rPr>
        <w:t xml:space="preserve">la protección </w:t>
      </w:r>
      <w:r w:rsidR="00C647B6" w:rsidRPr="00E320CE">
        <w:rPr>
          <w:rFonts w:eastAsia="SimSun"/>
          <w:sz w:val="28"/>
          <w:szCs w:val="28"/>
          <w:lang w:val="es-MX"/>
        </w:rPr>
        <w:t>derivada d</w:t>
      </w:r>
      <w:r w:rsidR="003F42AF" w:rsidRPr="00E320CE">
        <w:rPr>
          <w:rFonts w:eastAsia="SimSun"/>
          <w:sz w:val="28"/>
          <w:szCs w:val="28"/>
          <w:lang w:val="es-MX"/>
        </w:rPr>
        <w:t xml:space="preserve">el derecho a la estabilidad laboral </w:t>
      </w:r>
      <w:r w:rsidR="00ED0B5A" w:rsidRPr="00E320CE">
        <w:rPr>
          <w:rFonts w:eastAsia="SimSun"/>
          <w:sz w:val="28"/>
          <w:szCs w:val="28"/>
          <w:lang w:val="es-MX"/>
        </w:rPr>
        <w:t>u ocupacional</w:t>
      </w:r>
      <w:r w:rsidR="003F42AF" w:rsidRPr="00E320CE">
        <w:rPr>
          <w:rFonts w:eastAsia="SimSun"/>
          <w:sz w:val="28"/>
          <w:szCs w:val="28"/>
          <w:lang w:val="es-MX"/>
        </w:rPr>
        <w:t xml:space="preserve"> reforzada, es necesario acreditar</w:t>
      </w:r>
      <w:r w:rsidR="00C647B6" w:rsidRPr="00E320CE">
        <w:rPr>
          <w:rFonts w:eastAsia="SimSun"/>
          <w:sz w:val="28"/>
          <w:szCs w:val="28"/>
          <w:lang w:val="es-MX"/>
        </w:rPr>
        <w:t xml:space="preserve"> que:</w:t>
      </w:r>
      <w:r w:rsidR="003F42AF" w:rsidRPr="00E320CE">
        <w:rPr>
          <w:rFonts w:eastAsia="SimSun"/>
          <w:sz w:val="28"/>
          <w:szCs w:val="28"/>
          <w:lang w:val="es-MX"/>
        </w:rPr>
        <w:t xml:space="preserve"> (i) el trabajador </w:t>
      </w:r>
      <w:r w:rsidR="00E344CF" w:rsidRPr="00E320CE">
        <w:rPr>
          <w:rFonts w:eastAsia="SimSun"/>
          <w:sz w:val="28"/>
          <w:szCs w:val="28"/>
          <w:lang w:val="es-MX"/>
        </w:rPr>
        <w:t>o contratista</w:t>
      </w:r>
      <w:r w:rsidR="003F42AF" w:rsidRPr="00E320CE">
        <w:rPr>
          <w:rFonts w:eastAsia="SimSun"/>
          <w:sz w:val="28"/>
          <w:szCs w:val="28"/>
          <w:lang w:val="es-MX"/>
        </w:rPr>
        <w:t xml:space="preserve"> </w:t>
      </w:r>
      <w:r w:rsidR="00C647B6" w:rsidRPr="00E320CE">
        <w:rPr>
          <w:rFonts w:eastAsia="SimSun"/>
          <w:sz w:val="28"/>
          <w:szCs w:val="28"/>
          <w:lang w:val="es-MX"/>
        </w:rPr>
        <w:t xml:space="preserve">presenta </w:t>
      </w:r>
      <w:r w:rsidR="003F42AF" w:rsidRPr="00E320CE">
        <w:rPr>
          <w:rFonts w:eastAsia="SimSun"/>
          <w:sz w:val="28"/>
          <w:szCs w:val="28"/>
          <w:lang w:val="es-MX"/>
        </w:rPr>
        <w:t>una condición de salud que le impid</w:t>
      </w:r>
      <w:r w:rsidR="00C647B6" w:rsidRPr="00E320CE">
        <w:rPr>
          <w:rFonts w:eastAsia="SimSun"/>
          <w:sz w:val="28"/>
          <w:szCs w:val="28"/>
          <w:lang w:val="es-MX"/>
        </w:rPr>
        <w:t>e</w:t>
      </w:r>
      <w:r w:rsidR="003F42AF" w:rsidRPr="00E320CE">
        <w:rPr>
          <w:rFonts w:eastAsia="SimSun"/>
          <w:sz w:val="28"/>
          <w:szCs w:val="28"/>
          <w:lang w:val="es-MX"/>
        </w:rPr>
        <w:t xml:space="preserve"> o dificult</w:t>
      </w:r>
      <w:r w:rsidR="00C647B6" w:rsidRPr="00E320CE">
        <w:rPr>
          <w:rFonts w:eastAsia="SimSun"/>
          <w:sz w:val="28"/>
          <w:szCs w:val="28"/>
          <w:lang w:val="es-MX"/>
        </w:rPr>
        <w:t>a</w:t>
      </w:r>
      <w:r w:rsidR="003F42AF" w:rsidRPr="00E320CE">
        <w:rPr>
          <w:rFonts w:eastAsia="SimSun"/>
          <w:sz w:val="28"/>
          <w:szCs w:val="28"/>
          <w:lang w:val="es-MX"/>
        </w:rPr>
        <w:t xml:space="preserve"> significativamente el</w:t>
      </w:r>
      <w:r w:rsidR="00C647B6" w:rsidRPr="00E320CE">
        <w:rPr>
          <w:rFonts w:eastAsia="SimSun"/>
          <w:sz w:val="28"/>
          <w:szCs w:val="28"/>
          <w:lang w:val="es-MX"/>
        </w:rPr>
        <w:t xml:space="preserve"> desempeño</w:t>
      </w:r>
      <w:r w:rsidR="003F42AF" w:rsidRPr="00E320CE">
        <w:rPr>
          <w:rFonts w:eastAsia="SimSun"/>
          <w:sz w:val="28"/>
          <w:szCs w:val="28"/>
          <w:lang w:val="es-MX"/>
        </w:rPr>
        <w:t xml:space="preserve"> normal y adecuado de sus funciones</w:t>
      </w:r>
      <w:r w:rsidR="00C647B6" w:rsidRPr="00E320CE">
        <w:rPr>
          <w:rFonts w:eastAsia="SimSun"/>
          <w:sz w:val="28"/>
          <w:szCs w:val="28"/>
          <w:lang w:val="es-MX"/>
        </w:rPr>
        <w:t>;</w:t>
      </w:r>
      <w:r w:rsidR="003F42AF" w:rsidRPr="00E320CE">
        <w:rPr>
          <w:rFonts w:eastAsia="SimSun"/>
          <w:sz w:val="28"/>
          <w:szCs w:val="28"/>
          <w:lang w:val="es-MX"/>
        </w:rPr>
        <w:t xml:space="preserve"> (</w:t>
      </w:r>
      <w:proofErr w:type="spellStart"/>
      <w:r w:rsidR="003F42AF" w:rsidRPr="00E320CE">
        <w:rPr>
          <w:rFonts w:eastAsia="SimSun"/>
          <w:sz w:val="28"/>
          <w:szCs w:val="28"/>
          <w:lang w:val="es-MX"/>
        </w:rPr>
        <w:t>ii</w:t>
      </w:r>
      <w:proofErr w:type="spellEnd"/>
      <w:r w:rsidR="003F42AF" w:rsidRPr="00E320CE">
        <w:rPr>
          <w:rFonts w:eastAsia="SimSun"/>
          <w:sz w:val="28"/>
          <w:szCs w:val="28"/>
          <w:lang w:val="es-MX"/>
        </w:rPr>
        <w:t xml:space="preserve">) el empleador </w:t>
      </w:r>
      <w:r w:rsidR="000F6453" w:rsidRPr="00E320CE">
        <w:rPr>
          <w:rFonts w:eastAsia="SimSun"/>
          <w:sz w:val="28"/>
          <w:szCs w:val="28"/>
          <w:lang w:val="es-MX"/>
        </w:rPr>
        <w:t>o contratante</w:t>
      </w:r>
      <w:r w:rsidR="00C647B6" w:rsidRPr="00E320CE">
        <w:rPr>
          <w:rFonts w:eastAsia="SimSun"/>
          <w:sz w:val="28"/>
          <w:szCs w:val="28"/>
          <w:lang w:val="es-MX"/>
        </w:rPr>
        <w:t xml:space="preserve"> tenía conocimiento</w:t>
      </w:r>
      <w:r w:rsidR="000F6453" w:rsidRPr="00E320CE">
        <w:rPr>
          <w:rFonts w:eastAsia="SimSun"/>
          <w:sz w:val="28"/>
          <w:szCs w:val="28"/>
          <w:lang w:val="es-MX"/>
        </w:rPr>
        <w:t xml:space="preserve"> </w:t>
      </w:r>
      <w:r w:rsidR="00C647B6" w:rsidRPr="00E320CE">
        <w:rPr>
          <w:rFonts w:eastAsia="SimSun"/>
          <w:sz w:val="28"/>
          <w:szCs w:val="28"/>
          <w:lang w:val="es-MX"/>
        </w:rPr>
        <w:t>de dicha</w:t>
      </w:r>
      <w:r w:rsidR="003F42AF" w:rsidRPr="00E320CE">
        <w:rPr>
          <w:rFonts w:eastAsia="SimSun"/>
          <w:sz w:val="28"/>
          <w:szCs w:val="28"/>
          <w:lang w:val="es-MX"/>
        </w:rPr>
        <w:t xml:space="preserve"> condición </w:t>
      </w:r>
      <w:r w:rsidR="00C647B6" w:rsidRPr="00E320CE">
        <w:rPr>
          <w:rFonts w:eastAsia="SimSun"/>
          <w:sz w:val="28"/>
          <w:szCs w:val="28"/>
          <w:lang w:val="es-MX"/>
        </w:rPr>
        <w:t>antes</w:t>
      </w:r>
      <w:r w:rsidR="003F42AF" w:rsidRPr="00E320CE">
        <w:rPr>
          <w:rFonts w:eastAsia="SimSun"/>
          <w:sz w:val="28"/>
          <w:szCs w:val="28"/>
          <w:lang w:val="es-MX"/>
        </w:rPr>
        <w:t xml:space="preserve"> del despido</w:t>
      </w:r>
      <w:r w:rsidR="00661F41" w:rsidRPr="00E320CE">
        <w:rPr>
          <w:rFonts w:eastAsia="SimSun"/>
          <w:sz w:val="28"/>
          <w:szCs w:val="28"/>
          <w:lang w:val="es-MX"/>
        </w:rPr>
        <w:t xml:space="preserve"> o</w:t>
      </w:r>
      <w:r w:rsidR="00C647B6" w:rsidRPr="00E320CE">
        <w:rPr>
          <w:rFonts w:eastAsia="SimSun"/>
          <w:sz w:val="28"/>
          <w:szCs w:val="28"/>
          <w:lang w:val="es-MX"/>
        </w:rPr>
        <w:t xml:space="preserve"> de</w:t>
      </w:r>
      <w:r w:rsidR="00661F41" w:rsidRPr="00E320CE">
        <w:rPr>
          <w:rFonts w:eastAsia="SimSun"/>
          <w:sz w:val="28"/>
          <w:szCs w:val="28"/>
          <w:lang w:val="es-MX"/>
        </w:rPr>
        <w:t xml:space="preserve"> la terminación de la vinculación</w:t>
      </w:r>
      <w:r w:rsidR="003F42AF" w:rsidRPr="00E320CE">
        <w:rPr>
          <w:rFonts w:eastAsia="SimSun"/>
          <w:sz w:val="28"/>
          <w:szCs w:val="28"/>
          <w:lang w:val="es-MX"/>
        </w:rPr>
        <w:t>; y (</w:t>
      </w:r>
      <w:proofErr w:type="spellStart"/>
      <w:r w:rsidR="003F42AF" w:rsidRPr="00E320CE">
        <w:rPr>
          <w:rFonts w:eastAsia="SimSun"/>
          <w:sz w:val="28"/>
          <w:szCs w:val="28"/>
          <w:lang w:val="es-MX"/>
        </w:rPr>
        <w:t>iii</w:t>
      </w:r>
      <w:proofErr w:type="spellEnd"/>
      <w:r w:rsidR="003F42AF" w:rsidRPr="00E320CE">
        <w:rPr>
          <w:rFonts w:eastAsia="SimSun"/>
          <w:sz w:val="28"/>
          <w:szCs w:val="28"/>
          <w:lang w:val="es-MX"/>
        </w:rPr>
        <w:t xml:space="preserve">) </w:t>
      </w:r>
      <w:r w:rsidR="00C647B6" w:rsidRPr="00E320CE">
        <w:rPr>
          <w:rFonts w:eastAsia="SimSun"/>
          <w:sz w:val="28"/>
          <w:szCs w:val="28"/>
          <w:lang w:val="es-MX"/>
        </w:rPr>
        <w:t xml:space="preserve">no existe </w:t>
      </w:r>
      <w:r w:rsidR="003F42AF" w:rsidRPr="00E320CE">
        <w:rPr>
          <w:rFonts w:eastAsia="SimSun"/>
          <w:sz w:val="28"/>
          <w:szCs w:val="28"/>
          <w:lang w:val="es-MX"/>
        </w:rPr>
        <w:t>una justificación</w:t>
      </w:r>
      <w:r w:rsidR="00C647B6" w:rsidRPr="00E320CE">
        <w:rPr>
          <w:rFonts w:eastAsia="SimSun"/>
          <w:sz w:val="28"/>
          <w:szCs w:val="28"/>
          <w:lang w:val="es-MX"/>
        </w:rPr>
        <w:t xml:space="preserve"> válida</w:t>
      </w:r>
      <w:r w:rsidR="003F42AF" w:rsidRPr="00E320CE">
        <w:rPr>
          <w:rFonts w:eastAsia="SimSun"/>
          <w:sz w:val="28"/>
          <w:szCs w:val="28"/>
          <w:lang w:val="es-MX"/>
        </w:rPr>
        <w:t xml:space="preserve"> para la desvinculación, de</w:t>
      </w:r>
      <w:r w:rsidR="00C647B6" w:rsidRPr="00E320CE">
        <w:rPr>
          <w:rFonts w:eastAsia="SimSun"/>
          <w:sz w:val="28"/>
          <w:szCs w:val="28"/>
          <w:lang w:val="es-MX"/>
        </w:rPr>
        <w:t xml:space="preserve"> modo que sea evidente que se fundamentó </w:t>
      </w:r>
      <w:r w:rsidR="003F42AF" w:rsidRPr="00E320CE">
        <w:rPr>
          <w:rFonts w:eastAsia="SimSun"/>
          <w:sz w:val="28"/>
          <w:szCs w:val="28"/>
          <w:lang w:val="es-MX"/>
        </w:rPr>
        <w:t>en un</w:t>
      </w:r>
      <w:r w:rsidR="00481E32" w:rsidRPr="00E320CE">
        <w:rPr>
          <w:rFonts w:eastAsia="SimSun"/>
          <w:sz w:val="28"/>
          <w:szCs w:val="28"/>
          <w:lang w:val="es-MX"/>
        </w:rPr>
        <w:t xml:space="preserve"> acto</w:t>
      </w:r>
      <w:r w:rsidR="003F42AF" w:rsidRPr="00E320CE">
        <w:rPr>
          <w:rFonts w:eastAsia="SimSun"/>
          <w:sz w:val="28"/>
          <w:szCs w:val="28"/>
          <w:lang w:val="es-MX"/>
        </w:rPr>
        <w:t xml:space="preserve"> </w:t>
      </w:r>
      <w:r w:rsidR="00481E32" w:rsidRPr="00E320CE">
        <w:rPr>
          <w:rFonts w:eastAsia="SimSun"/>
          <w:sz w:val="28"/>
          <w:szCs w:val="28"/>
          <w:lang w:val="es-MX"/>
        </w:rPr>
        <w:t>discriminatorio</w:t>
      </w:r>
      <w:r w:rsidR="003F42AF" w:rsidRPr="00E320CE">
        <w:rPr>
          <w:rFonts w:eastAsia="SimSun"/>
          <w:sz w:val="28"/>
          <w:szCs w:val="28"/>
          <w:lang w:val="es-MX"/>
        </w:rPr>
        <w:t xml:space="preserve">. Frente a este último punto, la Corte ha </w:t>
      </w:r>
      <w:r w:rsidR="004207C5" w:rsidRPr="00E320CE">
        <w:rPr>
          <w:rFonts w:eastAsia="SimSun"/>
          <w:sz w:val="28"/>
          <w:szCs w:val="28"/>
          <w:lang w:val="es-MX"/>
        </w:rPr>
        <w:t xml:space="preserve">sostenido en </w:t>
      </w:r>
      <w:r w:rsidR="004207C5" w:rsidRPr="00E320CE">
        <w:rPr>
          <w:rFonts w:eastAsia="SimSun"/>
          <w:sz w:val="28"/>
          <w:szCs w:val="28"/>
          <w:lang w:val="es-MX"/>
        </w:rPr>
        <w:lastRenderedPageBreak/>
        <w:t>repetidas ocasiones</w:t>
      </w:r>
      <w:r w:rsidR="003F42AF" w:rsidRPr="00E320CE">
        <w:rPr>
          <w:rFonts w:eastAsia="SimSun"/>
          <w:sz w:val="28"/>
          <w:szCs w:val="28"/>
          <w:lang w:val="es-MX"/>
        </w:rPr>
        <w:t xml:space="preserve"> que el despido de trabajadores a raíz de la liquidación de la empresa no </w:t>
      </w:r>
      <w:r w:rsidR="00C647B6" w:rsidRPr="00E320CE">
        <w:rPr>
          <w:rFonts w:eastAsia="SimSun"/>
          <w:sz w:val="28"/>
          <w:szCs w:val="28"/>
          <w:lang w:val="es-MX"/>
        </w:rPr>
        <w:t xml:space="preserve">constituye </w:t>
      </w:r>
      <w:r w:rsidR="003F42AF" w:rsidRPr="00E320CE">
        <w:rPr>
          <w:rFonts w:eastAsia="SimSun"/>
          <w:sz w:val="28"/>
          <w:szCs w:val="28"/>
          <w:lang w:val="es-MX"/>
        </w:rPr>
        <w:t xml:space="preserve"> una </w:t>
      </w:r>
      <w:proofErr w:type="spellStart"/>
      <w:r w:rsidR="003F42AF" w:rsidRPr="00E320CE">
        <w:rPr>
          <w:rFonts w:eastAsia="SimSun"/>
          <w:sz w:val="28"/>
          <w:szCs w:val="28"/>
          <w:lang w:val="es-MX"/>
        </w:rPr>
        <w:t>causal</w:t>
      </w:r>
      <w:proofErr w:type="spellEnd"/>
      <w:r w:rsidR="003F42AF" w:rsidRPr="00E320CE">
        <w:rPr>
          <w:rFonts w:eastAsia="SimSun"/>
          <w:sz w:val="28"/>
          <w:szCs w:val="28"/>
          <w:lang w:val="es-MX"/>
        </w:rPr>
        <w:t xml:space="preserve"> </w:t>
      </w:r>
      <w:r w:rsidR="006A66A5" w:rsidRPr="00E320CE">
        <w:rPr>
          <w:rFonts w:eastAsia="SimSun"/>
          <w:sz w:val="28"/>
          <w:szCs w:val="28"/>
          <w:lang w:val="es-MX"/>
        </w:rPr>
        <w:t>justa</w:t>
      </w:r>
      <w:r w:rsidR="003F42AF" w:rsidRPr="00E320CE">
        <w:rPr>
          <w:rFonts w:eastAsia="SimSun"/>
          <w:sz w:val="28"/>
          <w:szCs w:val="28"/>
          <w:lang w:val="es-MX"/>
        </w:rPr>
        <w:t xml:space="preserve"> de terminación, por lo que no desvirt</w:t>
      </w:r>
      <w:r w:rsidR="00C647B6" w:rsidRPr="00E320CE">
        <w:rPr>
          <w:rFonts w:eastAsia="SimSun"/>
          <w:sz w:val="28"/>
          <w:szCs w:val="28"/>
          <w:lang w:val="es-MX"/>
        </w:rPr>
        <w:t>ú</w:t>
      </w:r>
      <w:r w:rsidR="003F42AF" w:rsidRPr="00E320CE">
        <w:rPr>
          <w:rFonts w:eastAsia="SimSun"/>
          <w:sz w:val="28"/>
          <w:szCs w:val="28"/>
          <w:lang w:val="es-MX"/>
        </w:rPr>
        <w:t>a la presunción de discriminación.</w:t>
      </w:r>
    </w:p>
    <w:p w14:paraId="54CF77EF" w14:textId="77777777" w:rsidR="0017532F" w:rsidRPr="00E320CE" w:rsidRDefault="0017532F" w:rsidP="0017532F">
      <w:pPr>
        <w:autoSpaceDE/>
        <w:autoSpaceDN/>
        <w:jc w:val="both"/>
        <w:rPr>
          <w:rFonts w:eastAsia="SimSun"/>
          <w:sz w:val="28"/>
          <w:szCs w:val="28"/>
          <w:lang w:val="es-MX"/>
        </w:rPr>
      </w:pPr>
    </w:p>
    <w:p w14:paraId="7989F4CF" w14:textId="25F7D0F8" w:rsidR="0017532F" w:rsidRPr="00E320CE" w:rsidRDefault="0017532F" w:rsidP="00B6575D">
      <w:pPr>
        <w:pStyle w:val="Prrafodelista"/>
        <w:numPr>
          <w:ilvl w:val="0"/>
          <w:numId w:val="33"/>
        </w:numPr>
        <w:autoSpaceDE/>
        <w:autoSpaceDN/>
        <w:jc w:val="both"/>
        <w:rPr>
          <w:rFonts w:eastAsia="SimSun"/>
          <w:b/>
          <w:bCs/>
          <w:sz w:val="28"/>
          <w:szCs w:val="28"/>
          <w:lang w:val="es-MX"/>
        </w:rPr>
      </w:pPr>
      <w:r w:rsidRPr="00E320CE">
        <w:rPr>
          <w:rFonts w:eastAsia="SimSun"/>
          <w:b/>
          <w:bCs/>
          <w:sz w:val="28"/>
          <w:szCs w:val="28"/>
          <w:lang w:val="es-MX"/>
        </w:rPr>
        <w:t>Estabilidad laboral reforzadas en contextos de sustitución patronal</w:t>
      </w:r>
    </w:p>
    <w:p w14:paraId="51C8EE91" w14:textId="77777777" w:rsidR="0017532F" w:rsidRPr="00E320CE" w:rsidRDefault="0017532F" w:rsidP="0017532F">
      <w:pPr>
        <w:autoSpaceDE/>
        <w:autoSpaceDN/>
        <w:jc w:val="both"/>
        <w:rPr>
          <w:rFonts w:eastAsia="SimSun"/>
          <w:sz w:val="28"/>
          <w:szCs w:val="28"/>
          <w:lang w:val="es-MX"/>
        </w:rPr>
      </w:pPr>
    </w:p>
    <w:p w14:paraId="4465F131" w14:textId="10DE253E" w:rsidR="002C1C9D" w:rsidRPr="00E320CE" w:rsidRDefault="00F56A35" w:rsidP="00F56A3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El artículo 67 del Código Sustantivo del Trabajo define la sustitución patronal como “todo cambio de un {empleador} por otro, por cualquier causa, siempre que subsista la identidad del establecimiento, es decir, en cuanto éste no sufra variaciones esenciales en el giro de sus actividades o negocios”</w:t>
      </w:r>
      <w:r w:rsidRPr="00E320CE">
        <w:rPr>
          <w:rStyle w:val="Refdenotaalpie"/>
          <w:rFonts w:eastAsia="SimSun"/>
          <w:sz w:val="28"/>
          <w:szCs w:val="28"/>
          <w:lang w:val="es-MX"/>
        </w:rPr>
        <w:footnoteReference w:id="129"/>
      </w:r>
      <w:r w:rsidRPr="00E320CE">
        <w:rPr>
          <w:rFonts w:eastAsia="SimSun"/>
          <w:sz w:val="28"/>
          <w:szCs w:val="28"/>
          <w:lang w:val="es-MX"/>
        </w:rPr>
        <w:t>. La finalidad de esta medida, de acuerdo con la jurisprudencia de esta Corporación, es proteger los derechos de los trabajadores y las relaciones laborales acordadas previamente en casos en los que se presente un cambio de empleadores</w:t>
      </w:r>
      <w:r w:rsidR="003A387B" w:rsidRPr="00E320CE">
        <w:rPr>
          <w:rFonts w:eastAsia="SimSun"/>
          <w:sz w:val="28"/>
          <w:szCs w:val="28"/>
          <w:lang w:val="es-MX"/>
        </w:rPr>
        <w:t>,</w:t>
      </w:r>
      <w:r w:rsidR="00112FFE" w:rsidRPr="00E320CE">
        <w:rPr>
          <w:rFonts w:eastAsia="SimSun"/>
          <w:sz w:val="28"/>
          <w:szCs w:val="28"/>
          <w:lang w:val="es-MX"/>
        </w:rPr>
        <w:t xml:space="preserve"> haciendo oponibles </w:t>
      </w:r>
      <w:r w:rsidR="00DA4ACD" w:rsidRPr="00E320CE">
        <w:rPr>
          <w:rFonts w:eastAsia="SimSun"/>
          <w:sz w:val="28"/>
          <w:szCs w:val="28"/>
          <w:lang w:val="es-MX"/>
        </w:rPr>
        <w:t>esas</w:t>
      </w:r>
      <w:r w:rsidR="003A387B" w:rsidRPr="00E320CE">
        <w:rPr>
          <w:rFonts w:eastAsia="SimSun"/>
          <w:sz w:val="28"/>
          <w:szCs w:val="28"/>
          <w:lang w:val="es-MX"/>
        </w:rPr>
        <w:t xml:space="preserve"> obligaciones </w:t>
      </w:r>
      <w:r w:rsidR="00112FFE" w:rsidRPr="00E320CE">
        <w:rPr>
          <w:rFonts w:eastAsia="SimSun"/>
          <w:sz w:val="28"/>
          <w:szCs w:val="28"/>
          <w:lang w:val="es-MX"/>
        </w:rPr>
        <w:t>a</w:t>
      </w:r>
      <w:r w:rsidR="003A387B" w:rsidRPr="00E320CE">
        <w:rPr>
          <w:rFonts w:eastAsia="SimSun"/>
          <w:sz w:val="28"/>
          <w:szCs w:val="28"/>
          <w:lang w:val="es-MX"/>
        </w:rPr>
        <w:t xml:space="preserve">l </w:t>
      </w:r>
      <w:r w:rsidR="00112FFE" w:rsidRPr="00E320CE">
        <w:rPr>
          <w:rFonts w:eastAsia="SimSun"/>
          <w:sz w:val="28"/>
          <w:szCs w:val="28"/>
          <w:lang w:val="es-MX"/>
        </w:rPr>
        <w:t>nuevo patrono</w:t>
      </w:r>
      <w:r w:rsidRPr="00E320CE">
        <w:rPr>
          <w:rStyle w:val="Refdenotaalpie"/>
          <w:rFonts w:eastAsia="SimSun"/>
          <w:sz w:val="28"/>
          <w:szCs w:val="28"/>
          <w:lang w:val="es-MX"/>
        </w:rPr>
        <w:footnoteReference w:id="130"/>
      </w:r>
      <w:r w:rsidRPr="00E320CE">
        <w:rPr>
          <w:rFonts w:eastAsia="SimSun"/>
          <w:sz w:val="28"/>
          <w:szCs w:val="28"/>
          <w:lang w:val="es-MX"/>
        </w:rPr>
        <w:t>.</w:t>
      </w:r>
      <w:r w:rsidR="003A387B" w:rsidRPr="00E320CE">
        <w:rPr>
          <w:rFonts w:eastAsia="SimSun"/>
          <w:sz w:val="28"/>
          <w:szCs w:val="28"/>
          <w:lang w:val="es-MX"/>
        </w:rPr>
        <w:t xml:space="preserve"> De esa forma, la sustitución patronal evita, por ejemplo, que un trabajador pierda su derecho a la estabilidad laboral reforzada</w:t>
      </w:r>
      <w:r w:rsidR="003A387B" w:rsidRPr="00E320CE">
        <w:rPr>
          <w:rStyle w:val="Refdenotaalpie"/>
          <w:rFonts w:eastAsia="SimSun"/>
          <w:sz w:val="28"/>
          <w:szCs w:val="28"/>
          <w:lang w:val="es-MX"/>
        </w:rPr>
        <w:footnoteReference w:id="131"/>
      </w:r>
      <w:r w:rsidR="003A387B" w:rsidRPr="00E320CE">
        <w:rPr>
          <w:rFonts w:eastAsia="SimSun"/>
          <w:sz w:val="28"/>
          <w:szCs w:val="28"/>
          <w:lang w:val="es-MX"/>
        </w:rPr>
        <w:t>.</w:t>
      </w:r>
    </w:p>
    <w:p w14:paraId="5B253D94" w14:textId="77777777" w:rsidR="00F56A35" w:rsidRPr="00E320CE" w:rsidRDefault="00F56A35" w:rsidP="00F56A35">
      <w:pPr>
        <w:pStyle w:val="Prrafodelista"/>
        <w:autoSpaceDE/>
        <w:autoSpaceDN/>
        <w:ind w:left="0"/>
        <w:contextualSpacing w:val="0"/>
        <w:jc w:val="both"/>
        <w:rPr>
          <w:rFonts w:eastAsia="SimSun"/>
          <w:sz w:val="28"/>
          <w:szCs w:val="28"/>
          <w:lang w:val="es-MX"/>
        </w:rPr>
      </w:pPr>
    </w:p>
    <w:p w14:paraId="1D41E23A" w14:textId="46E9EAE9" w:rsidR="00F56A35" w:rsidRPr="00E320CE" w:rsidRDefault="00F56A35" w:rsidP="00F56A3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Deben acreditarse tres requisitos para que la sustitución patronal se configure: “(i) un cambio de empleador; (</w:t>
      </w:r>
      <w:proofErr w:type="spellStart"/>
      <w:r w:rsidRPr="00E320CE">
        <w:rPr>
          <w:rFonts w:eastAsia="SimSun"/>
          <w:sz w:val="28"/>
          <w:szCs w:val="28"/>
          <w:lang w:val="es-MX"/>
        </w:rPr>
        <w:t>ii</w:t>
      </w:r>
      <w:proofErr w:type="spellEnd"/>
      <w:r w:rsidRPr="00E320CE">
        <w:rPr>
          <w:rFonts w:eastAsia="SimSun"/>
          <w:sz w:val="28"/>
          <w:szCs w:val="28"/>
          <w:lang w:val="es-MX"/>
        </w:rPr>
        <w:t>) la continuidad de la empresa o afinidad en sus operaciones; y (</w:t>
      </w:r>
      <w:proofErr w:type="spellStart"/>
      <w:r w:rsidRPr="00E320CE">
        <w:rPr>
          <w:rFonts w:eastAsia="SimSun"/>
          <w:sz w:val="28"/>
          <w:szCs w:val="28"/>
          <w:lang w:val="es-MX"/>
        </w:rPr>
        <w:t>iii</w:t>
      </w:r>
      <w:proofErr w:type="spellEnd"/>
      <w:r w:rsidRPr="00E320CE">
        <w:rPr>
          <w:rFonts w:eastAsia="SimSun"/>
          <w:sz w:val="28"/>
          <w:szCs w:val="28"/>
          <w:lang w:val="es-MX"/>
        </w:rPr>
        <w:t>) la continuidad del trabajador”</w:t>
      </w:r>
      <w:r w:rsidRPr="00E320CE">
        <w:rPr>
          <w:rStyle w:val="Refdenotaalpie"/>
          <w:rFonts w:eastAsia="SimSun"/>
          <w:sz w:val="28"/>
          <w:szCs w:val="28"/>
          <w:lang w:val="es-MX"/>
        </w:rPr>
        <w:footnoteReference w:id="132"/>
      </w:r>
      <w:r w:rsidRPr="00E320CE">
        <w:rPr>
          <w:rFonts w:eastAsia="SimSun"/>
          <w:sz w:val="28"/>
          <w:szCs w:val="28"/>
          <w:lang w:val="es-MX"/>
        </w:rPr>
        <w:t>.</w:t>
      </w:r>
      <w:r w:rsidR="00DA2614" w:rsidRPr="00E320CE">
        <w:rPr>
          <w:rFonts w:eastAsia="SimSun"/>
          <w:sz w:val="28"/>
          <w:szCs w:val="28"/>
          <w:lang w:val="es-MX"/>
        </w:rPr>
        <w:t xml:space="preserve"> De acuerdo </w:t>
      </w:r>
      <w:r w:rsidR="00DA4ACD" w:rsidRPr="00E320CE">
        <w:rPr>
          <w:rFonts w:eastAsia="SimSun"/>
          <w:sz w:val="28"/>
          <w:szCs w:val="28"/>
          <w:lang w:val="es-MX"/>
        </w:rPr>
        <w:t xml:space="preserve">con </w:t>
      </w:r>
      <w:r w:rsidR="00DA2614" w:rsidRPr="00E320CE">
        <w:rPr>
          <w:rFonts w:eastAsia="SimSun"/>
          <w:sz w:val="28"/>
          <w:szCs w:val="28"/>
          <w:lang w:val="es-MX"/>
        </w:rPr>
        <w:t>el artículo 53 del Decreto 2127 de 1945, el cambio de empleador puede ser resultado de la “muerte del primitivo dueño, o por enajenación a cualquier título, o por transformación de la sociedad empresaria o por contrato de administración delegada o por otras causas análogas”</w:t>
      </w:r>
      <w:r w:rsidR="00DA2614" w:rsidRPr="00E320CE">
        <w:rPr>
          <w:rStyle w:val="Refdenotaalpie"/>
          <w:rFonts w:eastAsia="SimSun"/>
          <w:sz w:val="28"/>
          <w:szCs w:val="28"/>
          <w:lang w:val="es-MX"/>
        </w:rPr>
        <w:footnoteReference w:id="133"/>
      </w:r>
      <w:r w:rsidR="00DA2614" w:rsidRPr="00E320CE">
        <w:rPr>
          <w:rFonts w:eastAsia="SimSun"/>
          <w:sz w:val="28"/>
          <w:szCs w:val="28"/>
          <w:lang w:val="es-MX"/>
        </w:rPr>
        <w:t>.</w:t>
      </w:r>
      <w:r w:rsidR="0012760D" w:rsidRPr="00E320CE">
        <w:rPr>
          <w:rFonts w:eastAsia="SimSun"/>
          <w:sz w:val="28"/>
          <w:szCs w:val="28"/>
          <w:lang w:val="es-MX"/>
        </w:rPr>
        <w:t xml:space="preserve"> La Corte Constitucional ha reconocido como escenarios en los que se produce el cambio de empleador cuando existe un contrato de arrendamiento de la razón social de una empresa</w:t>
      </w:r>
      <w:r w:rsidR="0012760D" w:rsidRPr="00E320CE">
        <w:rPr>
          <w:rStyle w:val="Refdenotaalpie"/>
          <w:rFonts w:eastAsia="SimSun"/>
          <w:sz w:val="28"/>
          <w:szCs w:val="28"/>
          <w:lang w:val="es-MX"/>
        </w:rPr>
        <w:footnoteReference w:id="134"/>
      </w:r>
      <w:r w:rsidR="0012760D" w:rsidRPr="00E320CE">
        <w:rPr>
          <w:rFonts w:eastAsia="SimSun"/>
          <w:sz w:val="28"/>
          <w:szCs w:val="28"/>
          <w:lang w:val="es-MX"/>
        </w:rPr>
        <w:t xml:space="preserve">, </w:t>
      </w:r>
      <w:r w:rsidR="00DA4ACD" w:rsidRPr="00E320CE">
        <w:rPr>
          <w:rFonts w:eastAsia="SimSun"/>
          <w:sz w:val="28"/>
          <w:szCs w:val="28"/>
          <w:lang w:val="es-MX"/>
        </w:rPr>
        <w:t xml:space="preserve">cuando </w:t>
      </w:r>
      <w:r w:rsidR="004228C9" w:rsidRPr="00E320CE">
        <w:rPr>
          <w:rFonts w:eastAsia="SimSun"/>
          <w:sz w:val="28"/>
          <w:szCs w:val="28"/>
          <w:lang w:val="es-MX"/>
        </w:rPr>
        <w:t xml:space="preserve">un ente territorial adjudica un contrato de concesión a una nueva empresa </w:t>
      </w:r>
      <w:r w:rsidR="00293094" w:rsidRPr="00E320CE">
        <w:rPr>
          <w:rFonts w:eastAsia="SimSun"/>
          <w:sz w:val="28"/>
          <w:szCs w:val="28"/>
          <w:lang w:val="es-MX"/>
        </w:rPr>
        <w:t>para la explotación de un monopolio rentístico</w:t>
      </w:r>
      <w:r w:rsidR="00293094" w:rsidRPr="00E320CE">
        <w:rPr>
          <w:rStyle w:val="Refdenotaalpie"/>
          <w:rFonts w:eastAsia="SimSun"/>
          <w:sz w:val="28"/>
          <w:szCs w:val="28"/>
          <w:lang w:val="es-MX"/>
        </w:rPr>
        <w:footnoteReference w:id="135"/>
      </w:r>
      <w:r w:rsidR="00197CEC" w:rsidRPr="00E320CE">
        <w:rPr>
          <w:rFonts w:eastAsia="SimSun"/>
          <w:sz w:val="28"/>
          <w:szCs w:val="28"/>
          <w:lang w:val="es-MX"/>
        </w:rPr>
        <w:t xml:space="preserve"> y</w:t>
      </w:r>
      <w:r w:rsidR="0007276B" w:rsidRPr="00E320CE">
        <w:rPr>
          <w:rFonts w:eastAsia="SimSun"/>
          <w:sz w:val="28"/>
          <w:szCs w:val="28"/>
          <w:lang w:val="es-MX"/>
        </w:rPr>
        <w:t xml:space="preserve"> </w:t>
      </w:r>
      <w:r w:rsidR="00DA4ACD" w:rsidRPr="00E320CE">
        <w:rPr>
          <w:rFonts w:eastAsia="SimSun"/>
          <w:sz w:val="28"/>
          <w:szCs w:val="28"/>
          <w:lang w:val="es-MX"/>
        </w:rPr>
        <w:t xml:space="preserve">cuando </w:t>
      </w:r>
      <w:r w:rsidR="0007276B" w:rsidRPr="00E320CE">
        <w:rPr>
          <w:rFonts w:eastAsia="SimSun"/>
          <w:sz w:val="28"/>
          <w:szCs w:val="28"/>
          <w:lang w:val="es-MX"/>
        </w:rPr>
        <w:t>el titular en una notaría es relevado por otro</w:t>
      </w:r>
      <w:r w:rsidR="0007276B" w:rsidRPr="00E320CE">
        <w:rPr>
          <w:rStyle w:val="Refdenotaalpie"/>
          <w:rFonts w:eastAsia="SimSun"/>
          <w:sz w:val="28"/>
          <w:szCs w:val="28"/>
          <w:lang w:val="es-MX"/>
        </w:rPr>
        <w:footnoteReference w:id="136"/>
      </w:r>
      <w:r w:rsidR="00197CEC" w:rsidRPr="00E320CE">
        <w:rPr>
          <w:rFonts w:eastAsia="SimSun"/>
          <w:sz w:val="28"/>
          <w:szCs w:val="28"/>
          <w:lang w:val="es-MX"/>
        </w:rPr>
        <w:t>.</w:t>
      </w:r>
    </w:p>
    <w:p w14:paraId="731AF4EE" w14:textId="77777777" w:rsidR="00800DDF" w:rsidRPr="00E320CE" w:rsidRDefault="00800DDF" w:rsidP="00800DDF">
      <w:pPr>
        <w:pStyle w:val="Prrafodelista"/>
        <w:rPr>
          <w:rFonts w:eastAsia="SimSun"/>
          <w:sz w:val="28"/>
          <w:szCs w:val="28"/>
          <w:lang w:val="es-MX"/>
        </w:rPr>
      </w:pPr>
    </w:p>
    <w:p w14:paraId="7D2798B9" w14:textId="6F2BEB65" w:rsidR="00800DDF" w:rsidRPr="00E320CE" w:rsidRDefault="00800DDF" w:rsidP="00F56A3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En segundo lugar, la continuidad de la empresa o afinidad en sus operaciones</w:t>
      </w:r>
      <w:r w:rsidR="008C7639" w:rsidRPr="00E320CE">
        <w:rPr>
          <w:rFonts w:eastAsia="SimSun"/>
          <w:sz w:val="28"/>
          <w:szCs w:val="28"/>
          <w:lang w:val="es-MX"/>
        </w:rPr>
        <w:t xml:space="preserve"> implica demostrar que el nuevo empleador conservó el giro ordinario de los negocios y el mismo objeto social, y continuó prestando el mismo servicio que la empresa sustituida</w:t>
      </w:r>
      <w:r w:rsidR="008C7639" w:rsidRPr="00E320CE">
        <w:rPr>
          <w:rStyle w:val="Refdenotaalpie"/>
          <w:rFonts w:eastAsia="SimSun"/>
          <w:sz w:val="28"/>
          <w:szCs w:val="28"/>
          <w:lang w:val="es-MX"/>
        </w:rPr>
        <w:footnoteReference w:id="137"/>
      </w:r>
      <w:r w:rsidR="008C7639" w:rsidRPr="00E320CE">
        <w:rPr>
          <w:rFonts w:eastAsia="SimSun"/>
          <w:sz w:val="28"/>
          <w:szCs w:val="28"/>
          <w:lang w:val="es-MX"/>
        </w:rPr>
        <w:t>.</w:t>
      </w:r>
      <w:r w:rsidR="00C57510" w:rsidRPr="00E320CE">
        <w:rPr>
          <w:rFonts w:eastAsia="SimSun"/>
          <w:sz w:val="28"/>
          <w:szCs w:val="28"/>
          <w:lang w:val="es-MX"/>
        </w:rPr>
        <w:t xml:space="preserve"> Es importante tener en cuenta que, de acuerdo con el artículo 53 del Decreto Ley 2127 de 1945, “[l]a sustitución puede ser total o parcial, teniéndose como parcial la que se refiere a una porción del negocio o empresa, susceptible de ser considerada y manejada como unidad económica independiente”</w:t>
      </w:r>
      <w:r w:rsidR="00C57510" w:rsidRPr="00E320CE">
        <w:rPr>
          <w:rStyle w:val="Refdenotaalpie"/>
          <w:rFonts w:eastAsia="SimSun"/>
          <w:sz w:val="28"/>
          <w:szCs w:val="28"/>
          <w:lang w:val="es-MX"/>
        </w:rPr>
        <w:footnoteReference w:id="138"/>
      </w:r>
      <w:r w:rsidR="00C57510" w:rsidRPr="00E320CE">
        <w:rPr>
          <w:rFonts w:eastAsia="SimSun"/>
          <w:sz w:val="28"/>
          <w:szCs w:val="28"/>
          <w:lang w:val="es-MX"/>
        </w:rPr>
        <w:t>.</w:t>
      </w:r>
    </w:p>
    <w:p w14:paraId="3DE27262" w14:textId="77777777" w:rsidR="00C57510" w:rsidRPr="00E320CE" w:rsidRDefault="00C57510" w:rsidP="00C57510">
      <w:pPr>
        <w:pStyle w:val="Prrafodelista"/>
        <w:rPr>
          <w:rFonts w:eastAsia="SimSun"/>
          <w:sz w:val="28"/>
          <w:szCs w:val="28"/>
          <w:lang w:val="es-MX"/>
        </w:rPr>
      </w:pPr>
    </w:p>
    <w:p w14:paraId="0129DBD0" w14:textId="6B91981C" w:rsidR="00C57510" w:rsidRPr="00E320CE" w:rsidRDefault="00C57510" w:rsidP="00F56A3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Finalmente</w:t>
      </w:r>
      <w:r w:rsidR="0075275D" w:rsidRPr="00E320CE">
        <w:rPr>
          <w:rFonts w:eastAsia="SimSun"/>
          <w:sz w:val="28"/>
          <w:szCs w:val="28"/>
          <w:lang w:val="es-MX"/>
        </w:rPr>
        <w:t xml:space="preserve">, la continuidad del trabajador </w:t>
      </w:r>
      <w:r w:rsidR="00E00FCE" w:rsidRPr="00E320CE">
        <w:rPr>
          <w:rFonts w:eastAsia="SimSun"/>
          <w:sz w:val="28"/>
          <w:szCs w:val="28"/>
          <w:lang w:val="es-MX"/>
        </w:rPr>
        <w:t>requiere</w:t>
      </w:r>
      <w:r w:rsidR="001A7A87" w:rsidRPr="00E320CE">
        <w:rPr>
          <w:rFonts w:eastAsia="SimSun"/>
          <w:sz w:val="28"/>
          <w:szCs w:val="28"/>
          <w:lang w:val="es-MX"/>
        </w:rPr>
        <w:t xml:space="preserve">, en principio, </w:t>
      </w:r>
      <w:r w:rsidR="00E00FCE" w:rsidRPr="00E320CE">
        <w:rPr>
          <w:rFonts w:eastAsia="SimSun"/>
          <w:sz w:val="28"/>
          <w:szCs w:val="28"/>
          <w:lang w:val="es-MX"/>
        </w:rPr>
        <w:t xml:space="preserve">que el empleado </w:t>
      </w:r>
      <w:r w:rsidR="00722628" w:rsidRPr="00E320CE">
        <w:rPr>
          <w:rFonts w:eastAsia="SimSun"/>
          <w:sz w:val="28"/>
          <w:szCs w:val="28"/>
          <w:lang w:val="es-MX"/>
        </w:rPr>
        <w:t>continúe</w:t>
      </w:r>
      <w:r w:rsidR="00E00FCE" w:rsidRPr="00E320CE">
        <w:rPr>
          <w:rFonts w:eastAsia="SimSun"/>
          <w:sz w:val="28"/>
          <w:szCs w:val="28"/>
          <w:lang w:val="es-MX"/>
        </w:rPr>
        <w:t xml:space="preserve"> prestando sus servicios o </w:t>
      </w:r>
      <w:r w:rsidR="00C93937" w:rsidRPr="00E320CE">
        <w:rPr>
          <w:rFonts w:eastAsia="SimSun"/>
          <w:sz w:val="28"/>
          <w:szCs w:val="28"/>
          <w:lang w:val="es-MX"/>
        </w:rPr>
        <w:t xml:space="preserve">mantenga </w:t>
      </w:r>
      <w:r w:rsidR="00E00FCE" w:rsidRPr="00E320CE">
        <w:rPr>
          <w:rFonts w:eastAsia="SimSun"/>
          <w:sz w:val="28"/>
          <w:szCs w:val="28"/>
          <w:lang w:val="es-MX"/>
        </w:rPr>
        <w:t>una relación laboral con el nuevo empleador</w:t>
      </w:r>
      <w:r w:rsidR="00E00FCE" w:rsidRPr="00E320CE">
        <w:rPr>
          <w:rStyle w:val="Refdenotaalpie"/>
          <w:rFonts w:eastAsia="SimSun"/>
          <w:sz w:val="28"/>
          <w:szCs w:val="28"/>
          <w:lang w:val="es-MX"/>
        </w:rPr>
        <w:footnoteReference w:id="139"/>
      </w:r>
      <w:r w:rsidR="00E00FCE" w:rsidRPr="00E320CE">
        <w:rPr>
          <w:rFonts w:eastAsia="SimSun"/>
          <w:sz w:val="28"/>
          <w:szCs w:val="28"/>
          <w:lang w:val="es-MX"/>
        </w:rPr>
        <w:t xml:space="preserve">. </w:t>
      </w:r>
      <w:r w:rsidR="009B7F5B" w:rsidRPr="00E320CE">
        <w:rPr>
          <w:rFonts w:eastAsia="SimSun"/>
          <w:sz w:val="28"/>
          <w:szCs w:val="28"/>
          <w:lang w:val="es-MX"/>
        </w:rPr>
        <w:t>No obstante, l</w:t>
      </w:r>
      <w:r w:rsidR="00E00FCE" w:rsidRPr="00E320CE">
        <w:rPr>
          <w:rFonts w:eastAsia="SimSun"/>
          <w:sz w:val="28"/>
          <w:szCs w:val="28"/>
          <w:lang w:val="es-MX"/>
        </w:rPr>
        <w:t>a Corte Constitucional</w:t>
      </w:r>
      <w:r w:rsidR="009B7F5B" w:rsidRPr="00E320CE">
        <w:rPr>
          <w:rFonts w:eastAsia="SimSun"/>
          <w:sz w:val="28"/>
          <w:szCs w:val="28"/>
          <w:lang w:val="es-MX"/>
        </w:rPr>
        <w:t xml:space="preserve"> </w:t>
      </w:r>
      <w:r w:rsidR="00E00FCE" w:rsidRPr="00E320CE">
        <w:rPr>
          <w:rFonts w:eastAsia="SimSun"/>
          <w:sz w:val="28"/>
          <w:szCs w:val="28"/>
          <w:lang w:val="es-MX"/>
        </w:rPr>
        <w:t xml:space="preserve">ha flexibilizado el cumplimiento de este requisito </w:t>
      </w:r>
      <w:r w:rsidR="00990266" w:rsidRPr="00E320CE">
        <w:rPr>
          <w:rFonts w:eastAsia="SimSun"/>
          <w:sz w:val="28"/>
          <w:szCs w:val="28"/>
          <w:lang w:val="es-MX"/>
        </w:rPr>
        <w:t xml:space="preserve">en </w:t>
      </w:r>
      <w:r w:rsidR="009B7F5B" w:rsidRPr="00E320CE">
        <w:rPr>
          <w:rFonts w:eastAsia="SimSun"/>
          <w:sz w:val="28"/>
          <w:szCs w:val="28"/>
          <w:lang w:val="es-MX"/>
        </w:rPr>
        <w:t>ciertas</w:t>
      </w:r>
      <w:r w:rsidR="00990266" w:rsidRPr="00E320CE">
        <w:rPr>
          <w:rFonts w:eastAsia="SimSun"/>
          <w:sz w:val="28"/>
          <w:szCs w:val="28"/>
          <w:lang w:val="es-MX"/>
        </w:rPr>
        <w:t xml:space="preserve"> circunstancias</w:t>
      </w:r>
      <w:r w:rsidR="00F96C70" w:rsidRPr="00E320CE">
        <w:rPr>
          <w:rFonts w:eastAsia="SimSun"/>
          <w:sz w:val="28"/>
          <w:szCs w:val="28"/>
          <w:lang w:val="es-MX"/>
        </w:rPr>
        <w:t>.</w:t>
      </w:r>
    </w:p>
    <w:p w14:paraId="700716AC" w14:textId="77777777" w:rsidR="00DA6A00" w:rsidRPr="00E320CE" w:rsidRDefault="00DA6A00" w:rsidP="00DA6A00">
      <w:pPr>
        <w:pStyle w:val="Prrafodelista"/>
        <w:rPr>
          <w:rFonts w:eastAsia="SimSun"/>
          <w:sz w:val="28"/>
          <w:szCs w:val="28"/>
          <w:lang w:val="es-MX"/>
        </w:rPr>
      </w:pPr>
    </w:p>
    <w:p w14:paraId="2D4FF8C3" w14:textId="6BA9BB30" w:rsidR="00DA6A00" w:rsidRPr="00E320CE" w:rsidRDefault="00DA6A00" w:rsidP="00F56A3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En primer lugar, esta Corporación ha </w:t>
      </w:r>
      <w:r w:rsidR="00D92D9D" w:rsidRPr="00E320CE">
        <w:rPr>
          <w:rFonts w:eastAsia="SimSun"/>
          <w:sz w:val="28"/>
          <w:szCs w:val="28"/>
          <w:lang w:val="es-MX"/>
        </w:rPr>
        <w:t>concluido</w:t>
      </w:r>
      <w:r w:rsidRPr="00E320CE">
        <w:rPr>
          <w:rFonts w:eastAsia="SimSun"/>
          <w:sz w:val="28"/>
          <w:szCs w:val="28"/>
          <w:lang w:val="es-MX"/>
        </w:rPr>
        <w:t xml:space="preserve"> que existe continuidad del trabajador </w:t>
      </w:r>
      <w:r w:rsidR="00945D59" w:rsidRPr="00E320CE">
        <w:rPr>
          <w:rFonts w:eastAsia="SimSun"/>
          <w:sz w:val="28"/>
          <w:szCs w:val="28"/>
          <w:lang w:val="es-MX"/>
        </w:rPr>
        <w:t>cuando</w:t>
      </w:r>
      <w:r w:rsidRPr="00E320CE">
        <w:rPr>
          <w:rFonts w:eastAsia="SimSun"/>
          <w:sz w:val="28"/>
          <w:szCs w:val="28"/>
          <w:lang w:val="es-MX"/>
        </w:rPr>
        <w:t xml:space="preserve"> el cambio de empleador </w:t>
      </w:r>
      <w:r w:rsidR="00945D59" w:rsidRPr="00E320CE">
        <w:rPr>
          <w:rFonts w:eastAsia="SimSun"/>
          <w:sz w:val="28"/>
          <w:szCs w:val="28"/>
          <w:lang w:val="es-MX"/>
        </w:rPr>
        <w:t>ocurre</w:t>
      </w:r>
      <w:r w:rsidRPr="00E320CE">
        <w:rPr>
          <w:rFonts w:eastAsia="SimSun"/>
          <w:sz w:val="28"/>
          <w:szCs w:val="28"/>
          <w:lang w:val="es-MX"/>
        </w:rPr>
        <w:t xml:space="preserve"> antes de que el empleado sea desvinculado</w:t>
      </w:r>
      <w:r w:rsidR="00945D59" w:rsidRPr="00E320CE">
        <w:rPr>
          <w:rFonts w:eastAsia="SimSun"/>
          <w:sz w:val="28"/>
          <w:szCs w:val="28"/>
          <w:lang w:val="es-MX"/>
        </w:rPr>
        <w:t>;</w:t>
      </w:r>
      <w:r w:rsidRPr="00E320CE">
        <w:rPr>
          <w:rFonts w:eastAsia="SimSun"/>
          <w:sz w:val="28"/>
          <w:szCs w:val="28"/>
          <w:lang w:val="es-MX"/>
        </w:rPr>
        <w:t xml:space="preserve"> es decir, mientras el contrato laboral </w:t>
      </w:r>
      <w:r w:rsidR="00F460CD" w:rsidRPr="00E320CE">
        <w:rPr>
          <w:rFonts w:eastAsia="SimSun"/>
          <w:sz w:val="28"/>
          <w:szCs w:val="28"/>
          <w:lang w:val="es-MX"/>
        </w:rPr>
        <w:t xml:space="preserve">celebrado con el antiguo </w:t>
      </w:r>
      <w:r w:rsidR="00CD196B" w:rsidRPr="00E320CE">
        <w:rPr>
          <w:rFonts w:eastAsia="SimSun"/>
          <w:sz w:val="28"/>
          <w:szCs w:val="28"/>
          <w:lang w:val="es-MX"/>
        </w:rPr>
        <w:t>empleador permanece</w:t>
      </w:r>
      <w:r w:rsidRPr="00E320CE">
        <w:rPr>
          <w:rFonts w:eastAsia="SimSun"/>
          <w:sz w:val="28"/>
          <w:szCs w:val="28"/>
          <w:lang w:val="es-MX"/>
        </w:rPr>
        <w:t xml:space="preserve"> vigente. En la Sentencia T-277 de 2020, la Corte estudió la acción de tutela prese</w:t>
      </w:r>
      <w:r w:rsidR="00657F47" w:rsidRPr="00E320CE">
        <w:rPr>
          <w:rFonts w:eastAsia="SimSun"/>
          <w:sz w:val="28"/>
          <w:szCs w:val="28"/>
          <w:lang w:val="es-MX"/>
        </w:rPr>
        <w:t xml:space="preserve">ntada por una trabajadora que fue despedida </w:t>
      </w:r>
      <w:r w:rsidR="0034579F" w:rsidRPr="00E320CE">
        <w:rPr>
          <w:rFonts w:eastAsia="SimSun"/>
          <w:sz w:val="28"/>
          <w:szCs w:val="28"/>
          <w:lang w:val="es-MX"/>
        </w:rPr>
        <w:t xml:space="preserve">mientras tenía incapacidad médica </w:t>
      </w:r>
      <w:r w:rsidR="00657F47" w:rsidRPr="00E320CE">
        <w:rPr>
          <w:rFonts w:eastAsia="SimSun"/>
          <w:sz w:val="28"/>
          <w:szCs w:val="28"/>
          <w:lang w:val="es-MX"/>
        </w:rPr>
        <w:t>a raíz de la venta del establecimiento de comercio</w:t>
      </w:r>
      <w:r w:rsidR="00657F47" w:rsidRPr="00E320CE">
        <w:rPr>
          <w:rStyle w:val="Refdenotaalpie"/>
          <w:rFonts w:eastAsia="SimSun"/>
          <w:sz w:val="28"/>
          <w:szCs w:val="28"/>
          <w:lang w:val="es-MX"/>
        </w:rPr>
        <w:footnoteReference w:id="140"/>
      </w:r>
      <w:r w:rsidR="00657F47" w:rsidRPr="00E320CE">
        <w:rPr>
          <w:rFonts w:eastAsia="SimSun"/>
          <w:sz w:val="28"/>
          <w:szCs w:val="28"/>
          <w:lang w:val="es-MX"/>
        </w:rPr>
        <w:t xml:space="preserve">. La accionante no </w:t>
      </w:r>
      <w:r w:rsidR="00F460CD" w:rsidRPr="00E320CE">
        <w:rPr>
          <w:rFonts w:eastAsia="SimSun"/>
          <w:sz w:val="28"/>
          <w:szCs w:val="28"/>
          <w:lang w:val="es-MX"/>
        </w:rPr>
        <w:t>celebró un nuevo contrato de prestación de servicios o de trabajo</w:t>
      </w:r>
      <w:r w:rsidR="00657F47" w:rsidRPr="00E320CE">
        <w:rPr>
          <w:rFonts w:eastAsia="SimSun"/>
          <w:sz w:val="28"/>
          <w:szCs w:val="28"/>
          <w:lang w:val="es-MX"/>
        </w:rPr>
        <w:t xml:space="preserve"> con el nuevo empleador</w:t>
      </w:r>
      <w:r w:rsidR="00F460CD" w:rsidRPr="00E320CE">
        <w:rPr>
          <w:rFonts w:eastAsia="SimSun"/>
          <w:sz w:val="28"/>
          <w:szCs w:val="28"/>
          <w:lang w:val="es-MX"/>
        </w:rPr>
        <w:t xml:space="preserve"> ni continuó desempeñando sus funciones</w:t>
      </w:r>
      <w:r w:rsidR="00657F47" w:rsidRPr="00E320CE">
        <w:rPr>
          <w:rFonts w:eastAsia="SimSun"/>
          <w:sz w:val="28"/>
          <w:szCs w:val="28"/>
          <w:lang w:val="es-MX"/>
        </w:rPr>
        <w:t xml:space="preserve">, sin embargo, la Sala concluyó que hubo sustitución patronal. Al referirse a la continuidad de la trabajadora sostuvo: </w:t>
      </w:r>
    </w:p>
    <w:p w14:paraId="06E66F58" w14:textId="77777777" w:rsidR="00657F47" w:rsidRPr="00E320CE" w:rsidRDefault="00657F47" w:rsidP="00657F47">
      <w:pPr>
        <w:pStyle w:val="Prrafodelista"/>
        <w:rPr>
          <w:rFonts w:eastAsia="SimSun"/>
          <w:sz w:val="28"/>
          <w:szCs w:val="28"/>
          <w:lang w:val="es-MX"/>
        </w:rPr>
      </w:pPr>
    </w:p>
    <w:p w14:paraId="62F9094B" w14:textId="160BFA9B" w:rsidR="00657F47" w:rsidRPr="00E320CE" w:rsidRDefault="00657F47" w:rsidP="00657F47">
      <w:pPr>
        <w:pStyle w:val="Prrafodelista"/>
        <w:autoSpaceDE/>
        <w:autoSpaceDN/>
        <w:ind w:left="708"/>
        <w:contextualSpacing w:val="0"/>
        <w:jc w:val="both"/>
        <w:rPr>
          <w:rFonts w:eastAsia="SimSun"/>
          <w:sz w:val="24"/>
          <w:szCs w:val="24"/>
          <w:lang w:val="es-MX"/>
        </w:rPr>
      </w:pPr>
      <w:r w:rsidRPr="00E320CE">
        <w:rPr>
          <w:rFonts w:eastAsia="SimSun"/>
          <w:sz w:val="24"/>
          <w:szCs w:val="24"/>
          <w:lang w:val="es-MX"/>
        </w:rPr>
        <w:t xml:space="preserve">“En referencia a este requisito debe precisarse que el cambio de empleador se dio entre los días 14 de marzo y 03 de abril de 2019, siendo este último mes donde se suscribió el contrato de arrendamiento del local comercial, el cual es de propiedad del señor Pérez Carmona. Como se evidenció en el expediente, la carta de notificación enviada por el señor José Humberto a la accionada fue enviada el día 29 de mayo del mismo año, es decir, </w:t>
      </w:r>
      <w:r w:rsidRPr="00E320CE">
        <w:rPr>
          <w:rFonts w:eastAsia="SimSun"/>
          <w:sz w:val="24"/>
          <w:szCs w:val="24"/>
          <w:u w:val="single"/>
          <w:lang w:val="es-MX"/>
        </w:rPr>
        <w:t>la venta del establecimiento tuvo lugar durante la vigencia del contrato laboral</w:t>
      </w:r>
      <w:r w:rsidRPr="00E320CE">
        <w:rPr>
          <w:rFonts w:eastAsia="SimSun"/>
          <w:sz w:val="24"/>
          <w:szCs w:val="24"/>
          <w:lang w:val="es-MX"/>
        </w:rPr>
        <w:t xml:space="preserve"> suscrito entre éste y la señora Martha Lilian Londoño Correa y mientras esta última se encontraba incapacitada en razón a su conocida patología”</w:t>
      </w:r>
      <w:r w:rsidRPr="00E320CE">
        <w:rPr>
          <w:rStyle w:val="Refdenotaalpie"/>
          <w:rFonts w:eastAsia="SimSun"/>
          <w:sz w:val="24"/>
          <w:szCs w:val="24"/>
          <w:lang w:val="es-MX"/>
        </w:rPr>
        <w:footnoteReference w:id="141"/>
      </w:r>
      <w:r w:rsidRPr="00E320CE">
        <w:rPr>
          <w:rFonts w:eastAsia="SimSun"/>
          <w:sz w:val="24"/>
          <w:szCs w:val="24"/>
          <w:lang w:val="es-MX"/>
        </w:rPr>
        <w:t xml:space="preserve">. </w:t>
      </w:r>
    </w:p>
    <w:p w14:paraId="1B639E35" w14:textId="77777777" w:rsidR="00657F47" w:rsidRPr="00E320CE" w:rsidRDefault="00657F47" w:rsidP="00657F47">
      <w:pPr>
        <w:pStyle w:val="Prrafodelista"/>
        <w:rPr>
          <w:rFonts w:eastAsia="SimSun"/>
          <w:sz w:val="28"/>
          <w:szCs w:val="28"/>
          <w:lang w:val="es-MX"/>
        </w:rPr>
      </w:pPr>
    </w:p>
    <w:p w14:paraId="1E28B990" w14:textId="68EA4794" w:rsidR="00657F47" w:rsidRPr="00E320CE" w:rsidRDefault="00657F47" w:rsidP="00F56A3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De esa forma, </w:t>
      </w:r>
      <w:r w:rsidR="009A34DE" w:rsidRPr="00E320CE">
        <w:rPr>
          <w:rFonts w:eastAsia="SimSun"/>
          <w:sz w:val="28"/>
          <w:szCs w:val="28"/>
          <w:lang w:val="es-MX"/>
        </w:rPr>
        <w:t xml:space="preserve">en atención a </w:t>
      </w:r>
      <w:r w:rsidRPr="00E320CE">
        <w:rPr>
          <w:rFonts w:eastAsia="SimSun"/>
          <w:sz w:val="28"/>
          <w:szCs w:val="28"/>
          <w:lang w:val="es-MX"/>
        </w:rPr>
        <w:t>que el artículo 6</w:t>
      </w:r>
      <w:r w:rsidR="00FC2948" w:rsidRPr="00E320CE">
        <w:rPr>
          <w:rFonts w:eastAsia="SimSun"/>
          <w:sz w:val="28"/>
          <w:szCs w:val="28"/>
          <w:lang w:val="es-MX"/>
        </w:rPr>
        <w:t>8</w:t>
      </w:r>
      <w:r w:rsidRPr="00E320CE">
        <w:rPr>
          <w:rFonts w:eastAsia="SimSun"/>
          <w:sz w:val="28"/>
          <w:szCs w:val="28"/>
          <w:lang w:val="es-MX"/>
        </w:rPr>
        <w:t xml:space="preserve"> del Código Sustantivo del Trabajo</w:t>
      </w:r>
      <w:r w:rsidR="009A34DE" w:rsidRPr="00E320CE">
        <w:rPr>
          <w:rFonts w:eastAsia="SimSun"/>
          <w:sz w:val="28"/>
          <w:szCs w:val="28"/>
          <w:lang w:val="es-MX"/>
        </w:rPr>
        <w:t xml:space="preserve"> establece que</w:t>
      </w:r>
      <w:r w:rsidRPr="00E320CE">
        <w:rPr>
          <w:rFonts w:eastAsia="SimSun"/>
          <w:sz w:val="28"/>
          <w:szCs w:val="28"/>
          <w:lang w:val="es-MX"/>
        </w:rPr>
        <w:t xml:space="preserve"> </w:t>
      </w:r>
      <w:r w:rsidR="00F460CD" w:rsidRPr="00E320CE">
        <w:rPr>
          <w:rFonts w:eastAsia="SimSun"/>
          <w:sz w:val="28"/>
          <w:szCs w:val="28"/>
          <w:lang w:val="es-MX"/>
        </w:rPr>
        <w:t xml:space="preserve">el cambio de patrono “no extingue, suspende ni modifica por sí mismo los contratos de trabajo existentes”, esta Corporación concluyó que el contrato laboral </w:t>
      </w:r>
      <w:r w:rsidR="00965551" w:rsidRPr="00E320CE">
        <w:rPr>
          <w:rFonts w:eastAsia="SimSun"/>
          <w:sz w:val="28"/>
          <w:szCs w:val="28"/>
          <w:lang w:val="es-MX"/>
        </w:rPr>
        <w:t xml:space="preserve">celebrado </w:t>
      </w:r>
      <w:r w:rsidR="00BB0287" w:rsidRPr="00E320CE">
        <w:rPr>
          <w:rFonts w:eastAsia="SimSun"/>
          <w:sz w:val="28"/>
          <w:szCs w:val="28"/>
          <w:lang w:val="es-MX"/>
        </w:rPr>
        <w:t xml:space="preserve">entre </w:t>
      </w:r>
      <w:r w:rsidR="00F460CD" w:rsidRPr="00E320CE">
        <w:rPr>
          <w:rFonts w:eastAsia="SimSun"/>
          <w:sz w:val="28"/>
          <w:szCs w:val="28"/>
          <w:lang w:val="es-MX"/>
        </w:rPr>
        <w:t xml:space="preserve">la actora y la antigua empleadora  continuó </w:t>
      </w:r>
      <w:r w:rsidR="00BB0287" w:rsidRPr="00E320CE">
        <w:rPr>
          <w:rFonts w:eastAsia="SimSun"/>
          <w:sz w:val="28"/>
          <w:szCs w:val="28"/>
          <w:lang w:val="es-MX"/>
        </w:rPr>
        <w:t xml:space="preserve">vigente </w:t>
      </w:r>
      <w:r w:rsidR="00F460CD" w:rsidRPr="00E320CE">
        <w:rPr>
          <w:rFonts w:eastAsia="SimSun"/>
          <w:sz w:val="28"/>
          <w:szCs w:val="28"/>
          <w:lang w:val="es-MX"/>
        </w:rPr>
        <w:t xml:space="preserve">con el nuevo </w:t>
      </w:r>
      <w:r w:rsidR="00FC2948" w:rsidRPr="00E320CE">
        <w:rPr>
          <w:rFonts w:eastAsia="SimSun"/>
          <w:sz w:val="28"/>
          <w:szCs w:val="28"/>
          <w:lang w:val="es-MX"/>
        </w:rPr>
        <w:t>empleador</w:t>
      </w:r>
      <w:r w:rsidR="00F460CD" w:rsidRPr="00E320CE">
        <w:rPr>
          <w:rFonts w:eastAsia="SimSun"/>
          <w:sz w:val="28"/>
          <w:szCs w:val="28"/>
          <w:lang w:val="es-MX"/>
        </w:rPr>
        <w:t xml:space="preserve">, por lo que </w:t>
      </w:r>
      <w:r w:rsidR="00BB0287" w:rsidRPr="00E320CE">
        <w:rPr>
          <w:rFonts w:eastAsia="SimSun"/>
          <w:sz w:val="28"/>
          <w:szCs w:val="28"/>
          <w:lang w:val="es-MX"/>
        </w:rPr>
        <w:t xml:space="preserve">se mantuvo la </w:t>
      </w:r>
      <w:r w:rsidR="00F460CD" w:rsidRPr="00E320CE">
        <w:rPr>
          <w:rFonts w:eastAsia="SimSun"/>
          <w:sz w:val="28"/>
          <w:szCs w:val="28"/>
          <w:lang w:val="es-MX"/>
        </w:rPr>
        <w:t>continuidad de la trabajadora</w:t>
      </w:r>
      <w:r w:rsidR="00F460CD" w:rsidRPr="00E320CE">
        <w:rPr>
          <w:rStyle w:val="Refdenotaalpie"/>
          <w:rFonts w:eastAsia="SimSun"/>
          <w:sz w:val="28"/>
          <w:szCs w:val="28"/>
          <w:lang w:val="es-MX"/>
        </w:rPr>
        <w:footnoteReference w:id="142"/>
      </w:r>
      <w:r w:rsidR="00F460CD" w:rsidRPr="00E320CE">
        <w:rPr>
          <w:rFonts w:eastAsia="SimSun"/>
          <w:sz w:val="28"/>
          <w:szCs w:val="28"/>
          <w:lang w:val="es-MX"/>
        </w:rPr>
        <w:t xml:space="preserve">. </w:t>
      </w:r>
    </w:p>
    <w:p w14:paraId="653A058A" w14:textId="77777777" w:rsidR="00E9781B" w:rsidRPr="00E320CE" w:rsidRDefault="00E9781B" w:rsidP="00E9781B">
      <w:pPr>
        <w:pStyle w:val="Prrafodelista"/>
        <w:autoSpaceDE/>
        <w:autoSpaceDN/>
        <w:ind w:left="0"/>
        <w:contextualSpacing w:val="0"/>
        <w:jc w:val="both"/>
        <w:rPr>
          <w:rFonts w:eastAsia="SimSun"/>
          <w:sz w:val="28"/>
          <w:szCs w:val="28"/>
          <w:lang w:val="es-MX"/>
        </w:rPr>
      </w:pPr>
    </w:p>
    <w:p w14:paraId="4159A2BB" w14:textId="0D1022E4" w:rsidR="00E9781B" w:rsidRPr="00E320CE" w:rsidRDefault="00E9781B" w:rsidP="00F56A3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En segundo lugar, esta Corporación ha </w:t>
      </w:r>
      <w:r w:rsidR="00C647B6" w:rsidRPr="00E320CE">
        <w:rPr>
          <w:rFonts w:eastAsia="SimSun"/>
          <w:sz w:val="28"/>
          <w:szCs w:val="28"/>
          <w:lang w:val="es-MX"/>
        </w:rPr>
        <w:t xml:space="preserve">señalado </w:t>
      </w:r>
      <w:r w:rsidRPr="00E320CE">
        <w:rPr>
          <w:rFonts w:eastAsia="SimSun"/>
          <w:sz w:val="28"/>
          <w:szCs w:val="28"/>
          <w:lang w:val="es-MX"/>
        </w:rPr>
        <w:t xml:space="preserve">que no es posible </w:t>
      </w:r>
      <w:r w:rsidR="004A34CE" w:rsidRPr="00E320CE">
        <w:rPr>
          <w:rFonts w:eastAsia="SimSun"/>
          <w:sz w:val="28"/>
          <w:szCs w:val="28"/>
          <w:lang w:val="es-MX"/>
        </w:rPr>
        <w:t>excluir a un trabajador o a un grupo</w:t>
      </w:r>
      <w:r w:rsidR="00C647B6" w:rsidRPr="00E320CE">
        <w:rPr>
          <w:rFonts w:eastAsia="SimSun"/>
          <w:sz w:val="28"/>
          <w:szCs w:val="28"/>
          <w:lang w:val="es-MX"/>
        </w:rPr>
        <w:t xml:space="preserve"> específico</w:t>
      </w:r>
      <w:r w:rsidR="004A34CE" w:rsidRPr="00E320CE">
        <w:rPr>
          <w:rFonts w:eastAsia="SimSun"/>
          <w:sz w:val="28"/>
          <w:szCs w:val="28"/>
          <w:lang w:val="es-MX"/>
        </w:rPr>
        <w:t xml:space="preserve"> de trabajadores de una sustitución patronal. De es</w:t>
      </w:r>
      <w:r w:rsidR="00B61939" w:rsidRPr="00E320CE">
        <w:rPr>
          <w:rFonts w:eastAsia="SimSun"/>
          <w:sz w:val="28"/>
          <w:szCs w:val="28"/>
          <w:lang w:val="es-MX"/>
        </w:rPr>
        <w:t>t</w:t>
      </w:r>
      <w:r w:rsidR="00C647B6" w:rsidRPr="00E320CE">
        <w:rPr>
          <w:rFonts w:eastAsia="SimSun"/>
          <w:sz w:val="28"/>
          <w:szCs w:val="28"/>
          <w:lang w:val="es-MX"/>
        </w:rPr>
        <w:t>e modo</w:t>
      </w:r>
      <w:r w:rsidR="004A34CE" w:rsidRPr="00E320CE">
        <w:rPr>
          <w:rFonts w:eastAsia="SimSun"/>
          <w:sz w:val="28"/>
          <w:szCs w:val="28"/>
          <w:lang w:val="es-MX"/>
        </w:rPr>
        <w:t xml:space="preserve">, </w:t>
      </w:r>
      <w:r w:rsidR="003F02B1" w:rsidRPr="00E320CE">
        <w:rPr>
          <w:rFonts w:eastAsia="SimSun"/>
          <w:sz w:val="28"/>
          <w:szCs w:val="28"/>
          <w:lang w:val="es-MX"/>
        </w:rPr>
        <w:t>la</w:t>
      </w:r>
      <w:r w:rsidR="004A34CE" w:rsidRPr="00E320CE">
        <w:rPr>
          <w:rFonts w:eastAsia="SimSun"/>
          <w:sz w:val="28"/>
          <w:szCs w:val="28"/>
          <w:lang w:val="es-MX"/>
        </w:rPr>
        <w:t xml:space="preserve"> continuidad </w:t>
      </w:r>
      <w:r w:rsidR="003F02B1" w:rsidRPr="00E320CE">
        <w:rPr>
          <w:rFonts w:eastAsia="SimSun"/>
          <w:sz w:val="28"/>
          <w:szCs w:val="28"/>
          <w:lang w:val="es-MX"/>
        </w:rPr>
        <w:t>de los</w:t>
      </w:r>
      <w:r w:rsidR="004A34CE" w:rsidRPr="00E320CE">
        <w:rPr>
          <w:rFonts w:eastAsia="SimSun"/>
          <w:sz w:val="28"/>
          <w:szCs w:val="28"/>
          <w:lang w:val="es-MX"/>
        </w:rPr>
        <w:t xml:space="preserve"> empleado</w:t>
      </w:r>
      <w:r w:rsidR="003F02B1" w:rsidRPr="00E320CE">
        <w:rPr>
          <w:rFonts w:eastAsia="SimSun"/>
          <w:sz w:val="28"/>
          <w:szCs w:val="28"/>
          <w:lang w:val="es-MX"/>
        </w:rPr>
        <w:t xml:space="preserve">s </w:t>
      </w:r>
      <w:r w:rsidR="00A47819" w:rsidRPr="00E320CE">
        <w:rPr>
          <w:rFonts w:eastAsia="SimSun"/>
          <w:sz w:val="28"/>
          <w:szCs w:val="28"/>
          <w:lang w:val="es-MX"/>
        </w:rPr>
        <w:t xml:space="preserve">para quienes </w:t>
      </w:r>
      <w:r w:rsidR="003F02B1" w:rsidRPr="00E320CE">
        <w:rPr>
          <w:rFonts w:eastAsia="SimSun"/>
          <w:sz w:val="28"/>
          <w:szCs w:val="28"/>
          <w:lang w:val="es-MX"/>
        </w:rPr>
        <w:t xml:space="preserve">sí operó la sustitución patronal se extiende </w:t>
      </w:r>
      <w:r w:rsidR="00A47819" w:rsidRPr="00E320CE">
        <w:rPr>
          <w:rFonts w:eastAsia="SimSun"/>
          <w:sz w:val="28"/>
          <w:szCs w:val="28"/>
          <w:lang w:val="es-MX"/>
        </w:rPr>
        <w:t xml:space="preserve">también </w:t>
      </w:r>
      <w:r w:rsidR="003F02B1" w:rsidRPr="00E320CE">
        <w:rPr>
          <w:rFonts w:eastAsia="SimSun"/>
          <w:sz w:val="28"/>
          <w:szCs w:val="28"/>
          <w:lang w:val="es-MX"/>
        </w:rPr>
        <w:t>a aquellos que, en un principio, fueron injustificadamente exclu</w:t>
      </w:r>
      <w:r w:rsidR="00C647B6" w:rsidRPr="00E320CE">
        <w:rPr>
          <w:rFonts w:eastAsia="SimSun"/>
          <w:sz w:val="28"/>
          <w:szCs w:val="28"/>
          <w:lang w:val="es-MX"/>
        </w:rPr>
        <w:t>i</w:t>
      </w:r>
      <w:r w:rsidR="003F02B1" w:rsidRPr="00E320CE">
        <w:rPr>
          <w:rFonts w:eastAsia="SimSun"/>
          <w:sz w:val="28"/>
          <w:szCs w:val="28"/>
          <w:lang w:val="es-MX"/>
        </w:rPr>
        <w:t>dos</w:t>
      </w:r>
      <w:r w:rsidR="00275B70" w:rsidRPr="00E320CE">
        <w:rPr>
          <w:rFonts w:eastAsia="SimSun"/>
          <w:sz w:val="28"/>
          <w:szCs w:val="28"/>
          <w:lang w:val="es-MX"/>
        </w:rPr>
        <w:t>,</w:t>
      </w:r>
      <w:r w:rsidR="004A34CE" w:rsidRPr="00E320CE">
        <w:rPr>
          <w:rFonts w:eastAsia="SimSun"/>
          <w:sz w:val="28"/>
          <w:szCs w:val="28"/>
          <w:lang w:val="es-MX"/>
        </w:rPr>
        <w:t xml:space="preserve"> </w:t>
      </w:r>
      <w:r w:rsidR="00A47819" w:rsidRPr="00E320CE">
        <w:rPr>
          <w:rFonts w:eastAsia="SimSun"/>
          <w:sz w:val="28"/>
          <w:szCs w:val="28"/>
          <w:lang w:val="es-MX"/>
        </w:rPr>
        <w:t>incluso si no prestaron</w:t>
      </w:r>
      <w:r w:rsidR="003F02B1" w:rsidRPr="00E320CE">
        <w:rPr>
          <w:rFonts w:eastAsia="SimSun"/>
          <w:sz w:val="28"/>
          <w:szCs w:val="28"/>
          <w:lang w:val="es-MX"/>
        </w:rPr>
        <w:t xml:space="preserve"> sus servicios o </w:t>
      </w:r>
      <w:r w:rsidR="00C647B6" w:rsidRPr="00E320CE">
        <w:rPr>
          <w:rFonts w:eastAsia="SimSun"/>
          <w:sz w:val="28"/>
          <w:szCs w:val="28"/>
          <w:lang w:val="es-MX"/>
        </w:rPr>
        <w:t xml:space="preserve">no </w:t>
      </w:r>
      <w:r w:rsidR="00A47819" w:rsidRPr="00E320CE">
        <w:rPr>
          <w:rFonts w:eastAsia="SimSun"/>
          <w:sz w:val="28"/>
          <w:szCs w:val="28"/>
          <w:lang w:val="es-MX"/>
        </w:rPr>
        <w:t xml:space="preserve">mantuvieron </w:t>
      </w:r>
      <w:r w:rsidR="003F02B1" w:rsidRPr="00E320CE">
        <w:rPr>
          <w:rFonts w:eastAsia="SimSun"/>
          <w:sz w:val="28"/>
          <w:szCs w:val="28"/>
          <w:lang w:val="es-MX"/>
        </w:rPr>
        <w:t xml:space="preserve">una relación laboral con el nuevo empleador. Específicamente, en la Sentencia T-395 de 2001, la Corte Constitucional estudió el caso de tres trabajadores despedidos de la </w:t>
      </w:r>
      <w:r w:rsidR="003F02B1" w:rsidRPr="00E320CE">
        <w:rPr>
          <w:sz w:val="28"/>
          <w:szCs w:val="28"/>
        </w:rPr>
        <w:t xml:space="preserve">Electrificadora del Atlántico, </w:t>
      </w:r>
      <w:r w:rsidR="00C647B6" w:rsidRPr="00E320CE">
        <w:rPr>
          <w:sz w:val="28"/>
          <w:szCs w:val="28"/>
        </w:rPr>
        <w:t xml:space="preserve">cuyo reintegro fue </w:t>
      </w:r>
      <w:r w:rsidR="003F02B1" w:rsidRPr="00E320CE">
        <w:rPr>
          <w:sz w:val="28"/>
          <w:szCs w:val="28"/>
        </w:rPr>
        <w:t>posteriormente</w:t>
      </w:r>
      <w:r w:rsidR="00C647B6" w:rsidRPr="00E320CE">
        <w:rPr>
          <w:sz w:val="28"/>
          <w:szCs w:val="28"/>
        </w:rPr>
        <w:t xml:space="preserve"> ordenado por</w:t>
      </w:r>
      <w:r w:rsidR="003F02B1" w:rsidRPr="00E320CE">
        <w:rPr>
          <w:sz w:val="28"/>
          <w:szCs w:val="28"/>
        </w:rPr>
        <w:t xml:space="preserve"> un juez laboral</w:t>
      </w:r>
      <w:r w:rsidR="003F02B1" w:rsidRPr="00E320CE">
        <w:rPr>
          <w:rStyle w:val="Refdenotaalpie"/>
          <w:sz w:val="28"/>
          <w:szCs w:val="28"/>
        </w:rPr>
        <w:footnoteReference w:id="143"/>
      </w:r>
      <w:r w:rsidR="003F02B1" w:rsidRPr="00E320CE">
        <w:rPr>
          <w:sz w:val="28"/>
          <w:szCs w:val="28"/>
        </w:rPr>
        <w:t>. La</w:t>
      </w:r>
      <w:r w:rsidR="00422C7A" w:rsidRPr="00E320CE">
        <w:rPr>
          <w:sz w:val="28"/>
          <w:szCs w:val="28"/>
        </w:rPr>
        <w:t xml:space="preserve"> empresa </w:t>
      </w:r>
      <w:r w:rsidR="003F02B1" w:rsidRPr="00E320CE">
        <w:rPr>
          <w:sz w:val="28"/>
          <w:szCs w:val="28"/>
        </w:rPr>
        <w:t xml:space="preserve">se negó a </w:t>
      </w:r>
      <w:r w:rsidR="00422C7A" w:rsidRPr="00E320CE">
        <w:rPr>
          <w:sz w:val="28"/>
          <w:szCs w:val="28"/>
        </w:rPr>
        <w:t>cumplir la decisión, bajo el argumento de</w:t>
      </w:r>
      <w:r w:rsidR="005375AD" w:rsidRPr="00E320CE">
        <w:rPr>
          <w:sz w:val="28"/>
          <w:szCs w:val="28"/>
        </w:rPr>
        <w:t xml:space="preserve"> </w:t>
      </w:r>
      <w:r w:rsidR="003F02B1" w:rsidRPr="00E320CE">
        <w:rPr>
          <w:sz w:val="28"/>
          <w:szCs w:val="28"/>
        </w:rPr>
        <w:t xml:space="preserve">que </w:t>
      </w:r>
      <w:r w:rsidR="00422C7A" w:rsidRPr="00E320CE">
        <w:rPr>
          <w:sz w:val="28"/>
          <w:szCs w:val="28"/>
        </w:rPr>
        <w:t xml:space="preserve">había transferido </w:t>
      </w:r>
      <w:r w:rsidR="003F02B1" w:rsidRPr="00E320CE">
        <w:rPr>
          <w:sz w:val="28"/>
          <w:szCs w:val="28"/>
        </w:rPr>
        <w:t xml:space="preserve">todos sus activos a la compañía Electrificadora del Caribe, que no </w:t>
      </w:r>
      <w:r w:rsidR="00422C7A" w:rsidRPr="00E320CE">
        <w:rPr>
          <w:sz w:val="28"/>
          <w:szCs w:val="28"/>
        </w:rPr>
        <w:t xml:space="preserve">contaba con </w:t>
      </w:r>
      <w:r w:rsidR="003F02B1" w:rsidRPr="00E320CE">
        <w:rPr>
          <w:sz w:val="28"/>
          <w:szCs w:val="28"/>
        </w:rPr>
        <w:t>planta de personal, y que la sustitución patronal solo aplic</w:t>
      </w:r>
      <w:r w:rsidR="00422C7A" w:rsidRPr="00E320CE">
        <w:rPr>
          <w:sz w:val="28"/>
          <w:szCs w:val="28"/>
        </w:rPr>
        <w:t>aba</w:t>
      </w:r>
      <w:r w:rsidR="003F02B1" w:rsidRPr="00E320CE">
        <w:rPr>
          <w:sz w:val="28"/>
          <w:szCs w:val="28"/>
        </w:rPr>
        <w:t xml:space="preserve"> a los trabajadores y pensionados vinculados al momento de la suscripción del convenio</w:t>
      </w:r>
      <w:r w:rsidR="00422C7A" w:rsidRPr="00E320CE">
        <w:rPr>
          <w:sz w:val="28"/>
          <w:szCs w:val="28"/>
        </w:rPr>
        <w:t>, excluyend</w:t>
      </w:r>
      <w:r w:rsidR="005375AD" w:rsidRPr="00E320CE">
        <w:rPr>
          <w:sz w:val="28"/>
          <w:szCs w:val="28"/>
        </w:rPr>
        <w:t>o</w:t>
      </w:r>
      <w:r w:rsidR="00422C7A" w:rsidRPr="00E320CE">
        <w:rPr>
          <w:sz w:val="28"/>
          <w:szCs w:val="28"/>
        </w:rPr>
        <w:t xml:space="preserve"> así </w:t>
      </w:r>
      <w:r w:rsidR="003F02B1" w:rsidRPr="00E320CE">
        <w:rPr>
          <w:sz w:val="28"/>
          <w:szCs w:val="28"/>
        </w:rPr>
        <w:t>a los accionantes</w:t>
      </w:r>
      <w:r w:rsidR="003F02B1" w:rsidRPr="00E320CE">
        <w:rPr>
          <w:rStyle w:val="Refdenotaalpie"/>
          <w:sz w:val="28"/>
          <w:szCs w:val="28"/>
        </w:rPr>
        <w:footnoteReference w:id="144"/>
      </w:r>
      <w:r w:rsidR="003F02B1" w:rsidRPr="00E320CE">
        <w:rPr>
          <w:sz w:val="28"/>
          <w:szCs w:val="28"/>
        </w:rPr>
        <w:t>.</w:t>
      </w:r>
    </w:p>
    <w:p w14:paraId="7D48BAD4" w14:textId="77777777" w:rsidR="003F02B1" w:rsidRPr="00E320CE" w:rsidRDefault="003F02B1" w:rsidP="003F02B1">
      <w:pPr>
        <w:pStyle w:val="Prrafodelista"/>
        <w:rPr>
          <w:rFonts w:eastAsia="SimSun"/>
          <w:sz w:val="28"/>
          <w:szCs w:val="28"/>
          <w:lang w:val="es-MX"/>
        </w:rPr>
      </w:pPr>
    </w:p>
    <w:p w14:paraId="04BDB801" w14:textId="5CCBA85B" w:rsidR="003F02B1" w:rsidRPr="00E320CE" w:rsidRDefault="003F02B1" w:rsidP="00F56A3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lastRenderedPageBreak/>
        <w:t>En ese caso, la Corte concluyó que “[e]n la cláusula del contrato se estableció, como es lo legal, la sustitución de una empresa por otra, y no puede decirse que vale para todos los</w:t>
      </w:r>
      <w:r w:rsidRPr="00E320CE" w:rsidDel="00B30234">
        <w:rPr>
          <w:rFonts w:eastAsia="SimSun"/>
          <w:sz w:val="28"/>
          <w:szCs w:val="28"/>
          <w:lang w:val="es-MX"/>
        </w:rPr>
        <w:t xml:space="preserve"> </w:t>
      </w:r>
      <w:r w:rsidRPr="00E320CE">
        <w:rPr>
          <w:rFonts w:eastAsia="SimSun"/>
          <w:sz w:val="28"/>
          <w:szCs w:val="28"/>
          <w:lang w:val="es-MX"/>
        </w:rPr>
        <w:t>trabajadores y pensionados pero</w:t>
      </w:r>
      <w:r w:rsidRPr="00E320CE" w:rsidDel="00B30234">
        <w:rPr>
          <w:rFonts w:eastAsia="SimSun"/>
          <w:sz w:val="28"/>
          <w:szCs w:val="28"/>
          <w:lang w:val="es-MX"/>
        </w:rPr>
        <w:t xml:space="preserve"> </w:t>
      </w:r>
      <w:r w:rsidRPr="00E320CE">
        <w:rPr>
          <w:rFonts w:eastAsia="SimSun"/>
          <w:sz w:val="28"/>
          <w:szCs w:val="28"/>
          <w:lang w:val="es-MX"/>
        </w:rPr>
        <w:t>no vale para tres, precisamente protegidos por sentencia judicial”</w:t>
      </w:r>
      <w:r w:rsidRPr="00E320CE">
        <w:rPr>
          <w:rStyle w:val="Refdenotaalpie"/>
          <w:rFonts w:eastAsia="SimSun"/>
          <w:sz w:val="28"/>
          <w:szCs w:val="28"/>
          <w:lang w:val="es-MX"/>
        </w:rPr>
        <w:footnoteReference w:id="145"/>
      </w:r>
      <w:r w:rsidRPr="00E320CE">
        <w:rPr>
          <w:rFonts w:eastAsia="SimSun"/>
          <w:sz w:val="28"/>
          <w:szCs w:val="28"/>
          <w:lang w:val="es-MX"/>
        </w:rPr>
        <w:t xml:space="preserve">. Por ende, entendió que </w:t>
      </w:r>
      <w:r w:rsidR="00275B70" w:rsidRPr="00E320CE">
        <w:rPr>
          <w:rFonts w:eastAsia="SimSun"/>
          <w:sz w:val="28"/>
          <w:szCs w:val="28"/>
          <w:lang w:val="es-MX"/>
        </w:rPr>
        <w:t xml:space="preserve">hubo continuación de los trabajadores por extensión. </w:t>
      </w:r>
    </w:p>
    <w:p w14:paraId="7FCABBE1" w14:textId="77777777" w:rsidR="00275B70" w:rsidRPr="00E320CE" w:rsidRDefault="00275B70" w:rsidP="00275B70">
      <w:pPr>
        <w:pStyle w:val="Prrafodelista"/>
        <w:rPr>
          <w:rFonts w:eastAsia="SimSun"/>
          <w:sz w:val="28"/>
          <w:szCs w:val="28"/>
          <w:lang w:val="es-MX"/>
        </w:rPr>
      </w:pPr>
    </w:p>
    <w:p w14:paraId="3348ABE7" w14:textId="70F9525A" w:rsidR="00AC73F8" w:rsidRPr="00E320CE" w:rsidRDefault="00AA7407" w:rsidP="00F56A3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En tercer lugar</w:t>
      </w:r>
      <w:r w:rsidR="00275B70" w:rsidRPr="00E320CE">
        <w:rPr>
          <w:rFonts w:eastAsia="SimSun"/>
          <w:sz w:val="28"/>
          <w:szCs w:val="28"/>
          <w:lang w:val="es-MX"/>
        </w:rPr>
        <w:t xml:space="preserve">, la Corte ha entendido que hay continuidad del empleado si se </w:t>
      </w:r>
      <w:r w:rsidR="000F2B39" w:rsidRPr="00E320CE">
        <w:rPr>
          <w:rFonts w:eastAsia="SimSun"/>
          <w:sz w:val="28"/>
          <w:szCs w:val="28"/>
          <w:lang w:val="es-MX"/>
        </w:rPr>
        <w:t xml:space="preserve">realizaron </w:t>
      </w:r>
      <w:r w:rsidR="00275B70" w:rsidRPr="00E320CE">
        <w:rPr>
          <w:rFonts w:eastAsia="SimSun"/>
          <w:sz w:val="28"/>
          <w:szCs w:val="28"/>
          <w:lang w:val="es-MX"/>
        </w:rPr>
        <w:t xml:space="preserve">intentos para que este </w:t>
      </w:r>
      <w:r w:rsidR="000F2B39" w:rsidRPr="00E320CE">
        <w:rPr>
          <w:rFonts w:eastAsia="SimSun"/>
          <w:sz w:val="28"/>
          <w:szCs w:val="28"/>
          <w:lang w:val="es-MX"/>
        </w:rPr>
        <w:t xml:space="preserve">continuara </w:t>
      </w:r>
      <w:r w:rsidR="00275B70" w:rsidRPr="00E320CE">
        <w:rPr>
          <w:rFonts w:eastAsia="SimSun"/>
          <w:sz w:val="28"/>
          <w:szCs w:val="28"/>
          <w:lang w:val="es-MX"/>
        </w:rPr>
        <w:t xml:space="preserve">trabajando para el nuevo </w:t>
      </w:r>
      <w:r w:rsidRPr="00E320CE">
        <w:rPr>
          <w:rFonts w:eastAsia="SimSun"/>
          <w:sz w:val="28"/>
          <w:szCs w:val="28"/>
          <w:lang w:val="es-MX"/>
        </w:rPr>
        <w:t>empleador</w:t>
      </w:r>
      <w:r w:rsidR="00275B70" w:rsidRPr="00E320CE">
        <w:rPr>
          <w:rFonts w:eastAsia="SimSun"/>
          <w:sz w:val="28"/>
          <w:szCs w:val="28"/>
          <w:lang w:val="es-MX"/>
        </w:rPr>
        <w:t xml:space="preserve">, </w:t>
      </w:r>
      <w:r w:rsidR="00B43A1A" w:rsidRPr="00E320CE">
        <w:rPr>
          <w:rFonts w:eastAsia="SimSun"/>
          <w:sz w:val="28"/>
          <w:szCs w:val="28"/>
          <w:lang w:val="es-MX"/>
        </w:rPr>
        <w:t xml:space="preserve">aunque </w:t>
      </w:r>
      <w:r w:rsidR="00275B70" w:rsidRPr="00E320CE">
        <w:rPr>
          <w:rFonts w:eastAsia="SimSun"/>
          <w:sz w:val="28"/>
          <w:szCs w:val="28"/>
          <w:lang w:val="es-MX"/>
        </w:rPr>
        <w:t xml:space="preserve">no haya prestado sus servicios </w:t>
      </w:r>
      <w:r w:rsidR="00B43A1A" w:rsidRPr="00E320CE">
        <w:rPr>
          <w:rFonts w:eastAsia="SimSun"/>
          <w:sz w:val="28"/>
          <w:szCs w:val="28"/>
          <w:lang w:val="es-MX"/>
        </w:rPr>
        <w:t>ni</w:t>
      </w:r>
      <w:r w:rsidR="00275B70" w:rsidRPr="00E320CE">
        <w:rPr>
          <w:rFonts w:eastAsia="SimSun"/>
          <w:sz w:val="28"/>
          <w:szCs w:val="28"/>
          <w:lang w:val="es-MX"/>
        </w:rPr>
        <w:t xml:space="preserve"> mantenido una relación laboral con </w:t>
      </w:r>
      <w:r w:rsidR="00B43A1A" w:rsidRPr="00E320CE">
        <w:rPr>
          <w:rFonts w:eastAsia="SimSun"/>
          <w:sz w:val="28"/>
          <w:szCs w:val="28"/>
          <w:lang w:val="es-MX"/>
        </w:rPr>
        <w:t>él</w:t>
      </w:r>
      <w:r w:rsidR="00275B70" w:rsidRPr="00E320CE">
        <w:rPr>
          <w:rFonts w:eastAsia="SimSun"/>
          <w:sz w:val="28"/>
          <w:szCs w:val="28"/>
          <w:lang w:val="es-MX"/>
        </w:rPr>
        <w:t xml:space="preserve">. En la Sentencia T-287 de 2023, </w:t>
      </w:r>
      <w:r w:rsidR="00B43A1A" w:rsidRPr="00E320CE">
        <w:rPr>
          <w:rFonts w:eastAsia="SimSun"/>
          <w:sz w:val="28"/>
          <w:szCs w:val="28"/>
          <w:lang w:val="es-MX"/>
        </w:rPr>
        <w:t>esta Corporación</w:t>
      </w:r>
      <w:r w:rsidR="00275B70" w:rsidRPr="00E320CE">
        <w:rPr>
          <w:rFonts w:eastAsia="SimSun"/>
          <w:sz w:val="28"/>
          <w:szCs w:val="28"/>
          <w:lang w:val="es-MX"/>
        </w:rPr>
        <w:t xml:space="preserve"> </w:t>
      </w:r>
      <w:r w:rsidR="008E2E80" w:rsidRPr="00E320CE">
        <w:rPr>
          <w:rFonts w:eastAsia="SimSun"/>
          <w:sz w:val="28"/>
          <w:szCs w:val="28"/>
          <w:lang w:val="es-MX"/>
        </w:rPr>
        <w:t xml:space="preserve">estudió el caso de una mujer que </w:t>
      </w:r>
      <w:r w:rsidR="00B43A1A" w:rsidRPr="00E320CE">
        <w:rPr>
          <w:rFonts w:eastAsia="SimSun"/>
          <w:sz w:val="28"/>
          <w:szCs w:val="28"/>
          <w:lang w:val="es-MX"/>
        </w:rPr>
        <w:t xml:space="preserve">trabajó </w:t>
      </w:r>
      <w:r w:rsidR="008E2E80" w:rsidRPr="00E320CE">
        <w:rPr>
          <w:rFonts w:eastAsia="SimSun"/>
          <w:sz w:val="28"/>
          <w:szCs w:val="28"/>
          <w:lang w:val="es-MX"/>
        </w:rPr>
        <w:t xml:space="preserve">para </w:t>
      </w:r>
      <w:proofErr w:type="spellStart"/>
      <w:r w:rsidR="008E2E80" w:rsidRPr="00E320CE">
        <w:rPr>
          <w:sz w:val="28"/>
          <w:szCs w:val="28"/>
        </w:rPr>
        <w:t>Plastigiraldo</w:t>
      </w:r>
      <w:proofErr w:type="spellEnd"/>
      <w:r w:rsidR="008E2E80" w:rsidRPr="00E320CE">
        <w:rPr>
          <w:sz w:val="28"/>
          <w:szCs w:val="28"/>
        </w:rPr>
        <w:t xml:space="preserve"> S.A.S. y que fue despedida a raíz de la liquidación definitiva de la empresa</w:t>
      </w:r>
      <w:r w:rsidR="008E2E80" w:rsidRPr="00E320CE">
        <w:rPr>
          <w:rStyle w:val="Refdenotaalpie"/>
          <w:sz w:val="28"/>
          <w:szCs w:val="28"/>
        </w:rPr>
        <w:footnoteReference w:id="146"/>
      </w:r>
      <w:r w:rsidR="008E2E80" w:rsidRPr="00E320CE">
        <w:rPr>
          <w:sz w:val="28"/>
          <w:szCs w:val="28"/>
        </w:rPr>
        <w:t xml:space="preserve">. La Corte </w:t>
      </w:r>
      <w:r w:rsidR="00F50AC1" w:rsidRPr="00E320CE">
        <w:rPr>
          <w:sz w:val="28"/>
          <w:szCs w:val="28"/>
        </w:rPr>
        <w:t>concluyó</w:t>
      </w:r>
      <w:r w:rsidR="008E2E80" w:rsidRPr="00E320CE">
        <w:rPr>
          <w:sz w:val="28"/>
          <w:szCs w:val="28"/>
        </w:rPr>
        <w:t xml:space="preserve"> que, antes de ser desvinculada, </w:t>
      </w:r>
      <w:proofErr w:type="spellStart"/>
      <w:r w:rsidR="008E2E80" w:rsidRPr="00E320CE">
        <w:rPr>
          <w:sz w:val="28"/>
          <w:szCs w:val="28"/>
        </w:rPr>
        <w:t>Plastigiraldo</w:t>
      </w:r>
      <w:proofErr w:type="spellEnd"/>
      <w:r w:rsidR="008E2E80" w:rsidRPr="00E320CE">
        <w:rPr>
          <w:sz w:val="28"/>
          <w:szCs w:val="28"/>
        </w:rPr>
        <w:t xml:space="preserve"> le remitió a la trabajadora múltiples documentos</w:t>
      </w:r>
      <w:r w:rsidR="00F50AC1" w:rsidRPr="00E320CE">
        <w:rPr>
          <w:sz w:val="28"/>
          <w:szCs w:val="28"/>
        </w:rPr>
        <w:t>,</w:t>
      </w:r>
      <w:r w:rsidR="008E2E80" w:rsidRPr="00E320CE">
        <w:rPr>
          <w:sz w:val="28"/>
          <w:szCs w:val="28"/>
        </w:rPr>
        <w:t xml:space="preserve"> como un contrato laboral con un nuevo empleador denominado Comercializadora de Plásticos </w:t>
      </w:r>
      <w:proofErr w:type="gramStart"/>
      <w:r w:rsidR="008E2E80" w:rsidRPr="00E320CE">
        <w:rPr>
          <w:sz w:val="28"/>
          <w:szCs w:val="28"/>
        </w:rPr>
        <w:t>Eco Sostenibles</w:t>
      </w:r>
      <w:proofErr w:type="gramEnd"/>
      <w:r w:rsidR="008E2E80" w:rsidRPr="00E320CE">
        <w:rPr>
          <w:sz w:val="28"/>
          <w:szCs w:val="28"/>
        </w:rPr>
        <w:t xml:space="preserve"> de la Costa S.A.S, una carta de renuncia voluntaria</w:t>
      </w:r>
      <w:r w:rsidR="008E2E80" w:rsidRPr="00E320CE">
        <w:rPr>
          <w:rStyle w:val="apple-converted-space"/>
          <w:sz w:val="28"/>
          <w:szCs w:val="28"/>
        </w:rPr>
        <w:t xml:space="preserve">, </w:t>
      </w:r>
      <w:r w:rsidR="008E2E80" w:rsidRPr="00E320CE">
        <w:rPr>
          <w:sz w:val="28"/>
          <w:szCs w:val="28"/>
        </w:rPr>
        <w:t>una notificación de cambio de empleador por subrogación de crédito, entre otros</w:t>
      </w:r>
      <w:r w:rsidR="008E2E80" w:rsidRPr="00E320CE">
        <w:rPr>
          <w:rStyle w:val="Refdenotaalpie"/>
          <w:sz w:val="28"/>
          <w:szCs w:val="28"/>
        </w:rPr>
        <w:footnoteReference w:id="147"/>
      </w:r>
      <w:r w:rsidR="008E2E80" w:rsidRPr="00E320CE">
        <w:rPr>
          <w:sz w:val="28"/>
          <w:szCs w:val="28"/>
        </w:rPr>
        <w:t xml:space="preserve">. </w:t>
      </w:r>
      <w:r w:rsidR="00FA3E58" w:rsidRPr="00E320CE">
        <w:rPr>
          <w:sz w:val="28"/>
          <w:szCs w:val="28"/>
        </w:rPr>
        <w:t xml:space="preserve">En ese contexto, </w:t>
      </w:r>
      <w:r w:rsidR="008E2E80" w:rsidRPr="00E320CE">
        <w:rPr>
          <w:sz w:val="28"/>
          <w:szCs w:val="28"/>
        </w:rPr>
        <w:t>concluyó que “se buscaba pasar a la actora como empleada de una empresa a otra”</w:t>
      </w:r>
      <w:r w:rsidR="008E2E80" w:rsidRPr="00E320CE">
        <w:rPr>
          <w:rStyle w:val="Refdenotaalpie"/>
          <w:sz w:val="28"/>
          <w:szCs w:val="28"/>
        </w:rPr>
        <w:footnoteReference w:id="148"/>
      </w:r>
      <w:r w:rsidR="008E2E80" w:rsidRPr="00E320CE">
        <w:rPr>
          <w:sz w:val="28"/>
          <w:szCs w:val="28"/>
        </w:rPr>
        <w:t xml:space="preserve"> con lo que dio por acreditada la continuidad de la trabajadora y, de esa forma, la sustitución patronal</w:t>
      </w:r>
      <w:r w:rsidR="008E2E80" w:rsidRPr="00E320CE">
        <w:rPr>
          <w:rStyle w:val="Refdenotaalpie"/>
          <w:sz w:val="28"/>
          <w:szCs w:val="28"/>
        </w:rPr>
        <w:footnoteReference w:id="149"/>
      </w:r>
      <w:r w:rsidR="008E2E80" w:rsidRPr="00E320CE">
        <w:rPr>
          <w:sz w:val="28"/>
          <w:szCs w:val="28"/>
        </w:rPr>
        <w:t>.</w:t>
      </w:r>
    </w:p>
    <w:p w14:paraId="418C657A" w14:textId="2939144A" w:rsidR="00275B70" w:rsidRPr="00E320CE" w:rsidRDefault="00275B70" w:rsidP="008E2E80">
      <w:pPr>
        <w:pStyle w:val="Prrafodelista"/>
        <w:autoSpaceDE/>
        <w:autoSpaceDN/>
        <w:ind w:left="0"/>
        <w:contextualSpacing w:val="0"/>
        <w:jc w:val="both"/>
        <w:rPr>
          <w:rFonts w:eastAsia="SimSun"/>
          <w:sz w:val="28"/>
          <w:szCs w:val="28"/>
          <w:lang w:val="es-MX"/>
        </w:rPr>
      </w:pPr>
    </w:p>
    <w:p w14:paraId="3BF8E355" w14:textId="4BEBCC4C" w:rsidR="00E00FCE" w:rsidRPr="00E320CE" w:rsidRDefault="00275B70" w:rsidP="007270E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En esos</w:t>
      </w:r>
      <w:r w:rsidR="00E00FCE" w:rsidRPr="00E320CE">
        <w:rPr>
          <w:sz w:val="28"/>
          <w:szCs w:val="28"/>
          <w:lang w:val="es-CO" w:eastAsia="es-MX"/>
        </w:rPr>
        <w:t> </w:t>
      </w:r>
      <w:r w:rsidR="003F42AF" w:rsidRPr="00E320CE">
        <w:rPr>
          <w:sz w:val="28"/>
          <w:szCs w:val="28"/>
          <w:lang w:val="es-CO" w:eastAsia="es-MX"/>
        </w:rPr>
        <w:t>términos, la sustitución patronal procede cuando se acredit</w:t>
      </w:r>
      <w:r w:rsidR="00364427" w:rsidRPr="00E320CE">
        <w:rPr>
          <w:sz w:val="28"/>
          <w:szCs w:val="28"/>
          <w:lang w:val="es-CO" w:eastAsia="es-MX"/>
        </w:rPr>
        <w:t>a:</w:t>
      </w:r>
      <w:r w:rsidR="003F42AF" w:rsidRPr="00E320CE">
        <w:rPr>
          <w:sz w:val="28"/>
          <w:szCs w:val="28"/>
          <w:lang w:val="es-CO" w:eastAsia="es-MX"/>
        </w:rPr>
        <w:t xml:space="preserve"> (</w:t>
      </w:r>
      <w:r w:rsidR="003F42AF" w:rsidRPr="00E320CE">
        <w:rPr>
          <w:rFonts w:eastAsia="SimSun"/>
          <w:sz w:val="28"/>
          <w:szCs w:val="28"/>
          <w:lang w:val="es-MX"/>
        </w:rPr>
        <w:t>i) un cambio de empleador; (</w:t>
      </w:r>
      <w:proofErr w:type="spellStart"/>
      <w:r w:rsidR="003F42AF" w:rsidRPr="00E320CE">
        <w:rPr>
          <w:rFonts w:eastAsia="SimSun"/>
          <w:sz w:val="28"/>
          <w:szCs w:val="28"/>
          <w:lang w:val="es-MX"/>
        </w:rPr>
        <w:t>ii</w:t>
      </w:r>
      <w:proofErr w:type="spellEnd"/>
      <w:r w:rsidR="003F42AF" w:rsidRPr="00E320CE">
        <w:rPr>
          <w:rFonts w:eastAsia="SimSun"/>
          <w:sz w:val="28"/>
          <w:szCs w:val="28"/>
          <w:lang w:val="es-MX"/>
        </w:rPr>
        <w:t>) la continuidad de la empresa o afinidad en sus operaciones; y (</w:t>
      </w:r>
      <w:proofErr w:type="spellStart"/>
      <w:r w:rsidR="003F42AF" w:rsidRPr="00E320CE">
        <w:rPr>
          <w:rFonts w:eastAsia="SimSun"/>
          <w:sz w:val="28"/>
          <w:szCs w:val="28"/>
          <w:lang w:val="es-MX"/>
        </w:rPr>
        <w:t>iii</w:t>
      </w:r>
      <w:proofErr w:type="spellEnd"/>
      <w:r w:rsidR="003F42AF" w:rsidRPr="00E320CE">
        <w:rPr>
          <w:rFonts w:eastAsia="SimSun"/>
          <w:sz w:val="28"/>
          <w:szCs w:val="28"/>
          <w:lang w:val="es-MX"/>
        </w:rPr>
        <w:t>) la continuidad del trabajador</w:t>
      </w:r>
      <w:r w:rsidR="00DB5940" w:rsidRPr="00E320CE">
        <w:rPr>
          <w:rFonts w:eastAsia="SimSun"/>
          <w:sz w:val="28"/>
          <w:szCs w:val="28"/>
          <w:lang w:val="es-MX"/>
        </w:rPr>
        <w:t>. E</w:t>
      </w:r>
      <w:r w:rsidR="00FA3E58" w:rsidRPr="00E320CE">
        <w:rPr>
          <w:rFonts w:eastAsia="SimSun"/>
          <w:sz w:val="28"/>
          <w:szCs w:val="28"/>
          <w:lang w:val="es-MX"/>
        </w:rPr>
        <w:t xml:space="preserve">ste último requisito ha sido analizado </w:t>
      </w:r>
      <w:r w:rsidR="00364427" w:rsidRPr="00E320CE">
        <w:rPr>
          <w:rFonts w:eastAsia="SimSun"/>
          <w:sz w:val="28"/>
          <w:szCs w:val="28"/>
          <w:lang w:val="es-MX"/>
        </w:rPr>
        <w:t xml:space="preserve">de manera flexible </w:t>
      </w:r>
      <w:r w:rsidR="00FA3E58" w:rsidRPr="00E320CE">
        <w:rPr>
          <w:rFonts w:eastAsia="SimSun"/>
          <w:sz w:val="28"/>
          <w:szCs w:val="28"/>
          <w:lang w:val="es-MX"/>
        </w:rPr>
        <w:t xml:space="preserve">por </w:t>
      </w:r>
      <w:r w:rsidR="00A947CD" w:rsidRPr="00E320CE">
        <w:rPr>
          <w:rFonts w:eastAsia="SimSun"/>
          <w:sz w:val="28"/>
          <w:szCs w:val="28"/>
          <w:lang w:val="es-MX"/>
        </w:rPr>
        <w:t>la Corte Constitucional</w:t>
      </w:r>
      <w:r w:rsidR="00FA3E58" w:rsidRPr="00E320CE">
        <w:rPr>
          <w:rFonts w:eastAsia="SimSun"/>
          <w:sz w:val="28"/>
          <w:szCs w:val="28"/>
          <w:lang w:val="es-MX"/>
        </w:rPr>
        <w:t xml:space="preserve">, </w:t>
      </w:r>
      <w:r w:rsidR="00364427" w:rsidRPr="00E320CE">
        <w:rPr>
          <w:rFonts w:eastAsia="SimSun"/>
          <w:sz w:val="28"/>
          <w:szCs w:val="28"/>
          <w:lang w:val="es-MX"/>
        </w:rPr>
        <w:t xml:space="preserve">con el </w:t>
      </w:r>
      <w:proofErr w:type="spellStart"/>
      <w:r w:rsidR="00364427" w:rsidRPr="00E320CE">
        <w:rPr>
          <w:rFonts w:eastAsia="SimSun"/>
          <w:sz w:val="28"/>
          <w:szCs w:val="28"/>
          <w:lang w:val="es-MX"/>
        </w:rPr>
        <w:t>propóstio</w:t>
      </w:r>
      <w:proofErr w:type="spellEnd"/>
      <w:r w:rsidR="00364427" w:rsidRPr="00E320CE">
        <w:rPr>
          <w:rFonts w:eastAsia="SimSun"/>
          <w:sz w:val="28"/>
          <w:szCs w:val="28"/>
          <w:lang w:val="es-MX"/>
        </w:rPr>
        <w:t xml:space="preserve"> de garantizar </w:t>
      </w:r>
      <w:r w:rsidR="00FA3E58" w:rsidRPr="00E320CE">
        <w:rPr>
          <w:rFonts w:eastAsia="SimSun"/>
          <w:sz w:val="28"/>
          <w:szCs w:val="28"/>
          <w:lang w:val="es-MX"/>
        </w:rPr>
        <w:t xml:space="preserve">la finalidad de esta figura </w:t>
      </w:r>
      <w:r w:rsidR="00D505DC" w:rsidRPr="00E320CE">
        <w:rPr>
          <w:rFonts w:eastAsia="SimSun"/>
          <w:sz w:val="28"/>
          <w:szCs w:val="28"/>
          <w:lang w:val="es-MX"/>
        </w:rPr>
        <w:t xml:space="preserve">y proteger los derechos </w:t>
      </w:r>
      <w:r w:rsidR="000D6381" w:rsidRPr="00E320CE">
        <w:rPr>
          <w:rFonts w:eastAsia="SimSun"/>
          <w:sz w:val="28"/>
          <w:szCs w:val="28"/>
          <w:lang w:val="es-MX"/>
        </w:rPr>
        <w:t>de los trabajadores</w:t>
      </w:r>
      <w:r w:rsidR="00364427" w:rsidRPr="00E320CE">
        <w:rPr>
          <w:rFonts w:eastAsia="SimSun"/>
          <w:sz w:val="28"/>
          <w:szCs w:val="28"/>
          <w:lang w:val="es-MX"/>
        </w:rPr>
        <w:t>, así como las condiciones previamente</w:t>
      </w:r>
      <w:r w:rsidR="000D6381" w:rsidRPr="00E320CE">
        <w:rPr>
          <w:rFonts w:eastAsia="SimSun"/>
          <w:sz w:val="28"/>
          <w:szCs w:val="28"/>
          <w:lang w:val="es-MX"/>
        </w:rPr>
        <w:t xml:space="preserve"> acordadas </w:t>
      </w:r>
      <w:r w:rsidR="00364427" w:rsidRPr="00E320CE">
        <w:rPr>
          <w:rFonts w:eastAsia="SimSun"/>
          <w:sz w:val="28"/>
          <w:szCs w:val="28"/>
          <w:lang w:val="es-MX"/>
        </w:rPr>
        <w:t>antes del</w:t>
      </w:r>
      <w:r w:rsidR="00441DE7" w:rsidRPr="00E320CE">
        <w:rPr>
          <w:rFonts w:eastAsia="SimSun"/>
          <w:sz w:val="28"/>
          <w:szCs w:val="28"/>
          <w:lang w:val="es-MX"/>
        </w:rPr>
        <w:t xml:space="preserve"> cambio de empleador</w:t>
      </w:r>
      <w:r w:rsidR="000D6381" w:rsidRPr="00E320CE">
        <w:rPr>
          <w:rFonts w:eastAsia="SimSun"/>
          <w:sz w:val="28"/>
          <w:szCs w:val="28"/>
          <w:lang w:val="es-MX"/>
        </w:rPr>
        <w:t xml:space="preserve">. En esa </w:t>
      </w:r>
      <w:r w:rsidR="00364427" w:rsidRPr="00E320CE">
        <w:rPr>
          <w:rFonts w:eastAsia="SimSun"/>
          <w:sz w:val="28"/>
          <w:szCs w:val="28"/>
          <w:lang w:val="es-MX"/>
        </w:rPr>
        <w:t>línea</w:t>
      </w:r>
      <w:r w:rsidR="000D6381" w:rsidRPr="00E320CE">
        <w:rPr>
          <w:rFonts w:eastAsia="SimSun"/>
          <w:sz w:val="28"/>
          <w:szCs w:val="28"/>
          <w:lang w:val="es-MX"/>
        </w:rPr>
        <w:t xml:space="preserve">, </w:t>
      </w:r>
      <w:r w:rsidR="00A947CD" w:rsidRPr="00E320CE">
        <w:rPr>
          <w:rFonts w:eastAsia="SimSun"/>
          <w:sz w:val="28"/>
          <w:szCs w:val="28"/>
          <w:lang w:val="es-MX"/>
        </w:rPr>
        <w:t>esta Corporación</w:t>
      </w:r>
      <w:r w:rsidR="00DB5940" w:rsidRPr="00E320CE">
        <w:rPr>
          <w:rFonts w:eastAsia="SimSun"/>
          <w:sz w:val="28"/>
          <w:szCs w:val="28"/>
          <w:lang w:val="es-MX"/>
        </w:rPr>
        <w:t xml:space="preserve"> ha </w:t>
      </w:r>
      <w:r w:rsidR="00364427" w:rsidRPr="00E320CE">
        <w:rPr>
          <w:rFonts w:eastAsia="SimSun"/>
          <w:sz w:val="28"/>
          <w:szCs w:val="28"/>
          <w:lang w:val="es-MX"/>
        </w:rPr>
        <w:t>determinado</w:t>
      </w:r>
      <w:r w:rsidR="00A947CD" w:rsidRPr="00E320CE">
        <w:rPr>
          <w:rFonts w:eastAsia="SimSun"/>
          <w:sz w:val="28"/>
          <w:szCs w:val="28"/>
          <w:lang w:val="es-MX"/>
        </w:rPr>
        <w:t xml:space="preserve"> </w:t>
      </w:r>
      <w:r w:rsidR="00DB5940" w:rsidRPr="00E320CE">
        <w:rPr>
          <w:rFonts w:eastAsia="SimSun"/>
          <w:sz w:val="28"/>
          <w:szCs w:val="28"/>
          <w:lang w:val="es-MX"/>
        </w:rPr>
        <w:t xml:space="preserve">que </w:t>
      </w:r>
      <w:r w:rsidR="00633DEE" w:rsidRPr="00E320CE">
        <w:rPr>
          <w:rFonts w:eastAsia="SimSun"/>
          <w:sz w:val="28"/>
          <w:szCs w:val="28"/>
          <w:lang w:val="es-MX"/>
        </w:rPr>
        <w:t>dicho requisito</w:t>
      </w:r>
      <w:r w:rsidR="00DB5940" w:rsidRPr="00E320CE">
        <w:rPr>
          <w:rFonts w:eastAsia="SimSun"/>
          <w:sz w:val="28"/>
          <w:szCs w:val="28"/>
          <w:lang w:val="es-MX"/>
        </w:rPr>
        <w:t xml:space="preserve"> se cumple cuando el cambio de empleador </w:t>
      </w:r>
      <w:r w:rsidR="00633DEE" w:rsidRPr="00E320CE">
        <w:rPr>
          <w:rFonts w:eastAsia="SimSun"/>
          <w:sz w:val="28"/>
          <w:szCs w:val="28"/>
          <w:lang w:val="es-MX"/>
        </w:rPr>
        <w:t xml:space="preserve">ocurre </w:t>
      </w:r>
      <w:r w:rsidR="00DB5940" w:rsidRPr="00E320CE">
        <w:rPr>
          <w:rFonts w:eastAsia="SimSun"/>
          <w:sz w:val="28"/>
          <w:szCs w:val="28"/>
          <w:lang w:val="es-MX"/>
        </w:rPr>
        <w:t xml:space="preserve">antes de </w:t>
      </w:r>
      <w:r w:rsidR="00364427" w:rsidRPr="00E320CE">
        <w:rPr>
          <w:rFonts w:eastAsia="SimSun"/>
          <w:sz w:val="28"/>
          <w:szCs w:val="28"/>
          <w:lang w:val="es-MX"/>
        </w:rPr>
        <w:t>la desvinculación del trabajador o si se</w:t>
      </w:r>
      <w:r w:rsidR="005375AD" w:rsidRPr="00E320CE">
        <w:rPr>
          <w:rFonts w:eastAsia="SimSun"/>
          <w:sz w:val="28"/>
          <w:szCs w:val="28"/>
          <w:lang w:val="es-MX"/>
        </w:rPr>
        <w:t xml:space="preserve"> </w:t>
      </w:r>
      <w:r w:rsidR="00633DEE" w:rsidRPr="00E320CE">
        <w:rPr>
          <w:rFonts w:eastAsia="SimSun"/>
          <w:sz w:val="28"/>
          <w:szCs w:val="28"/>
          <w:lang w:val="es-MX"/>
        </w:rPr>
        <w:t xml:space="preserve">realizaron </w:t>
      </w:r>
      <w:r w:rsidR="00364427" w:rsidRPr="00E320CE">
        <w:rPr>
          <w:rFonts w:eastAsia="SimSun"/>
          <w:sz w:val="28"/>
          <w:szCs w:val="28"/>
          <w:lang w:val="es-MX"/>
        </w:rPr>
        <w:t xml:space="preserve">gestiones </w:t>
      </w:r>
      <w:r w:rsidR="00DB5940" w:rsidRPr="00E320CE">
        <w:rPr>
          <w:rFonts w:eastAsia="SimSun"/>
          <w:sz w:val="28"/>
          <w:szCs w:val="28"/>
          <w:lang w:val="es-MX"/>
        </w:rPr>
        <w:t xml:space="preserve">para que este </w:t>
      </w:r>
      <w:r w:rsidR="00633DEE" w:rsidRPr="00E320CE">
        <w:rPr>
          <w:rFonts w:eastAsia="SimSun"/>
          <w:sz w:val="28"/>
          <w:szCs w:val="28"/>
          <w:lang w:val="es-MX"/>
        </w:rPr>
        <w:t xml:space="preserve">continuara </w:t>
      </w:r>
      <w:r w:rsidR="00DB5940" w:rsidRPr="00E320CE">
        <w:rPr>
          <w:rFonts w:eastAsia="SimSun"/>
          <w:sz w:val="28"/>
          <w:szCs w:val="28"/>
          <w:lang w:val="es-MX"/>
        </w:rPr>
        <w:t xml:space="preserve">trabajando </w:t>
      </w:r>
      <w:r w:rsidR="00364427" w:rsidRPr="00E320CE">
        <w:rPr>
          <w:rFonts w:eastAsia="SimSun"/>
          <w:sz w:val="28"/>
          <w:szCs w:val="28"/>
          <w:lang w:val="es-MX"/>
        </w:rPr>
        <w:t xml:space="preserve">con </w:t>
      </w:r>
      <w:r w:rsidR="00DB5940" w:rsidRPr="00E320CE">
        <w:rPr>
          <w:rFonts w:eastAsia="SimSun"/>
          <w:sz w:val="28"/>
          <w:szCs w:val="28"/>
          <w:lang w:val="es-MX"/>
        </w:rPr>
        <w:t xml:space="preserve">el nuevo </w:t>
      </w:r>
      <w:r w:rsidR="00633DEE" w:rsidRPr="00E320CE">
        <w:rPr>
          <w:rFonts w:eastAsia="SimSun"/>
          <w:sz w:val="28"/>
          <w:szCs w:val="28"/>
          <w:lang w:val="es-MX"/>
        </w:rPr>
        <w:t>empleador</w:t>
      </w:r>
      <w:r w:rsidR="00DB5940" w:rsidRPr="00E320CE">
        <w:rPr>
          <w:rFonts w:eastAsia="SimSun"/>
          <w:sz w:val="28"/>
          <w:szCs w:val="28"/>
          <w:lang w:val="es-MX"/>
        </w:rPr>
        <w:t>,</w:t>
      </w:r>
      <w:r w:rsidR="00364427" w:rsidRPr="00E320CE">
        <w:rPr>
          <w:rFonts w:eastAsia="SimSun"/>
          <w:sz w:val="28"/>
          <w:szCs w:val="28"/>
          <w:lang w:val="es-MX"/>
        </w:rPr>
        <w:t xml:space="preserve"> incluso si no llegó a prestar </w:t>
      </w:r>
      <w:r w:rsidR="00DB5940" w:rsidRPr="00E320CE">
        <w:rPr>
          <w:rFonts w:eastAsia="SimSun"/>
          <w:sz w:val="28"/>
          <w:szCs w:val="28"/>
          <w:lang w:val="es-MX"/>
        </w:rPr>
        <w:t xml:space="preserve">sus servicios </w:t>
      </w:r>
      <w:r w:rsidR="00CD76B7" w:rsidRPr="00E320CE">
        <w:rPr>
          <w:rFonts w:eastAsia="SimSun"/>
          <w:sz w:val="28"/>
          <w:szCs w:val="28"/>
          <w:lang w:val="es-MX"/>
        </w:rPr>
        <w:t>ni</w:t>
      </w:r>
      <w:r w:rsidR="00364427" w:rsidRPr="00E320CE">
        <w:rPr>
          <w:rFonts w:eastAsia="SimSun"/>
          <w:sz w:val="28"/>
          <w:szCs w:val="28"/>
          <w:lang w:val="es-MX"/>
        </w:rPr>
        <w:t xml:space="preserve"> a mantener </w:t>
      </w:r>
      <w:r w:rsidR="00DB5940" w:rsidRPr="00E320CE">
        <w:rPr>
          <w:rFonts w:eastAsia="SimSun"/>
          <w:sz w:val="28"/>
          <w:szCs w:val="28"/>
          <w:lang w:val="es-MX"/>
        </w:rPr>
        <w:t xml:space="preserve">una relación laboral con </w:t>
      </w:r>
      <w:r w:rsidR="00CC55DD" w:rsidRPr="00E320CE">
        <w:rPr>
          <w:rFonts w:eastAsia="SimSun"/>
          <w:sz w:val="28"/>
          <w:szCs w:val="28"/>
          <w:lang w:val="es-MX"/>
        </w:rPr>
        <w:t>él</w:t>
      </w:r>
      <w:r w:rsidR="00DB5940" w:rsidRPr="00E320CE">
        <w:rPr>
          <w:rFonts w:eastAsia="SimSun"/>
          <w:sz w:val="28"/>
          <w:szCs w:val="28"/>
          <w:lang w:val="es-MX"/>
        </w:rPr>
        <w:t xml:space="preserve">. </w:t>
      </w:r>
      <w:r w:rsidR="00CC55DD" w:rsidRPr="00E320CE">
        <w:rPr>
          <w:rFonts w:eastAsia="SimSun"/>
          <w:sz w:val="28"/>
          <w:szCs w:val="28"/>
          <w:lang w:val="es-MX"/>
        </w:rPr>
        <w:t>Asimismo</w:t>
      </w:r>
      <w:r w:rsidR="00DB5940" w:rsidRPr="00E320CE">
        <w:rPr>
          <w:rFonts w:eastAsia="SimSun"/>
          <w:sz w:val="28"/>
          <w:szCs w:val="28"/>
          <w:lang w:val="es-MX"/>
        </w:rPr>
        <w:t xml:space="preserve">, </w:t>
      </w:r>
      <w:r w:rsidR="00CC55DD" w:rsidRPr="00E320CE">
        <w:rPr>
          <w:rFonts w:eastAsia="SimSun"/>
          <w:sz w:val="28"/>
          <w:szCs w:val="28"/>
          <w:lang w:val="es-MX"/>
        </w:rPr>
        <w:t>la Corte</w:t>
      </w:r>
      <w:r w:rsidR="00DB5940" w:rsidRPr="00E320CE">
        <w:rPr>
          <w:rFonts w:eastAsia="SimSun"/>
          <w:sz w:val="28"/>
          <w:szCs w:val="28"/>
          <w:lang w:val="es-MX"/>
        </w:rPr>
        <w:t xml:space="preserve"> </w:t>
      </w:r>
      <w:r w:rsidR="00364427" w:rsidRPr="00E320CE">
        <w:rPr>
          <w:rFonts w:eastAsia="SimSun"/>
          <w:sz w:val="28"/>
          <w:szCs w:val="28"/>
          <w:lang w:val="es-MX"/>
        </w:rPr>
        <w:t xml:space="preserve">ha precisado </w:t>
      </w:r>
      <w:r w:rsidR="00DB5940" w:rsidRPr="00E320CE">
        <w:rPr>
          <w:rFonts w:eastAsia="SimSun"/>
          <w:sz w:val="28"/>
          <w:szCs w:val="28"/>
          <w:lang w:val="es-MX"/>
        </w:rPr>
        <w:t xml:space="preserve">que no es posible excluir a un trabajador o a un grupo </w:t>
      </w:r>
      <w:r w:rsidR="00CC55DD" w:rsidRPr="00E320CE">
        <w:rPr>
          <w:rFonts w:eastAsia="SimSun"/>
          <w:sz w:val="28"/>
          <w:szCs w:val="28"/>
          <w:lang w:val="es-MX"/>
        </w:rPr>
        <w:t xml:space="preserve">específico </w:t>
      </w:r>
      <w:r w:rsidR="00DB5940" w:rsidRPr="00E320CE">
        <w:rPr>
          <w:rFonts w:eastAsia="SimSun"/>
          <w:sz w:val="28"/>
          <w:szCs w:val="28"/>
          <w:lang w:val="es-MX"/>
        </w:rPr>
        <w:t>de trabajadores de una sustitución patronal.</w:t>
      </w:r>
    </w:p>
    <w:p w14:paraId="5708AB4C" w14:textId="77777777" w:rsidR="00C82FB5" w:rsidRPr="00E320CE" w:rsidRDefault="00C82FB5" w:rsidP="00C82FB5">
      <w:pPr>
        <w:rPr>
          <w:rFonts w:eastAsia="SimSun"/>
          <w:sz w:val="28"/>
          <w:szCs w:val="28"/>
          <w:lang w:val="es-MX"/>
        </w:rPr>
      </w:pPr>
    </w:p>
    <w:p w14:paraId="7CDC57E6" w14:textId="43F7EA0E" w:rsidR="00C82FB5" w:rsidRPr="00E320CE" w:rsidRDefault="00CB79D6" w:rsidP="00B6575D">
      <w:pPr>
        <w:pStyle w:val="Prrafodelista"/>
        <w:numPr>
          <w:ilvl w:val="0"/>
          <w:numId w:val="33"/>
        </w:numPr>
        <w:jc w:val="both"/>
        <w:rPr>
          <w:rFonts w:eastAsia="SimSun"/>
          <w:b/>
          <w:bCs/>
          <w:sz w:val="28"/>
          <w:szCs w:val="28"/>
          <w:lang w:val="es-MX"/>
        </w:rPr>
      </w:pPr>
      <w:r w:rsidRPr="00E320CE">
        <w:rPr>
          <w:rFonts w:eastAsia="SimSun"/>
          <w:b/>
          <w:bCs/>
          <w:sz w:val="28"/>
          <w:szCs w:val="28"/>
          <w:lang w:val="es-MX"/>
        </w:rPr>
        <w:t>El contrato realidad, sus medios de prueba y la labor de auxiliar de enfermería</w:t>
      </w:r>
    </w:p>
    <w:p w14:paraId="75821BD0" w14:textId="77777777" w:rsidR="00C82FB5" w:rsidRPr="00E320CE" w:rsidRDefault="00C82FB5" w:rsidP="00C82FB5">
      <w:pPr>
        <w:rPr>
          <w:rFonts w:eastAsia="SimSun"/>
          <w:sz w:val="28"/>
          <w:szCs w:val="28"/>
          <w:lang w:val="es-MX"/>
        </w:rPr>
      </w:pPr>
    </w:p>
    <w:p w14:paraId="056B1C99" w14:textId="77777777" w:rsidR="00222818" w:rsidRPr="00E320CE" w:rsidRDefault="00CB79D6" w:rsidP="00222818">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El artículo 53 de la Constitución establece como principio fundamental la “primacía de la realidad sobre [las] formalidades establecidas por los sujetos de las relaciones laborales”</w:t>
      </w:r>
      <w:r w:rsidRPr="00E320CE">
        <w:rPr>
          <w:rStyle w:val="Refdenotaalpie"/>
          <w:rFonts w:eastAsia="SimSun"/>
          <w:sz w:val="28"/>
          <w:szCs w:val="28"/>
          <w:lang w:val="es-MX"/>
        </w:rPr>
        <w:footnoteReference w:id="150"/>
      </w:r>
      <w:r w:rsidRPr="00E320CE">
        <w:rPr>
          <w:rFonts w:eastAsia="SimSun"/>
          <w:sz w:val="28"/>
          <w:szCs w:val="28"/>
          <w:lang w:val="es-MX"/>
        </w:rPr>
        <w:t>, del cual surge el contrato realidad. Esta figura permite que, independientemente de la denominación del contrato celebrado por las partes, la relación de trabajo pueda probarse si se acreditan tres requisitos: “(i) prestación personal del servicio, (</w:t>
      </w:r>
      <w:proofErr w:type="spellStart"/>
      <w:r w:rsidRPr="00E320CE">
        <w:rPr>
          <w:rFonts w:eastAsia="SimSun"/>
          <w:sz w:val="28"/>
          <w:szCs w:val="28"/>
          <w:lang w:val="es-MX"/>
        </w:rPr>
        <w:t>ii</w:t>
      </w:r>
      <w:proofErr w:type="spellEnd"/>
      <w:r w:rsidRPr="00E320CE">
        <w:rPr>
          <w:rFonts w:eastAsia="SimSun"/>
          <w:sz w:val="28"/>
          <w:szCs w:val="28"/>
          <w:lang w:val="es-MX"/>
        </w:rPr>
        <w:t>) que se acuerde una contraprestación económica por el servicio u oficio prestado, y (</w:t>
      </w:r>
      <w:proofErr w:type="spellStart"/>
      <w:r w:rsidRPr="00E320CE">
        <w:rPr>
          <w:rFonts w:eastAsia="SimSun"/>
          <w:sz w:val="28"/>
          <w:szCs w:val="28"/>
          <w:lang w:val="es-MX"/>
        </w:rPr>
        <w:t>iii</w:t>
      </w:r>
      <w:proofErr w:type="spellEnd"/>
      <w:r w:rsidRPr="00E320CE">
        <w:rPr>
          <w:rFonts w:eastAsia="SimSun"/>
          <w:sz w:val="28"/>
          <w:szCs w:val="28"/>
          <w:lang w:val="es-MX"/>
        </w:rPr>
        <w:t>) la continuada subordinación o dependencia del trabajador respecto del empleador”</w:t>
      </w:r>
      <w:r w:rsidRPr="00E320CE">
        <w:rPr>
          <w:rStyle w:val="Refdenotaalpie"/>
          <w:rFonts w:eastAsia="SimSun"/>
          <w:sz w:val="28"/>
          <w:szCs w:val="28"/>
          <w:lang w:val="es-MX"/>
        </w:rPr>
        <w:footnoteReference w:id="151"/>
      </w:r>
      <w:r w:rsidRPr="00E320CE">
        <w:rPr>
          <w:rFonts w:eastAsia="SimSun"/>
          <w:sz w:val="28"/>
          <w:szCs w:val="28"/>
          <w:lang w:val="es-MX"/>
        </w:rPr>
        <w:t>.</w:t>
      </w:r>
      <w:r w:rsidR="00222818" w:rsidRPr="00E320CE">
        <w:rPr>
          <w:rFonts w:eastAsia="SimSun"/>
          <w:sz w:val="28"/>
          <w:szCs w:val="28"/>
          <w:lang w:val="es-MX"/>
        </w:rPr>
        <w:t xml:space="preserve"> </w:t>
      </w:r>
      <w:r w:rsidR="002D48CC" w:rsidRPr="00E320CE">
        <w:rPr>
          <w:rFonts w:eastAsia="SimSun"/>
          <w:sz w:val="28"/>
          <w:szCs w:val="28"/>
          <w:lang w:val="es-MX"/>
        </w:rPr>
        <w:t xml:space="preserve">De acuerdo con la </w:t>
      </w:r>
      <w:r w:rsidR="002D48CC" w:rsidRPr="00E320CE">
        <w:rPr>
          <w:rFonts w:eastAsia="SimSun"/>
          <w:sz w:val="28"/>
          <w:szCs w:val="28"/>
          <w:lang w:val="es-MX"/>
        </w:rPr>
        <w:lastRenderedPageBreak/>
        <w:t>jurisprudencia constitucional, la prueba de la continuada subordinación o dependencia tiene el poder de demostrar la existencia de la relación laboral, en la medida que “los elementos de prestación personal y remuneración se presumen a simple vista en el contrato de prestación de servicios”</w:t>
      </w:r>
      <w:r w:rsidR="002D48CC" w:rsidRPr="00E320CE">
        <w:rPr>
          <w:rStyle w:val="Refdenotaalpie"/>
          <w:rFonts w:eastAsia="SimSun"/>
          <w:sz w:val="28"/>
          <w:szCs w:val="28"/>
          <w:lang w:val="es-MX"/>
        </w:rPr>
        <w:footnoteReference w:id="152"/>
      </w:r>
      <w:r w:rsidR="002D48CC" w:rsidRPr="00E320CE">
        <w:rPr>
          <w:rFonts w:eastAsia="SimSun"/>
          <w:sz w:val="28"/>
          <w:szCs w:val="28"/>
          <w:lang w:val="es-MX"/>
        </w:rPr>
        <w:t>.</w:t>
      </w:r>
    </w:p>
    <w:p w14:paraId="1D1E4917" w14:textId="2DE6AC42" w:rsidR="00222818" w:rsidRPr="00E320CE" w:rsidRDefault="00222818" w:rsidP="00222818">
      <w:pPr>
        <w:pStyle w:val="Prrafodelista"/>
        <w:autoSpaceDE/>
        <w:autoSpaceDN/>
        <w:ind w:left="0"/>
        <w:contextualSpacing w:val="0"/>
        <w:jc w:val="both"/>
        <w:rPr>
          <w:rFonts w:eastAsia="SimSun"/>
          <w:sz w:val="28"/>
          <w:szCs w:val="28"/>
          <w:lang w:val="es-MX"/>
        </w:rPr>
      </w:pPr>
      <w:r w:rsidRPr="00E320CE">
        <w:rPr>
          <w:rFonts w:eastAsia="SimSun"/>
          <w:sz w:val="28"/>
          <w:szCs w:val="28"/>
          <w:lang w:val="es-MX"/>
        </w:rPr>
        <w:t xml:space="preserve"> </w:t>
      </w:r>
    </w:p>
    <w:p w14:paraId="1C5C95C2" w14:textId="164E04EF" w:rsidR="0052779B" w:rsidRPr="00E320CE" w:rsidRDefault="001C3CC4" w:rsidP="001C3CC4">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Cuando se habla de subordinación o dependencia, se hace referencia al poder </w:t>
      </w:r>
      <w:r w:rsidR="00364427" w:rsidRPr="00E320CE">
        <w:rPr>
          <w:rFonts w:eastAsia="SimSun"/>
          <w:sz w:val="28"/>
          <w:szCs w:val="28"/>
          <w:lang w:val="es-MX"/>
        </w:rPr>
        <w:t>d</w:t>
      </w:r>
      <w:r w:rsidRPr="00E320CE">
        <w:rPr>
          <w:rFonts w:eastAsia="SimSun"/>
          <w:sz w:val="28"/>
          <w:szCs w:val="28"/>
          <w:lang w:val="es-MX"/>
        </w:rPr>
        <w:t xml:space="preserve">el empleador </w:t>
      </w:r>
      <w:r w:rsidR="00364427" w:rsidRPr="00E320CE">
        <w:rPr>
          <w:rFonts w:eastAsia="SimSun"/>
          <w:sz w:val="28"/>
          <w:szCs w:val="28"/>
          <w:lang w:val="es-MX"/>
        </w:rPr>
        <w:t xml:space="preserve">para exigir </w:t>
      </w:r>
      <w:r w:rsidRPr="00E320CE">
        <w:rPr>
          <w:rFonts w:eastAsia="SimSun"/>
          <w:sz w:val="28"/>
          <w:szCs w:val="28"/>
          <w:lang w:val="es-MX"/>
        </w:rPr>
        <w:t>al trabajador</w:t>
      </w:r>
      <w:r w:rsidR="00364427" w:rsidRPr="00E320CE">
        <w:rPr>
          <w:rFonts w:eastAsia="SimSun"/>
          <w:sz w:val="28"/>
          <w:szCs w:val="28"/>
          <w:lang w:val="es-MX"/>
        </w:rPr>
        <w:t xml:space="preserve"> el cumplimiento de </w:t>
      </w:r>
      <w:r w:rsidRPr="00E320CE">
        <w:rPr>
          <w:rFonts w:eastAsia="SimSun"/>
          <w:sz w:val="28"/>
          <w:szCs w:val="28"/>
          <w:lang w:val="es-MX"/>
        </w:rPr>
        <w:t>sus laborales</w:t>
      </w:r>
      <w:r w:rsidR="00364427" w:rsidRPr="00E320CE">
        <w:rPr>
          <w:rFonts w:eastAsia="SimSun"/>
          <w:sz w:val="28"/>
          <w:szCs w:val="28"/>
          <w:lang w:val="es-MX"/>
        </w:rPr>
        <w:t xml:space="preserve"> bajo </w:t>
      </w:r>
      <w:r w:rsidRPr="00E320CE">
        <w:rPr>
          <w:rFonts w:eastAsia="SimSun"/>
          <w:sz w:val="28"/>
          <w:szCs w:val="28"/>
          <w:lang w:val="es-MX"/>
        </w:rPr>
        <w:t>determinadas</w:t>
      </w:r>
      <w:r w:rsidR="00364427" w:rsidRPr="00E320CE">
        <w:rPr>
          <w:rFonts w:eastAsia="SimSun"/>
          <w:sz w:val="28"/>
          <w:szCs w:val="28"/>
          <w:lang w:val="es-MX"/>
        </w:rPr>
        <w:t xml:space="preserve"> condiciones </w:t>
      </w:r>
      <w:r w:rsidRPr="00E320CE">
        <w:rPr>
          <w:rFonts w:eastAsia="SimSun"/>
          <w:sz w:val="28"/>
          <w:szCs w:val="28"/>
          <w:lang w:val="es-MX"/>
        </w:rPr>
        <w:t>de tiempo, modo y cantidad</w:t>
      </w:r>
      <w:r w:rsidRPr="00E320CE">
        <w:rPr>
          <w:rStyle w:val="Refdenotaalpie"/>
          <w:rFonts w:eastAsia="SimSun"/>
          <w:sz w:val="28"/>
          <w:szCs w:val="28"/>
          <w:lang w:val="es-MX"/>
        </w:rPr>
        <w:footnoteReference w:id="153"/>
      </w:r>
      <w:r w:rsidRPr="00E320CE">
        <w:rPr>
          <w:rFonts w:eastAsia="SimSun"/>
          <w:sz w:val="28"/>
          <w:szCs w:val="28"/>
          <w:lang w:val="es-MX"/>
        </w:rPr>
        <w:t xml:space="preserve">. Este poder se </w:t>
      </w:r>
      <w:r w:rsidR="00364427" w:rsidRPr="00E320CE">
        <w:rPr>
          <w:rFonts w:eastAsia="SimSun"/>
          <w:sz w:val="28"/>
          <w:szCs w:val="28"/>
          <w:lang w:val="es-MX"/>
        </w:rPr>
        <w:t>evidencia</w:t>
      </w:r>
      <w:r w:rsidR="009D57C9" w:rsidRPr="00E320CE">
        <w:rPr>
          <w:rFonts w:eastAsia="SimSun"/>
          <w:sz w:val="28"/>
          <w:szCs w:val="28"/>
          <w:lang w:val="es-MX"/>
        </w:rPr>
        <w:t>, por ejemplo,</w:t>
      </w:r>
      <w:r w:rsidRPr="00E320CE">
        <w:rPr>
          <w:rFonts w:eastAsia="SimSun"/>
          <w:sz w:val="28"/>
          <w:szCs w:val="28"/>
          <w:lang w:val="es-MX"/>
        </w:rPr>
        <w:t xml:space="preserve"> </w:t>
      </w:r>
      <w:r w:rsidR="009D57C9" w:rsidRPr="00E320CE">
        <w:rPr>
          <w:rFonts w:eastAsia="SimSun"/>
          <w:sz w:val="28"/>
          <w:szCs w:val="28"/>
          <w:lang w:val="es-MX"/>
        </w:rPr>
        <w:t>en</w:t>
      </w:r>
      <w:r w:rsidR="00364427" w:rsidRPr="00E320CE">
        <w:rPr>
          <w:rFonts w:eastAsia="SimSun"/>
          <w:sz w:val="28"/>
          <w:szCs w:val="28"/>
          <w:lang w:val="es-MX"/>
        </w:rPr>
        <w:t xml:space="preserve"> la obligación de acatar </w:t>
      </w:r>
      <w:r w:rsidR="009D57C9" w:rsidRPr="00E320CE">
        <w:rPr>
          <w:rFonts w:eastAsia="SimSun"/>
          <w:sz w:val="28"/>
          <w:szCs w:val="28"/>
          <w:lang w:val="es-MX"/>
        </w:rPr>
        <w:t xml:space="preserve">un horario y </w:t>
      </w:r>
      <w:r w:rsidR="00364427" w:rsidRPr="00E320CE">
        <w:rPr>
          <w:rFonts w:eastAsia="SimSun"/>
          <w:sz w:val="28"/>
          <w:szCs w:val="28"/>
          <w:lang w:val="es-MX"/>
        </w:rPr>
        <w:t xml:space="preserve">un </w:t>
      </w:r>
      <w:r w:rsidR="009D57C9" w:rsidRPr="00E320CE">
        <w:rPr>
          <w:rFonts w:eastAsia="SimSun"/>
          <w:sz w:val="28"/>
          <w:szCs w:val="28"/>
          <w:lang w:val="es-MX"/>
        </w:rPr>
        <w:t>lugar de trabajo,</w:t>
      </w:r>
      <w:r w:rsidR="00364427" w:rsidRPr="00E320CE">
        <w:rPr>
          <w:rFonts w:eastAsia="SimSun"/>
          <w:sz w:val="28"/>
          <w:szCs w:val="28"/>
          <w:lang w:val="es-MX"/>
        </w:rPr>
        <w:t xml:space="preserve"> así como</w:t>
      </w:r>
      <w:r w:rsidR="009D57C9" w:rsidRPr="00E320CE">
        <w:rPr>
          <w:rFonts w:eastAsia="SimSun"/>
          <w:sz w:val="28"/>
          <w:szCs w:val="28"/>
          <w:lang w:val="es-MX"/>
        </w:rPr>
        <w:t xml:space="preserve"> </w:t>
      </w:r>
      <w:r w:rsidRPr="00E320CE">
        <w:rPr>
          <w:rFonts w:eastAsia="SimSun"/>
          <w:sz w:val="28"/>
          <w:szCs w:val="28"/>
          <w:lang w:val="es-MX"/>
        </w:rPr>
        <w:t>en la imposición de órdenes, instrucciones o reglamentos</w:t>
      </w:r>
      <w:r w:rsidR="009D57C9" w:rsidRPr="00E320CE">
        <w:rPr>
          <w:rFonts w:eastAsia="SimSun"/>
          <w:sz w:val="28"/>
          <w:szCs w:val="28"/>
          <w:lang w:val="es-MX"/>
        </w:rPr>
        <w:t>, entre otros</w:t>
      </w:r>
      <w:r w:rsidR="00364427" w:rsidRPr="00E320CE">
        <w:rPr>
          <w:rFonts w:eastAsia="SimSun"/>
          <w:sz w:val="28"/>
          <w:szCs w:val="28"/>
          <w:lang w:val="es-MX"/>
        </w:rPr>
        <w:t xml:space="preserve"> aspectos</w:t>
      </w:r>
      <w:r w:rsidRPr="00E320CE">
        <w:rPr>
          <w:rStyle w:val="Refdenotaalpie"/>
          <w:rFonts w:eastAsia="SimSun"/>
          <w:sz w:val="28"/>
          <w:szCs w:val="28"/>
          <w:lang w:val="es-MX"/>
        </w:rPr>
        <w:footnoteReference w:id="154"/>
      </w:r>
      <w:r w:rsidRPr="00E320CE">
        <w:rPr>
          <w:rFonts w:eastAsia="SimSun"/>
          <w:sz w:val="28"/>
          <w:szCs w:val="28"/>
          <w:lang w:val="es-MX"/>
        </w:rPr>
        <w:t xml:space="preserve">. </w:t>
      </w:r>
      <w:r w:rsidR="00364427" w:rsidRPr="00E320CE">
        <w:rPr>
          <w:rFonts w:eastAsia="SimSun"/>
          <w:sz w:val="28"/>
          <w:szCs w:val="28"/>
          <w:lang w:val="es-MX"/>
        </w:rPr>
        <w:t>En este tipo de casos, los principales medios</w:t>
      </w:r>
      <w:r w:rsidR="00222818" w:rsidRPr="00E320CE">
        <w:rPr>
          <w:rFonts w:eastAsia="SimSun"/>
          <w:sz w:val="28"/>
          <w:szCs w:val="28"/>
          <w:lang w:val="es-MX"/>
        </w:rPr>
        <w:t xml:space="preserve"> de prueba</w:t>
      </w:r>
      <w:r w:rsidR="00364427" w:rsidRPr="00E320CE">
        <w:rPr>
          <w:rFonts w:eastAsia="SimSun"/>
          <w:sz w:val="28"/>
          <w:szCs w:val="28"/>
          <w:lang w:val="es-MX"/>
        </w:rPr>
        <w:t xml:space="preserve"> </w:t>
      </w:r>
      <w:r w:rsidR="00222818" w:rsidRPr="00E320CE">
        <w:rPr>
          <w:rFonts w:eastAsia="SimSun"/>
          <w:sz w:val="28"/>
          <w:szCs w:val="28"/>
          <w:lang w:val="es-MX"/>
        </w:rPr>
        <w:t>son los indicios</w:t>
      </w:r>
      <w:r w:rsidR="00222818" w:rsidRPr="00E320CE">
        <w:rPr>
          <w:rStyle w:val="Refdenotaalpie"/>
          <w:rFonts w:eastAsia="SimSun"/>
          <w:sz w:val="28"/>
          <w:szCs w:val="28"/>
          <w:lang w:val="es-MX"/>
        </w:rPr>
        <w:footnoteReference w:id="155"/>
      </w:r>
      <w:r w:rsidR="00222818" w:rsidRPr="00E320CE">
        <w:rPr>
          <w:rFonts w:eastAsia="SimSun"/>
          <w:sz w:val="28"/>
          <w:szCs w:val="28"/>
          <w:lang w:val="es-MX"/>
        </w:rPr>
        <w:t>.</w:t>
      </w:r>
      <w:r w:rsidR="00A8268A" w:rsidRPr="00E320CE">
        <w:rPr>
          <w:rFonts w:eastAsia="SimSun"/>
          <w:sz w:val="28"/>
          <w:szCs w:val="28"/>
          <w:lang w:val="es-MX"/>
        </w:rPr>
        <w:t xml:space="preserve"> </w:t>
      </w:r>
      <w:r w:rsidR="00012A87" w:rsidRPr="00E320CE">
        <w:rPr>
          <w:rFonts w:eastAsia="SimSun"/>
          <w:sz w:val="28"/>
          <w:szCs w:val="28"/>
          <w:lang w:val="es-MX"/>
        </w:rPr>
        <w:t xml:space="preserve">En el punto 13 de </w:t>
      </w:r>
      <w:r w:rsidR="003F4BDC" w:rsidRPr="00E320CE">
        <w:rPr>
          <w:rFonts w:eastAsia="SimSun"/>
          <w:sz w:val="28"/>
          <w:szCs w:val="28"/>
          <w:lang w:val="es-MX"/>
        </w:rPr>
        <w:t>la</w:t>
      </w:r>
      <w:r w:rsidR="00012A87" w:rsidRPr="00E320CE">
        <w:rPr>
          <w:rFonts w:eastAsia="SimSun"/>
          <w:sz w:val="28"/>
          <w:szCs w:val="28"/>
          <w:lang w:val="es-MX"/>
        </w:rPr>
        <w:t xml:space="preserve"> Recomendación 198, la Organización Internacional del Trabajo </w:t>
      </w:r>
      <w:r w:rsidR="00364427" w:rsidRPr="00E320CE">
        <w:rPr>
          <w:rFonts w:eastAsia="SimSun"/>
          <w:sz w:val="28"/>
          <w:szCs w:val="28"/>
          <w:lang w:val="es-MX"/>
        </w:rPr>
        <w:t xml:space="preserve">enumeró </w:t>
      </w:r>
      <w:r w:rsidR="00012A87" w:rsidRPr="00E320CE">
        <w:rPr>
          <w:rFonts w:eastAsia="SimSun"/>
          <w:sz w:val="28"/>
          <w:szCs w:val="28"/>
          <w:lang w:val="es-MX"/>
        </w:rPr>
        <w:t>una serie de indicios que pueden resultar útiles</w:t>
      </w:r>
      <w:r w:rsidRPr="00E320CE">
        <w:rPr>
          <w:rFonts w:eastAsia="SimSun"/>
          <w:sz w:val="28"/>
          <w:szCs w:val="28"/>
          <w:lang w:val="es-MX"/>
        </w:rPr>
        <w:t xml:space="preserve"> para demo</w:t>
      </w:r>
      <w:r w:rsidR="00364427" w:rsidRPr="00E320CE">
        <w:rPr>
          <w:rFonts w:eastAsia="SimSun"/>
          <w:sz w:val="28"/>
          <w:szCs w:val="28"/>
          <w:lang w:val="es-MX"/>
        </w:rPr>
        <w:t>s</w:t>
      </w:r>
      <w:r w:rsidRPr="00E320CE">
        <w:rPr>
          <w:rFonts w:eastAsia="SimSun"/>
          <w:sz w:val="28"/>
          <w:szCs w:val="28"/>
          <w:lang w:val="es-MX"/>
        </w:rPr>
        <w:t xml:space="preserve">trar la </w:t>
      </w:r>
      <w:r w:rsidR="003E075C" w:rsidRPr="00E320CE">
        <w:rPr>
          <w:rFonts w:eastAsia="SimSun"/>
          <w:sz w:val="28"/>
          <w:szCs w:val="28"/>
          <w:lang w:val="es-MX"/>
        </w:rPr>
        <w:t xml:space="preserve">existencia de </w:t>
      </w:r>
      <w:r w:rsidRPr="00E320CE">
        <w:rPr>
          <w:rFonts w:eastAsia="SimSun"/>
          <w:sz w:val="28"/>
          <w:szCs w:val="28"/>
          <w:lang w:val="es-MX"/>
        </w:rPr>
        <w:t>subordinación</w:t>
      </w:r>
      <w:r w:rsidR="00012A87" w:rsidRPr="00E320CE">
        <w:rPr>
          <w:rFonts w:eastAsia="SimSun"/>
          <w:sz w:val="28"/>
          <w:szCs w:val="28"/>
          <w:lang w:val="es-MX"/>
        </w:rPr>
        <w:t>:</w:t>
      </w:r>
    </w:p>
    <w:p w14:paraId="724F8CFD" w14:textId="77777777" w:rsidR="00012A87" w:rsidRPr="00E320CE" w:rsidRDefault="00012A87" w:rsidP="00012A87">
      <w:pPr>
        <w:pStyle w:val="Prrafodelista"/>
        <w:rPr>
          <w:rFonts w:eastAsia="SimSun"/>
          <w:sz w:val="28"/>
          <w:szCs w:val="28"/>
          <w:lang w:val="es-MX"/>
        </w:rPr>
      </w:pPr>
    </w:p>
    <w:p w14:paraId="58CAA47E" w14:textId="72FD68D3" w:rsidR="00012A87" w:rsidRPr="00E320CE" w:rsidRDefault="00012A87" w:rsidP="00012A87">
      <w:pPr>
        <w:autoSpaceDE/>
        <w:autoSpaceDN/>
        <w:ind w:left="708"/>
        <w:jc w:val="both"/>
        <w:rPr>
          <w:rFonts w:eastAsia="SimSun"/>
          <w:sz w:val="24"/>
          <w:szCs w:val="24"/>
          <w:lang w:val="es-MX"/>
        </w:rPr>
      </w:pPr>
      <w:r w:rsidRPr="00E320CE">
        <w:rPr>
          <w:rFonts w:eastAsia="SimSun"/>
          <w:sz w:val="24"/>
          <w:szCs w:val="24"/>
          <w:lang w:val="es-MX"/>
        </w:rPr>
        <w:t>“(a) el hecho de que el trabajo: se realiza según las instrucciones y bajo el control de otra persona; que el mismo implica la integración del trabajador en la organización de la empresa</w:t>
      </w:r>
      <w:r w:rsidR="001C3CC4" w:rsidRPr="00E320CE">
        <w:rPr>
          <w:rFonts w:eastAsia="SimSun"/>
          <w:sz w:val="24"/>
          <w:szCs w:val="24"/>
          <w:lang w:val="es-MX"/>
        </w:rPr>
        <w:t xml:space="preserve"> [y sus reglamentos]</w:t>
      </w:r>
      <w:r w:rsidRPr="00E320CE">
        <w:rPr>
          <w:rFonts w:eastAsia="SimSun"/>
          <w:sz w:val="24"/>
          <w:szCs w:val="24"/>
          <w:lang w:val="es-MX"/>
        </w:rPr>
        <w:t>; que es efectuado única o principalmente en beneficio de otra persona; que debe ser ejecutado personalmente por el trabajador, dentro de un horario determinado, o en el lugar indicado o aceptado por quien solicita el trabajo; que el trabajo es de cierta duración y tiene cierta continuidad, o requiere la disponibilidad del trabajador, que implica el suministro de herramientas, materiales y maquinarias por parte de la persona que requiere el trabajo, y</w:t>
      </w:r>
    </w:p>
    <w:p w14:paraId="078E1F33" w14:textId="46C654A5" w:rsidR="00012A87" w:rsidRPr="00E320CE" w:rsidRDefault="00012A87" w:rsidP="00012A87">
      <w:pPr>
        <w:autoSpaceDE/>
        <w:autoSpaceDN/>
        <w:ind w:left="708"/>
        <w:jc w:val="both"/>
        <w:rPr>
          <w:rFonts w:eastAsia="SimSun"/>
          <w:sz w:val="28"/>
          <w:szCs w:val="28"/>
          <w:lang w:val="es-CO"/>
        </w:rPr>
      </w:pPr>
      <w:r w:rsidRPr="00E320CE">
        <w:rPr>
          <w:rFonts w:eastAsia="SimSun"/>
          <w:sz w:val="24"/>
          <w:szCs w:val="24"/>
          <w:lang w:val="es-MX"/>
        </w:rPr>
        <w:t>(b) el hecho de que se paga una remuneración periódica al trabajador; de que dicha remuneración constituye la única o la principal fuente de ingresos del trabajador; de que incluye pagos en especie tales como alimentación, vivienda, transporte, u otros; de que se reconocen derechos como el descanso semanal y las vacaciones anuales; de que la parte que solicita el trabajo paga los viajes que ha de emprender el trabajador para ejecutar su trabajo; el hecho de que no existen riesgos financieros para el trabajador”</w:t>
      </w:r>
      <w:r w:rsidRPr="00E320CE">
        <w:rPr>
          <w:rStyle w:val="Refdenotaalpie"/>
          <w:rFonts w:eastAsia="SimSun"/>
          <w:sz w:val="24"/>
          <w:szCs w:val="24"/>
          <w:lang w:val="es-MX"/>
        </w:rPr>
        <w:footnoteReference w:id="156"/>
      </w:r>
      <w:r w:rsidRPr="00E320CE">
        <w:rPr>
          <w:rFonts w:eastAsia="SimSun"/>
          <w:sz w:val="24"/>
          <w:szCs w:val="24"/>
          <w:lang w:val="es-MX"/>
        </w:rPr>
        <w:t>.</w:t>
      </w:r>
    </w:p>
    <w:p w14:paraId="26E9F09F" w14:textId="77777777" w:rsidR="0052779B" w:rsidRPr="00E320CE" w:rsidRDefault="0052779B" w:rsidP="0052779B">
      <w:pPr>
        <w:pStyle w:val="Prrafodelista"/>
        <w:rPr>
          <w:rFonts w:eastAsia="SimSun"/>
          <w:sz w:val="28"/>
          <w:szCs w:val="28"/>
          <w:lang w:val="es-MX"/>
        </w:rPr>
      </w:pPr>
    </w:p>
    <w:p w14:paraId="459B01B1" w14:textId="23E20574" w:rsidR="001C68A8" w:rsidRPr="00E320CE" w:rsidRDefault="00A8268A" w:rsidP="006807F1">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En </w:t>
      </w:r>
      <w:r w:rsidR="00C4548C" w:rsidRPr="00E320CE">
        <w:rPr>
          <w:rFonts w:eastAsia="SimSun"/>
          <w:sz w:val="28"/>
          <w:szCs w:val="28"/>
          <w:lang w:val="es-MX"/>
        </w:rPr>
        <w:t>el</w:t>
      </w:r>
      <w:r w:rsidR="006807F1" w:rsidRPr="00E320CE">
        <w:rPr>
          <w:rFonts w:eastAsia="SimSun"/>
          <w:sz w:val="28"/>
          <w:szCs w:val="28"/>
          <w:lang w:val="es-MX"/>
        </w:rPr>
        <w:t xml:space="preserve"> mismo</w:t>
      </w:r>
      <w:r w:rsidRPr="00E320CE">
        <w:rPr>
          <w:rFonts w:eastAsia="SimSun"/>
          <w:sz w:val="28"/>
          <w:szCs w:val="28"/>
          <w:lang w:val="es-MX"/>
        </w:rPr>
        <w:t xml:space="preserve"> sentido, </w:t>
      </w:r>
      <w:r w:rsidR="006807F1" w:rsidRPr="00E320CE">
        <w:rPr>
          <w:rFonts w:eastAsia="SimSun"/>
          <w:sz w:val="28"/>
          <w:szCs w:val="28"/>
          <w:lang w:val="es-MX"/>
        </w:rPr>
        <w:t xml:space="preserve">la Corte ha reiterado que </w:t>
      </w:r>
      <w:r w:rsidRPr="00E320CE">
        <w:rPr>
          <w:rFonts w:eastAsia="SimSun"/>
          <w:sz w:val="28"/>
          <w:szCs w:val="28"/>
          <w:lang w:val="es-MX"/>
        </w:rPr>
        <w:t xml:space="preserve">deben tenerse en cuenta ciertos elementos que </w:t>
      </w:r>
      <w:r w:rsidR="00781583" w:rsidRPr="00E320CE">
        <w:rPr>
          <w:rFonts w:eastAsia="SimSun"/>
          <w:sz w:val="28"/>
          <w:szCs w:val="28"/>
          <w:lang w:val="es-MX"/>
        </w:rPr>
        <w:t>son contrarios a la naturaleza</w:t>
      </w:r>
      <w:r w:rsidRPr="00E320CE">
        <w:rPr>
          <w:rFonts w:eastAsia="SimSun"/>
          <w:sz w:val="28"/>
          <w:szCs w:val="28"/>
          <w:lang w:val="es-MX"/>
        </w:rPr>
        <w:t xml:space="preserve"> </w:t>
      </w:r>
      <w:r w:rsidR="00781583" w:rsidRPr="00E320CE">
        <w:rPr>
          <w:rFonts w:eastAsia="SimSun"/>
          <w:sz w:val="28"/>
          <w:szCs w:val="28"/>
          <w:lang w:val="es-MX"/>
        </w:rPr>
        <w:t>d</w:t>
      </w:r>
      <w:r w:rsidRPr="00E320CE">
        <w:rPr>
          <w:rFonts w:eastAsia="SimSun"/>
          <w:sz w:val="28"/>
          <w:szCs w:val="28"/>
          <w:lang w:val="es-MX"/>
        </w:rPr>
        <w:t>el contrato de prestación de servicios, como el hecho de que no se cumpla con el carácter temporal de este tipo de contratos</w:t>
      </w:r>
      <w:r w:rsidR="002D68E9" w:rsidRPr="00E320CE">
        <w:rPr>
          <w:rFonts w:eastAsia="SimSun"/>
          <w:sz w:val="28"/>
          <w:szCs w:val="28"/>
          <w:lang w:val="es-MX"/>
        </w:rPr>
        <w:t xml:space="preserve"> o</w:t>
      </w:r>
      <w:r w:rsidRPr="00E320CE">
        <w:rPr>
          <w:rFonts w:eastAsia="SimSun"/>
          <w:sz w:val="28"/>
          <w:szCs w:val="28"/>
          <w:lang w:val="es-MX"/>
        </w:rPr>
        <w:t xml:space="preserve"> </w:t>
      </w:r>
      <w:r w:rsidR="00781583" w:rsidRPr="00E320CE">
        <w:rPr>
          <w:rFonts w:eastAsia="SimSun"/>
          <w:sz w:val="28"/>
          <w:szCs w:val="28"/>
          <w:lang w:val="es-MX"/>
        </w:rPr>
        <w:t>que sean suscritos de forma sucesiva y por varios años, y que sean usados para el desarrollo de labores permanentes</w:t>
      </w:r>
      <w:r w:rsidR="00781583" w:rsidRPr="00E320CE">
        <w:rPr>
          <w:rStyle w:val="Refdenotaalpie"/>
          <w:rFonts w:eastAsia="SimSun"/>
          <w:sz w:val="28"/>
          <w:szCs w:val="28"/>
          <w:lang w:val="es-MX"/>
        </w:rPr>
        <w:footnoteReference w:id="157"/>
      </w:r>
      <w:r w:rsidR="00781583" w:rsidRPr="00E320CE">
        <w:rPr>
          <w:rFonts w:eastAsia="SimSun"/>
          <w:sz w:val="28"/>
          <w:szCs w:val="28"/>
          <w:lang w:val="es-MX"/>
        </w:rPr>
        <w:t>.</w:t>
      </w:r>
      <w:r w:rsidR="002D68E9" w:rsidRPr="00E320CE">
        <w:rPr>
          <w:rFonts w:eastAsia="SimSun"/>
          <w:sz w:val="28"/>
          <w:szCs w:val="28"/>
          <w:lang w:val="es-MX"/>
        </w:rPr>
        <w:t xml:space="preserve"> </w:t>
      </w:r>
    </w:p>
    <w:p w14:paraId="0B027CD3" w14:textId="77777777" w:rsidR="00781583" w:rsidRPr="00E320CE" w:rsidRDefault="00781583" w:rsidP="00781583">
      <w:pPr>
        <w:pStyle w:val="Prrafodelista"/>
        <w:rPr>
          <w:rFonts w:eastAsia="SimSun"/>
          <w:sz w:val="28"/>
          <w:szCs w:val="28"/>
          <w:lang w:val="es-MX"/>
        </w:rPr>
      </w:pPr>
    </w:p>
    <w:p w14:paraId="792B3E50" w14:textId="45C4038C" w:rsidR="00781583" w:rsidRPr="00E320CE" w:rsidRDefault="006E4342" w:rsidP="00222818">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E</w:t>
      </w:r>
      <w:r w:rsidR="00A674C3" w:rsidRPr="00E320CE">
        <w:rPr>
          <w:rFonts w:eastAsia="SimSun"/>
          <w:sz w:val="28"/>
          <w:szCs w:val="28"/>
          <w:lang w:val="es-MX"/>
        </w:rPr>
        <w:t>n</w:t>
      </w:r>
      <w:r w:rsidR="00804C31" w:rsidRPr="00E320CE">
        <w:rPr>
          <w:rFonts w:eastAsia="SimSun"/>
          <w:sz w:val="28"/>
          <w:szCs w:val="28"/>
          <w:lang w:val="es-MX"/>
        </w:rPr>
        <w:t xml:space="preserve"> esa línea, </w:t>
      </w:r>
      <w:r w:rsidR="00A674C3" w:rsidRPr="00E320CE">
        <w:rPr>
          <w:rFonts w:eastAsia="SimSun"/>
          <w:sz w:val="28"/>
          <w:szCs w:val="28"/>
          <w:lang w:val="es-MX"/>
        </w:rPr>
        <w:t>el</w:t>
      </w:r>
      <w:r w:rsidRPr="00E320CE">
        <w:rPr>
          <w:rFonts w:eastAsia="SimSun"/>
          <w:sz w:val="28"/>
          <w:szCs w:val="28"/>
          <w:lang w:val="es-MX"/>
        </w:rPr>
        <w:t xml:space="preserve"> contrato de prestación de servicios</w:t>
      </w:r>
      <w:r w:rsidR="00A674C3" w:rsidRPr="00E320CE">
        <w:rPr>
          <w:rFonts w:eastAsia="SimSun"/>
          <w:sz w:val="28"/>
          <w:szCs w:val="28"/>
          <w:lang w:val="es-MX"/>
        </w:rPr>
        <w:t>, por regla general,</w:t>
      </w:r>
      <w:r w:rsidRPr="00E320CE">
        <w:rPr>
          <w:rFonts w:eastAsia="SimSun"/>
          <w:sz w:val="28"/>
          <w:szCs w:val="28"/>
          <w:lang w:val="es-MX"/>
        </w:rPr>
        <w:t xml:space="preserve"> tiene </w:t>
      </w:r>
      <w:r w:rsidR="00A674C3" w:rsidRPr="00E320CE">
        <w:rPr>
          <w:rFonts w:eastAsia="SimSun"/>
          <w:sz w:val="28"/>
          <w:szCs w:val="28"/>
          <w:lang w:val="es-MX"/>
        </w:rPr>
        <w:t xml:space="preserve">un carácter </w:t>
      </w:r>
      <w:r w:rsidR="007E64F3" w:rsidRPr="00E320CE">
        <w:rPr>
          <w:rFonts w:eastAsia="SimSun"/>
          <w:sz w:val="28"/>
          <w:szCs w:val="28"/>
          <w:lang w:val="es-MX"/>
        </w:rPr>
        <w:t>temporal definido y excepcional. De esa forma, el hecho de que sea usado para suplir un cargo permanente</w:t>
      </w:r>
      <w:r w:rsidR="005E25DD" w:rsidRPr="00E320CE">
        <w:rPr>
          <w:rFonts w:eastAsia="SimSun"/>
          <w:sz w:val="28"/>
          <w:szCs w:val="28"/>
          <w:lang w:val="es-MX"/>
        </w:rPr>
        <w:t xml:space="preserve"> y con funciones ordinarias,</w:t>
      </w:r>
      <w:r w:rsidR="007E64F3" w:rsidRPr="00E320CE">
        <w:rPr>
          <w:rFonts w:eastAsia="SimSun"/>
          <w:sz w:val="28"/>
          <w:szCs w:val="28"/>
          <w:lang w:val="es-MX"/>
        </w:rPr>
        <w:t xml:space="preserve"> y se </w:t>
      </w:r>
      <w:r w:rsidR="007E64F3" w:rsidRPr="00E320CE">
        <w:rPr>
          <w:rFonts w:eastAsia="SimSun"/>
          <w:sz w:val="28"/>
          <w:szCs w:val="28"/>
          <w:lang w:val="es-MX"/>
        </w:rPr>
        <w:lastRenderedPageBreak/>
        <w:t>prolongue por varios años mediante contratos sucesivos</w:t>
      </w:r>
      <w:r w:rsidR="009D57C9" w:rsidRPr="00E320CE">
        <w:rPr>
          <w:rFonts w:eastAsia="SimSun"/>
          <w:sz w:val="28"/>
          <w:szCs w:val="28"/>
          <w:lang w:val="es-MX"/>
        </w:rPr>
        <w:t>,</w:t>
      </w:r>
      <w:r w:rsidR="007E64F3" w:rsidRPr="00E320CE">
        <w:rPr>
          <w:rFonts w:eastAsia="SimSun"/>
          <w:sz w:val="28"/>
          <w:szCs w:val="28"/>
          <w:lang w:val="es-MX"/>
        </w:rPr>
        <w:t xml:space="preserve"> desnaturaliza la prestación de servicios</w:t>
      </w:r>
      <w:r w:rsidR="005E25DD" w:rsidRPr="00E320CE">
        <w:rPr>
          <w:rFonts w:eastAsia="SimSun"/>
          <w:sz w:val="28"/>
          <w:szCs w:val="28"/>
          <w:lang w:val="es-MX"/>
        </w:rPr>
        <w:t xml:space="preserve">, por lo que es un indicio de </w:t>
      </w:r>
      <w:r w:rsidR="0070165B" w:rsidRPr="00E320CE">
        <w:rPr>
          <w:rFonts w:eastAsia="SimSun"/>
          <w:sz w:val="28"/>
          <w:szCs w:val="28"/>
          <w:lang w:val="es-MX"/>
        </w:rPr>
        <w:t>la existencia de</w:t>
      </w:r>
      <w:r w:rsidR="005E25DD" w:rsidRPr="00E320CE">
        <w:rPr>
          <w:rFonts w:eastAsia="SimSun"/>
          <w:sz w:val="28"/>
          <w:szCs w:val="28"/>
          <w:lang w:val="es-MX"/>
        </w:rPr>
        <w:t xml:space="preserve"> un contrato realidad</w:t>
      </w:r>
      <w:r w:rsidR="007E64F3" w:rsidRPr="00E320CE">
        <w:rPr>
          <w:rStyle w:val="Refdenotaalpie"/>
          <w:rFonts w:eastAsia="SimSun"/>
          <w:sz w:val="28"/>
          <w:szCs w:val="28"/>
          <w:lang w:val="es-MX"/>
        </w:rPr>
        <w:footnoteReference w:id="158"/>
      </w:r>
      <w:r w:rsidR="007E64F3" w:rsidRPr="00E320CE">
        <w:rPr>
          <w:rFonts w:eastAsia="SimSun"/>
          <w:sz w:val="28"/>
          <w:szCs w:val="28"/>
          <w:lang w:val="es-MX"/>
        </w:rPr>
        <w:t>.</w:t>
      </w:r>
    </w:p>
    <w:p w14:paraId="7AD3DC54" w14:textId="77777777" w:rsidR="005E25DD" w:rsidRPr="00E320CE" w:rsidRDefault="005E25DD" w:rsidP="005E25DD">
      <w:pPr>
        <w:pStyle w:val="Prrafodelista"/>
        <w:rPr>
          <w:rFonts w:eastAsia="SimSun"/>
          <w:sz w:val="28"/>
          <w:szCs w:val="28"/>
          <w:lang w:val="es-MX"/>
        </w:rPr>
      </w:pPr>
    </w:p>
    <w:p w14:paraId="3C49EB47" w14:textId="48A7F822" w:rsidR="005E25DD" w:rsidRPr="00E320CE" w:rsidRDefault="005E25DD" w:rsidP="007973AD">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Por otra parte, la jurisprudencia de esta Corporación se ha referido específicamente </w:t>
      </w:r>
      <w:r w:rsidR="003B3F43" w:rsidRPr="00E320CE">
        <w:rPr>
          <w:rFonts w:eastAsia="SimSun"/>
          <w:sz w:val="28"/>
          <w:szCs w:val="28"/>
          <w:lang w:val="es-MX"/>
        </w:rPr>
        <w:t xml:space="preserve">a los contratos de prestación de servicios suscritos </w:t>
      </w:r>
      <w:r w:rsidR="007973AD" w:rsidRPr="00E320CE">
        <w:rPr>
          <w:rFonts w:eastAsia="SimSun"/>
          <w:sz w:val="28"/>
          <w:szCs w:val="28"/>
          <w:lang w:val="es-MX"/>
        </w:rPr>
        <w:t xml:space="preserve">con auxiliares de enfermería. En </w:t>
      </w:r>
      <w:r w:rsidR="00060E84" w:rsidRPr="00E320CE">
        <w:rPr>
          <w:rFonts w:eastAsia="SimSun"/>
          <w:sz w:val="28"/>
          <w:szCs w:val="28"/>
          <w:lang w:val="es-MX"/>
        </w:rPr>
        <w:t>estos</w:t>
      </w:r>
      <w:r w:rsidR="007973AD" w:rsidRPr="00E320CE">
        <w:rPr>
          <w:rFonts w:eastAsia="SimSun"/>
          <w:sz w:val="28"/>
          <w:szCs w:val="28"/>
          <w:lang w:val="es-MX"/>
        </w:rPr>
        <w:t xml:space="preserve"> casos, se presume la</w:t>
      </w:r>
      <w:r w:rsidR="00060E84" w:rsidRPr="00E320CE">
        <w:rPr>
          <w:rFonts w:eastAsia="SimSun"/>
          <w:sz w:val="28"/>
          <w:szCs w:val="28"/>
          <w:lang w:val="es-MX"/>
        </w:rPr>
        <w:t xml:space="preserve"> existencia de</w:t>
      </w:r>
      <w:r w:rsidR="007973AD" w:rsidRPr="00E320CE">
        <w:rPr>
          <w:rFonts w:eastAsia="SimSun"/>
          <w:sz w:val="28"/>
          <w:szCs w:val="28"/>
          <w:lang w:val="es-MX"/>
        </w:rPr>
        <w:t xml:space="preserve"> subordinación y dependencia debido a la </w:t>
      </w:r>
      <w:r w:rsidR="00060E84" w:rsidRPr="00E320CE">
        <w:rPr>
          <w:rFonts w:eastAsia="SimSun"/>
          <w:sz w:val="28"/>
          <w:szCs w:val="28"/>
          <w:lang w:val="es-MX"/>
        </w:rPr>
        <w:t xml:space="preserve">concurrencia </w:t>
      </w:r>
      <w:r w:rsidR="007973AD" w:rsidRPr="00E320CE">
        <w:rPr>
          <w:rFonts w:eastAsia="SimSun"/>
          <w:sz w:val="28"/>
          <w:szCs w:val="28"/>
          <w:lang w:val="es-MX"/>
        </w:rPr>
        <w:t xml:space="preserve">de múltiples elementos. </w:t>
      </w:r>
      <w:r w:rsidR="00810000" w:rsidRPr="00E320CE">
        <w:rPr>
          <w:rFonts w:eastAsia="SimSun"/>
          <w:sz w:val="28"/>
          <w:szCs w:val="28"/>
          <w:lang w:val="es-MX"/>
        </w:rPr>
        <w:t>Por un lado</w:t>
      </w:r>
      <w:r w:rsidR="007973AD" w:rsidRPr="00E320CE">
        <w:rPr>
          <w:rFonts w:eastAsia="SimSun"/>
          <w:sz w:val="28"/>
          <w:szCs w:val="28"/>
          <w:lang w:val="es-MX"/>
        </w:rPr>
        <w:t xml:space="preserve">, las labores de una auxiliar de enfermería no son </w:t>
      </w:r>
      <w:r w:rsidR="00C123A9" w:rsidRPr="00E320CE">
        <w:rPr>
          <w:rFonts w:eastAsia="SimSun"/>
          <w:sz w:val="28"/>
          <w:szCs w:val="28"/>
          <w:lang w:val="es-MX"/>
        </w:rPr>
        <w:t xml:space="preserve">esporádicas ni excepcionales en la atención en salud, sino actividades </w:t>
      </w:r>
      <w:r w:rsidR="00060E84" w:rsidRPr="00E320CE">
        <w:rPr>
          <w:rFonts w:eastAsia="SimSun"/>
          <w:sz w:val="28"/>
          <w:szCs w:val="28"/>
          <w:lang w:val="es-MX"/>
        </w:rPr>
        <w:t>esenciales y permanentes para</w:t>
      </w:r>
      <w:r w:rsidR="00C123A9" w:rsidRPr="00E320CE">
        <w:rPr>
          <w:rFonts w:eastAsia="SimSun"/>
          <w:sz w:val="28"/>
          <w:szCs w:val="28"/>
          <w:lang w:val="es-MX"/>
        </w:rPr>
        <w:t xml:space="preserve"> garantizar la </w:t>
      </w:r>
      <w:r w:rsidR="00060E84" w:rsidRPr="00E320CE">
        <w:rPr>
          <w:rFonts w:eastAsia="SimSun"/>
          <w:sz w:val="28"/>
          <w:szCs w:val="28"/>
          <w:lang w:val="es-MX"/>
        </w:rPr>
        <w:t xml:space="preserve">adecuada </w:t>
      </w:r>
      <w:r w:rsidR="00C123A9" w:rsidRPr="00E320CE">
        <w:rPr>
          <w:rFonts w:eastAsia="SimSun"/>
          <w:sz w:val="28"/>
          <w:szCs w:val="28"/>
          <w:lang w:val="es-MX"/>
        </w:rPr>
        <w:t>prestación del servicio</w:t>
      </w:r>
      <w:r w:rsidR="00C123A9" w:rsidRPr="00E320CE">
        <w:rPr>
          <w:rStyle w:val="Refdenotaalpie"/>
          <w:rFonts w:eastAsia="SimSun"/>
          <w:sz w:val="28"/>
          <w:szCs w:val="28"/>
          <w:lang w:val="es-MX"/>
        </w:rPr>
        <w:footnoteReference w:id="159"/>
      </w:r>
      <w:r w:rsidR="00C123A9" w:rsidRPr="00E320CE">
        <w:rPr>
          <w:rFonts w:eastAsia="SimSun"/>
          <w:sz w:val="28"/>
          <w:szCs w:val="28"/>
          <w:lang w:val="es-MX"/>
        </w:rPr>
        <w:t>.</w:t>
      </w:r>
      <w:r w:rsidR="00FF3E1C" w:rsidRPr="00E320CE">
        <w:rPr>
          <w:rFonts w:eastAsia="SimSun"/>
          <w:sz w:val="28"/>
          <w:szCs w:val="28"/>
          <w:lang w:val="es-MX"/>
        </w:rPr>
        <w:t xml:space="preserve"> </w:t>
      </w:r>
      <w:r w:rsidR="00810000" w:rsidRPr="00E320CE">
        <w:rPr>
          <w:rFonts w:eastAsia="SimSun"/>
          <w:sz w:val="28"/>
          <w:szCs w:val="28"/>
          <w:lang w:val="es-MX"/>
        </w:rPr>
        <w:t>Por otr</w:t>
      </w:r>
      <w:r w:rsidR="009D57C9" w:rsidRPr="00E320CE">
        <w:rPr>
          <w:rFonts w:eastAsia="SimSun"/>
          <w:sz w:val="28"/>
          <w:szCs w:val="28"/>
          <w:lang w:val="es-MX"/>
        </w:rPr>
        <w:t>o</w:t>
      </w:r>
      <w:r w:rsidR="00810000" w:rsidRPr="00E320CE">
        <w:rPr>
          <w:rFonts w:eastAsia="SimSun"/>
          <w:sz w:val="28"/>
          <w:szCs w:val="28"/>
          <w:lang w:val="es-MX"/>
        </w:rPr>
        <w:t xml:space="preserve"> lado</w:t>
      </w:r>
      <w:r w:rsidR="00FF3E1C" w:rsidRPr="00E320CE">
        <w:rPr>
          <w:rFonts w:eastAsia="SimSun"/>
          <w:sz w:val="28"/>
          <w:szCs w:val="28"/>
          <w:lang w:val="es-MX"/>
        </w:rPr>
        <w:t>, las condiciones en</w:t>
      </w:r>
      <w:r w:rsidR="00060E84" w:rsidRPr="00E320CE">
        <w:rPr>
          <w:rFonts w:eastAsia="SimSun"/>
          <w:sz w:val="28"/>
          <w:szCs w:val="28"/>
          <w:lang w:val="es-MX"/>
        </w:rPr>
        <w:t xml:space="preserve"> las</w:t>
      </w:r>
      <w:r w:rsidR="00FF3E1C" w:rsidRPr="00E320CE">
        <w:rPr>
          <w:rFonts w:eastAsia="SimSun"/>
          <w:sz w:val="28"/>
          <w:szCs w:val="28"/>
          <w:lang w:val="es-MX"/>
        </w:rPr>
        <w:t xml:space="preserve"> que los auxiliares de enfermería </w:t>
      </w:r>
      <w:r w:rsidR="00060E84" w:rsidRPr="00E320CE">
        <w:rPr>
          <w:rFonts w:eastAsia="SimSun"/>
          <w:sz w:val="28"/>
          <w:szCs w:val="28"/>
          <w:lang w:val="es-MX"/>
        </w:rPr>
        <w:t xml:space="preserve">desempeñan </w:t>
      </w:r>
      <w:r w:rsidR="00FF3E1C" w:rsidRPr="00E320CE">
        <w:rPr>
          <w:rFonts w:eastAsia="SimSun"/>
          <w:sz w:val="28"/>
          <w:szCs w:val="28"/>
          <w:lang w:val="es-MX"/>
        </w:rPr>
        <w:t xml:space="preserve">sus </w:t>
      </w:r>
      <w:r w:rsidR="00060E84" w:rsidRPr="00E320CE">
        <w:rPr>
          <w:rFonts w:eastAsia="SimSun"/>
          <w:sz w:val="28"/>
          <w:szCs w:val="28"/>
          <w:lang w:val="es-MX"/>
        </w:rPr>
        <w:t>funciones presentan</w:t>
      </w:r>
      <w:r w:rsidR="00FF3E1C" w:rsidRPr="00E320CE">
        <w:rPr>
          <w:rFonts w:eastAsia="SimSun"/>
          <w:sz w:val="28"/>
          <w:szCs w:val="28"/>
          <w:lang w:val="es-MX"/>
        </w:rPr>
        <w:t xml:space="preserve"> características muy particulares:</w:t>
      </w:r>
    </w:p>
    <w:p w14:paraId="20BD24C1" w14:textId="77777777" w:rsidR="00FF3E1C" w:rsidRPr="00E320CE" w:rsidRDefault="00FF3E1C" w:rsidP="00FF3E1C">
      <w:pPr>
        <w:pStyle w:val="Prrafodelista"/>
        <w:rPr>
          <w:rFonts w:eastAsia="SimSun"/>
          <w:sz w:val="28"/>
          <w:szCs w:val="28"/>
          <w:lang w:val="es-MX"/>
        </w:rPr>
      </w:pPr>
    </w:p>
    <w:p w14:paraId="748801E2" w14:textId="623467F3" w:rsidR="00FF3E1C" w:rsidRPr="00E320CE" w:rsidRDefault="00FF3E1C" w:rsidP="00810000">
      <w:pPr>
        <w:autoSpaceDE/>
        <w:autoSpaceDN/>
        <w:ind w:left="567"/>
        <w:jc w:val="both"/>
        <w:rPr>
          <w:rFonts w:eastAsia="SimSun"/>
          <w:sz w:val="28"/>
          <w:szCs w:val="28"/>
          <w:lang w:val="es-CO"/>
        </w:rPr>
      </w:pPr>
      <w:r w:rsidRPr="00E320CE">
        <w:rPr>
          <w:rFonts w:eastAsia="SimSun"/>
          <w:sz w:val="24"/>
          <w:szCs w:val="24"/>
          <w:lang w:val="es-MX"/>
        </w:rPr>
        <w:t>“</w:t>
      </w:r>
      <w:r w:rsidR="00810000" w:rsidRPr="00E320CE">
        <w:rPr>
          <w:rFonts w:eastAsia="SimSun"/>
          <w:sz w:val="24"/>
          <w:szCs w:val="24"/>
          <w:lang w:val="es-CO"/>
        </w:rPr>
        <w:t xml:space="preserve">La ocupación de los auxiliares de enfermería consiste, principalmente, en </w:t>
      </w:r>
      <w:r w:rsidR="00810000" w:rsidRPr="00E320CE">
        <w:rPr>
          <w:rFonts w:eastAsia="SimSun"/>
          <w:sz w:val="24"/>
          <w:szCs w:val="24"/>
          <w:u w:val="single"/>
          <w:lang w:val="es-CO"/>
        </w:rPr>
        <w:t>acatar las órdenes concretas y lineamientos dados por los médicos tratantes</w:t>
      </w:r>
      <w:r w:rsidR="00810000" w:rsidRPr="00E320CE">
        <w:rPr>
          <w:rFonts w:eastAsia="SimSun"/>
          <w:sz w:val="24"/>
          <w:szCs w:val="24"/>
          <w:lang w:val="es-CO"/>
        </w:rPr>
        <w:t xml:space="preserve"> de acuerdo con su criterio especializado, con el fin de brindar el cuidado necesario a los pacientes, así como suministrar el tratamiento prescrito en cada caso en particular. Adicionalmente, en cuanto al lugar y horarios en los que se ejerce la función, </w:t>
      </w:r>
      <w:r w:rsidR="00810000" w:rsidRPr="00E320CE">
        <w:rPr>
          <w:rFonts w:eastAsia="SimSun"/>
          <w:sz w:val="24"/>
          <w:szCs w:val="24"/>
          <w:u w:val="single"/>
          <w:lang w:val="es-CO"/>
        </w:rPr>
        <w:t>no es posible prestar los servicios en un espacio diferente a la institución y los horarios se encuentran preestablecidos por el contratante, de acuerdo con el sistema de turnos que se maneje internamente</w:t>
      </w:r>
      <w:r w:rsidR="00810000" w:rsidRPr="00E320CE">
        <w:rPr>
          <w:rFonts w:eastAsia="SimSun"/>
          <w:sz w:val="24"/>
          <w:szCs w:val="24"/>
          <w:lang w:val="es-CO"/>
        </w:rPr>
        <w:t xml:space="preserve">. En suma, resulta </w:t>
      </w:r>
      <w:r w:rsidR="00810000" w:rsidRPr="00E320CE">
        <w:rPr>
          <w:rFonts w:eastAsia="SimSun"/>
          <w:sz w:val="24"/>
          <w:szCs w:val="24"/>
          <w:u w:val="single"/>
          <w:lang w:val="es-CO"/>
        </w:rPr>
        <w:t>difícil imaginar que exista un alto grado de autonomía en el ejercicio de sus funciones</w:t>
      </w:r>
      <w:r w:rsidR="00810000" w:rsidRPr="00E320CE">
        <w:rPr>
          <w:rFonts w:eastAsia="SimSun"/>
          <w:sz w:val="24"/>
          <w:szCs w:val="24"/>
          <w:lang w:val="es-CO"/>
        </w:rPr>
        <w:t>, más aún si se tiene en cuenta que, por el carácter delicado de las funciones que los auxiliares de enfermería desempeñan, no es posible suspender unilateralmente su ejercicio sin permiso y autorización previa, ya que ello podría poner en riesgo la salud y la vida de los pacientes que se encuentran a cargo de su cuidado”</w:t>
      </w:r>
      <w:r w:rsidR="00810000" w:rsidRPr="00E320CE">
        <w:rPr>
          <w:rStyle w:val="Refdenotaalpie"/>
          <w:rFonts w:eastAsia="SimSun"/>
          <w:sz w:val="24"/>
          <w:szCs w:val="24"/>
          <w:lang w:val="es-CO"/>
        </w:rPr>
        <w:footnoteReference w:id="160"/>
      </w:r>
      <w:r w:rsidR="00810000" w:rsidRPr="00E320CE">
        <w:rPr>
          <w:rFonts w:eastAsia="SimSun"/>
          <w:sz w:val="24"/>
          <w:szCs w:val="24"/>
          <w:lang w:val="es-CO"/>
        </w:rPr>
        <w:t>.</w:t>
      </w:r>
    </w:p>
    <w:p w14:paraId="620E31FE" w14:textId="77777777" w:rsidR="007973AD" w:rsidRPr="00E320CE" w:rsidRDefault="007973AD" w:rsidP="007973AD">
      <w:pPr>
        <w:pStyle w:val="Prrafodelista"/>
        <w:rPr>
          <w:rFonts w:eastAsia="SimSun"/>
          <w:sz w:val="28"/>
          <w:szCs w:val="28"/>
          <w:lang w:val="es-MX"/>
        </w:rPr>
      </w:pPr>
    </w:p>
    <w:p w14:paraId="4BD9152D" w14:textId="65684CDF" w:rsidR="007973AD" w:rsidRPr="00E320CE" w:rsidRDefault="00810000" w:rsidP="007973AD">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Por es</w:t>
      </w:r>
      <w:r w:rsidR="00A9662E" w:rsidRPr="00E320CE">
        <w:rPr>
          <w:rFonts w:eastAsia="SimSun"/>
          <w:sz w:val="28"/>
          <w:szCs w:val="28"/>
          <w:lang w:val="es-MX"/>
        </w:rPr>
        <w:t>t</w:t>
      </w:r>
      <w:r w:rsidRPr="00E320CE">
        <w:rPr>
          <w:rFonts w:eastAsia="SimSun"/>
          <w:sz w:val="28"/>
          <w:szCs w:val="28"/>
          <w:lang w:val="es-MX"/>
        </w:rPr>
        <w:t xml:space="preserve">as razones, se presume que existe una relación de subordinación o dependencia en </w:t>
      </w:r>
      <w:r w:rsidR="00267939" w:rsidRPr="00E320CE">
        <w:rPr>
          <w:rFonts w:eastAsia="SimSun"/>
          <w:sz w:val="28"/>
          <w:szCs w:val="28"/>
          <w:lang w:val="es-MX"/>
        </w:rPr>
        <w:t xml:space="preserve">los </w:t>
      </w:r>
      <w:r w:rsidRPr="00E320CE">
        <w:rPr>
          <w:rFonts w:eastAsia="SimSun"/>
          <w:sz w:val="28"/>
          <w:szCs w:val="28"/>
          <w:lang w:val="es-MX"/>
        </w:rPr>
        <w:t xml:space="preserve">casos en que </w:t>
      </w:r>
      <w:r w:rsidR="004A4DA1" w:rsidRPr="00E320CE">
        <w:rPr>
          <w:rFonts w:eastAsia="SimSun"/>
          <w:sz w:val="28"/>
          <w:szCs w:val="28"/>
          <w:lang w:val="es-MX"/>
        </w:rPr>
        <w:t>un auxiliar de enfermería es vinculado</w:t>
      </w:r>
      <w:r w:rsidRPr="00E320CE">
        <w:rPr>
          <w:rFonts w:eastAsia="SimSun"/>
          <w:sz w:val="28"/>
          <w:szCs w:val="28"/>
          <w:lang w:val="es-MX"/>
        </w:rPr>
        <w:t xml:space="preserve"> mediante sucesivos contratos de prestación de servicios. </w:t>
      </w:r>
      <w:r w:rsidR="004A4DA1" w:rsidRPr="00E320CE">
        <w:rPr>
          <w:rFonts w:eastAsia="SimSun"/>
          <w:sz w:val="28"/>
          <w:szCs w:val="28"/>
          <w:lang w:val="es-MX"/>
        </w:rPr>
        <w:t>Esta p</w:t>
      </w:r>
      <w:r w:rsidRPr="00E320CE">
        <w:rPr>
          <w:rFonts w:eastAsia="SimSun"/>
          <w:sz w:val="28"/>
          <w:szCs w:val="28"/>
          <w:lang w:val="es-MX"/>
        </w:rPr>
        <w:t>resunción</w:t>
      </w:r>
      <w:r w:rsidR="004A4DA1" w:rsidRPr="00E320CE">
        <w:rPr>
          <w:rFonts w:eastAsia="SimSun"/>
          <w:sz w:val="28"/>
          <w:szCs w:val="28"/>
          <w:lang w:val="es-MX"/>
        </w:rPr>
        <w:t>,</w:t>
      </w:r>
      <w:r w:rsidRPr="00E320CE">
        <w:rPr>
          <w:rFonts w:eastAsia="SimSun"/>
          <w:sz w:val="28"/>
          <w:szCs w:val="28"/>
          <w:lang w:val="es-MX"/>
        </w:rPr>
        <w:t xml:space="preserve"> en todo caso, </w:t>
      </w:r>
      <w:r w:rsidR="004A4DA1" w:rsidRPr="00E320CE">
        <w:rPr>
          <w:rFonts w:eastAsia="SimSun"/>
          <w:sz w:val="28"/>
          <w:szCs w:val="28"/>
          <w:lang w:val="es-MX"/>
        </w:rPr>
        <w:t xml:space="preserve">puede ser desvirtuada </w:t>
      </w:r>
      <w:r w:rsidR="00C936DC" w:rsidRPr="00E320CE">
        <w:rPr>
          <w:rFonts w:eastAsia="SimSun"/>
          <w:sz w:val="28"/>
          <w:szCs w:val="28"/>
          <w:lang w:val="es-MX"/>
        </w:rPr>
        <w:t>por</w:t>
      </w:r>
      <w:r w:rsidR="001C3CC4" w:rsidRPr="00E320CE">
        <w:rPr>
          <w:rFonts w:eastAsia="SimSun"/>
          <w:sz w:val="28"/>
          <w:szCs w:val="28"/>
          <w:lang w:val="es-MX"/>
        </w:rPr>
        <w:t xml:space="preserve"> el contratante</w:t>
      </w:r>
      <w:r w:rsidR="001C3CC4" w:rsidRPr="00E320CE">
        <w:rPr>
          <w:rStyle w:val="Refdenotaalpie"/>
          <w:rFonts w:eastAsia="SimSun"/>
          <w:sz w:val="28"/>
          <w:szCs w:val="28"/>
          <w:lang w:val="es-MX"/>
        </w:rPr>
        <w:footnoteReference w:id="161"/>
      </w:r>
      <w:r w:rsidR="001C3CC4" w:rsidRPr="00E320CE">
        <w:rPr>
          <w:rFonts w:eastAsia="SimSun"/>
          <w:sz w:val="28"/>
          <w:szCs w:val="28"/>
          <w:lang w:val="es-MX"/>
        </w:rPr>
        <w:t xml:space="preserve">. </w:t>
      </w:r>
    </w:p>
    <w:p w14:paraId="73546EFF" w14:textId="77777777" w:rsidR="00DB5940" w:rsidRPr="00E320CE" w:rsidRDefault="00DB5940" w:rsidP="00DB5940">
      <w:pPr>
        <w:pStyle w:val="Prrafodelista"/>
        <w:autoSpaceDE/>
        <w:autoSpaceDN/>
        <w:ind w:left="0"/>
        <w:contextualSpacing w:val="0"/>
        <w:jc w:val="both"/>
        <w:rPr>
          <w:rFonts w:eastAsia="SimSun"/>
          <w:sz w:val="28"/>
          <w:szCs w:val="28"/>
          <w:lang w:val="es-MX"/>
        </w:rPr>
      </w:pPr>
    </w:p>
    <w:p w14:paraId="580ADA0E" w14:textId="6D59F754" w:rsidR="00DB5940" w:rsidRPr="00E320CE" w:rsidRDefault="00DB5940" w:rsidP="007973AD">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En conclusión, esta Corporación ha determinado que es posible declarar la existencia de un contrato realidad si existe (i) prestación personal del servicio, (</w:t>
      </w:r>
      <w:proofErr w:type="spellStart"/>
      <w:r w:rsidRPr="00E320CE">
        <w:rPr>
          <w:rFonts w:eastAsia="SimSun"/>
          <w:sz w:val="28"/>
          <w:szCs w:val="28"/>
          <w:lang w:val="es-MX"/>
        </w:rPr>
        <w:t>ii</w:t>
      </w:r>
      <w:proofErr w:type="spellEnd"/>
      <w:r w:rsidRPr="00E320CE">
        <w:rPr>
          <w:rFonts w:eastAsia="SimSun"/>
          <w:sz w:val="28"/>
          <w:szCs w:val="28"/>
          <w:lang w:val="es-MX"/>
        </w:rPr>
        <w:t>) una contraprestación económica por el servicio u oficio prestado, y (</w:t>
      </w:r>
      <w:proofErr w:type="spellStart"/>
      <w:r w:rsidRPr="00E320CE">
        <w:rPr>
          <w:rFonts w:eastAsia="SimSun"/>
          <w:sz w:val="28"/>
          <w:szCs w:val="28"/>
          <w:lang w:val="es-MX"/>
        </w:rPr>
        <w:t>iii</w:t>
      </w:r>
      <w:proofErr w:type="spellEnd"/>
      <w:r w:rsidRPr="00E320CE">
        <w:rPr>
          <w:rFonts w:eastAsia="SimSun"/>
          <w:sz w:val="28"/>
          <w:szCs w:val="28"/>
          <w:lang w:val="es-MX"/>
        </w:rPr>
        <w:t>) la continuada subordinación o dependencia del trabajador respecto del empleador. Frente a este último punto, es necesario tener en cuenta elementos como la existencia de un horario, la permanencia de la función por ser propia del giro ordinario de los negocios de la empresa, la celebración de sucesivos contratos</w:t>
      </w:r>
      <w:r w:rsidR="009F3D47" w:rsidRPr="00E320CE">
        <w:rPr>
          <w:rFonts w:eastAsia="SimSun"/>
          <w:sz w:val="28"/>
          <w:szCs w:val="28"/>
          <w:lang w:val="es-MX"/>
        </w:rPr>
        <w:t xml:space="preserve"> de</w:t>
      </w:r>
      <w:r w:rsidRPr="00E320CE">
        <w:rPr>
          <w:rFonts w:eastAsia="SimSun"/>
          <w:sz w:val="28"/>
          <w:szCs w:val="28"/>
          <w:lang w:val="es-MX"/>
        </w:rPr>
        <w:t xml:space="preserve"> prestación de servicios por varios años, la imposición de instrucciones</w:t>
      </w:r>
      <w:r w:rsidR="00F2167A" w:rsidRPr="00E320CE">
        <w:rPr>
          <w:rFonts w:eastAsia="SimSun"/>
          <w:sz w:val="28"/>
          <w:szCs w:val="28"/>
          <w:lang w:val="es-MX"/>
        </w:rPr>
        <w:t>,</w:t>
      </w:r>
      <w:r w:rsidRPr="00E320CE">
        <w:rPr>
          <w:rFonts w:eastAsia="SimSun"/>
          <w:sz w:val="28"/>
          <w:szCs w:val="28"/>
          <w:lang w:val="es-MX"/>
        </w:rPr>
        <w:t xml:space="preserve"> reglamentos </w:t>
      </w:r>
      <w:r w:rsidR="00F2167A" w:rsidRPr="00E320CE">
        <w:rPr>
          <w:rFonts w:eastAsia="SimSun"/>
          <w:sz w:val="28"/>
          <w:szCs w:val="28"/>
          <w:lang w:val="es-MX"/>
        </w:rPr>
        <w:t>y sanciones</w:t>
      </w:r>
      <w:r w:rsidRPr="00E320CE">
        <w:rPr>
          <w:rFonts w:eastAsia="SimSun"/>
          <w:sz w:val="28"/>
          <w:szCs w:val="28"/>
          <w:lang w:val="es-MX"/>
        </w:rPr>
        <w:t xml:space="preserve"> al contratista, entre otros. Por estos aspectos, existe una presunción de subordinación y dependencia en los contratos de prestación de servicios suscritos con auxiliares de enfermería. </w:t>
      </w:r>
    </w:p>
    <w:p w14:paraId="59DBD10B" w14:textId="77777777" w:rsidR="003F42AF" w:rsidRPr="00E320CE" w:rsidRDefault="003F42AF" w:rsidP="003F42AF">
      <w:pPr>
        <w:autoSpaceDE/>
        <w:autoSpaceDN/>
        <w:jc w:val="both"/>
        <w:rPr>
          <w:rFonts w:eastAsia="SimSun"/>
          <w:sz w:val="28"/>
          <w:szCs w:val="28"/>
          <w:lang w:val="es-MX"/>
        </w:rPr>
      </w:pPr>
    </w:p>
    <w:p w14:paraId="0E2F6F6D" w14:textId="15D593C3" w:rsidR="003F42AF" w:rsidRPr="00E320CE" w:rsidRDefault="003F42AF" w:rsidP="00B6575D">
      <w:pPr>
        <w:pStyle w:val="Prrafodelista"/>
        <w:numPr>
          <w:ilvl w:val="0"/>
          <w:numId w:val="33"/>
        </w:numPr>
        <w:autoSpaceDE/>
        <w:autoSpaceDN/>
        <w:jc w:val="both"/>
        <w:rPr>
          <w:rFonts w:eastAsia="SimSun"/>
          <w:b/>
          <w:bCs/>
          <w:sz w:val="28"/>
          <w:szCs w:val="28"/>
          <w:lang w:val="es-MX"/>
        </w:rPr>
      </w:pPr>
      <w:r w:rsidRPr="00E320CE">
        <w:rPr>
          <w:rFonts w:eastAsia="SimSun"/>
          <w:b/>
          <w:bCs/>
          <w:sz w:val="28"/>
          <w:szCs w:val="28"/>
          <w:lang w:val="es-MX"/>
        </w:rPr>
        <w:t>Caso concreto</w:t>
      </w:r>
    </w:p>
    <w:p w14:paraId="3EACE4DB" w14:textId="77777777" w:rsidR="003F42AF" w:rsidRPr="00E320CE" w:rsidRDefault="003F42AF" w:rsidP="003F42AF">
      <w:pPr>
        <w:autoSpaceDE/>
        <w:autoSpaceDN/>
        <w:jc w:val="both"/>
        <w:rPr>
          <w:rFonts w:eastAsia="SimSun"/>
          <w:sz w:val="28"/>
          <w:szCs w:val="28"/>
          <w:lang w:val="es-MX"/>
        </w:rPr>
      </w:pPr>
    </w:p>
    <w:p w14:paraId="1EF89FDB" w14:textId="5013DB61" w:rsidR="00A67D1B" w:rsidRPr="00E320CE" w:rsidRDefault="0015798F" w:rsidP="007973AD">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lastRenderedPageBreak/>
        <w:t>En este</w:t>
      </w:r>
      <w:r w:rsidR="007222DF" w:rsidRPr="00E320CE">
        <w:rPr>
          <w:rFonts w:eastAsia="SimSun"/>
          <w:sz w:val="28"/>
          <w:szCs w:val="28"/>
          <w:lang w:val="es-MX"/>
        </w:rPr>
        <w:t xml:space="preserve"> apartado, la Corte hará referencia a las reglas legales y jurisprudenciales expuestas en las consideraciones de esta providencia, y las aplicará al caso objeto de estudio. Con ello, esta Corporación establecerá </w:t>
      </w:r>
      <w:r w:rsidR="00FC457D" w:rsidRPr="00E320CE">
        <w:rPr>
          <w:rFonts w:eastAsia="SimSun"/>
          <w:sz w:val="28"/>
          <w:szCs w:val="28"/>
          <w:lang w:val="es-MX"/>
        </w:rPr>
        <w:t xml:space="preserve">si las accionadas </w:t>
      </w:r>
      <w:r w:rsidR="008177C3" w:rsidRPr="00E320CE">
        <w:rPr>
          <w:rFonts w:eastAsia="SimSun"/>
          <w:sz w:val="28"/>
          <w:szCs w:val="28"/>
          <w:lang w:val="es-MX"/>
        </w:rPr>
        <w:t>desconocieron l</w:t>
      </w:r>
      <w:r w:rsidR="006E008F" w:rsidRPr="00E320CE">
        <w:rPr>
          <w:rFonts w:eastAsia="SimSun"/>
          <w:sz w:val="28"/>
          <w:szCs w:val="28"/>
          <w:lang w:val="es-MX"/>
        </w:rPr>
        <w:t xml:space="preserve">a protección de estabilidad laboral reforzada </w:t>
      </w:r>
      <w:r w:rsidR="00A67D1B" w:rsidRPr="00E320CE">
        <w:rPr>
          <w:rFonts w:eastAsia="SimSun"/>
          <w:sz w:val="28"/>
          <w:szCs w:val="28"/>
          <w:lang w:val="es-MX"/>
        </w:rPr>
        <w:t xml:space="preserve">de la accionante, </w:t>
      </w:r>
      <w:r w:rsidR="007642D4" w:rsidRPr="00E320CE">
        <w:rPr>
          <w:rFonts w:eastAsia="SimSun"/>
          <w:sz w:val="28"/>
          <w:szCs w:val="28"/>
          <w:lang w:val="es-MX"/>
        </w:rPr>
        <w:t>al</w:t>
      </w:r>
      <w:r w:rsidR="00012C18" w:rsidRPr="00E320CE">
        <w:rPr>
          <w:rFonts w:eastAsia="SimSun"/>
          <w:sz w:val="28"/>
          <w:szCs w:val="28"/>
          <w:lang w:val="es-MX"/>
        </w:rPr>
        <w:t xml:space="preserve"> </w:t>
      </w:r>
      <w:r w:rsidR="008026C6" w:rsidRPr="00E320CE">
        <w:rPr>
          <w:rFonts w:eastAsia="SimSun"/>
          <w:sz w:val="28"/>
          <w:szCs w:val="28"/>
          <w:lang w:val="es-MX"/>
        </w:rPr>
        <w:t xml:space="preserve">finalizar su vinculación </w:t>
      </w:r>
      <w:r w:rsidR="007642D4" w:rsidRPr="00E320CE">
        <w:rPr>
          <w:rFonts w:eastAsia="SimSun"/>
          <w:sz w:val="28"/>
          <w:szCs w:val="28"/>
          <w:lang w:val="es-MX"/>
        </w:rPr>
        <w:t>a raíz</w:t>
      </w:r>
      <w:r w:rsidR="008026C6" w:rsidRPr="00E320CE">
        <w:rPr>
          <w:rFonts w:eastAsia="SimSun"/>
          <w:sz w:val="28"/>
          <w:szCs w:val="28"/>
          <w:lang w:val="es-MX"/>
        </w:rPr>
        <w:t xml:space="preserve"> </w:t>
      </w:r>
      <w:r w:rsidR="007642D4" w:rsidRPr="00E320CE">
        <w:rPr>
          <w:rFonts w:eastAsia="SimSun"/>
          <w:sz w:val="28"/>
          <w:szCs w:val="28"/>
          <w:lang w:val="es-MX"/>
        </w:rPr>
        <w:t>d</w:t>
      </w:r>
      <w:r w:rsidR="008026C6" w:rsidRPr="00E320CE">
        <w:rPr>
          <w:rFonts w:eastAsia="SimSun"/>
          <w:sz w:val="28"/>
          <w:szCs w:val="28"/>
          <w:lang w:val="es-MX"/>
        </w:rPr>
        <w:t xml:space="preserve">el cambio </w:t>
      </w:r>
      <w:r w:rsidR="00DE0EDA" w:rsidRPr="00E320CE">
        <w:rPr>
          <w:rFonts w:eastAsia="SimSun"/>
          <w:sz w:val="28"/>
          <w:szCs w:val="28"/>
          <w:lang w:val="es-MX"/>
        </w:rPr>
        <w:t>de unión temporal</w:t>
      </w:r>
      <w:r w:rsidR="008026C6" w:rsidRPr="00E320CE">
        <w:rPr>
          <w:rFonts w:eastAsia="SimSun"/>
          <w:sz w:val="28"/>
          <w:szCs w:val="28"/>
          <w:lang w:val="es-MX"/>
        </w:rPr>
        <w:t xml:space="preserve"> </w:t>
      </w:r>
      <w:r w:rsidR="006E787D" w:rsidRPr="00E320CE">
        <w:rPr>
          <w:rFonts w:eastAsia="SimSun"/>
          <w:sz w:val="28"/>
          <w:szCs w:val="28"/>
          <w:lang w:val="es-MX"/>
        </w:rPr>
        <w:t>para prestar los servicios de salud a favor de</w:t>
      </w:r>
      <w:r w:rsidR="00DE0EDA" w:rsidRPr="00E320CE">
        <w:rPr>
          <w:rFonts w:eastAsia="SimSun"/>
          <w:sz w:val="28"/>
          <w:szCs w:val="28"/>
          <w:lang w:val="es-MX"/>
        </w:rPr>
        <w:t xml:space="preserve"> las personas privadas de la libertad en el</w:t>
      </w:r>
      <w:r w:rsidR="006E787D" w:rsidRPr="00E320CE">
        <w:rPr>
          <w:rFonts w:eastAsia="SimSun"/>
          <w:sz w:val="28"/>
          <w:szCs w:val="28"/>
          <w:lang w:val="es-MX"/>
        </w:rPr>
        <w:t xml:space="preserve"> </w:t>
      </w:r>
      <w:r w:rsidR="006E787D" w:rsidRPr="00E320CE">
        <w:rPr>
          <w:sz w:val="28"/>
          <w:szCs w:val="28"/>
        </w:rPr>
        <w:t>Establecimiento Penitenciario de Mediana Seguridad y Carcelario de Cartagena</w:t>
      </w:r>
      <w:r w:rsidR="00BD12F4" w:rsidRPr="00E320CE">
        <w:rPr>
          <w:sz w:val="28"/>
          <w:szCs w:val="28"/>
        </w:rPr>
        <w:t xml:space="preserve"> “San Sebastián la Ternera”</w:t>
      </w:r>
      <w:r w:rsidR="006E787D" w:rsidRPr="00E320CE">
        <w:rPr>
          <w:sz w:val="28"/>
          <w:szCs w:val="28"/>
        </w:rPr>
        <w:t xml:space="preserve">. </w:t>
      </w:r>
    </w:p>
    <w:p w14:paraId="350D47B9" w14:textId="77777777" w:rsidR="00786B4B" w:rsidRPr="00E320CE" w:rsidRDefault="00786B4B" w:rsidP="00BE6DDC">
      <w:pPr>
        <w:rPr>
          <w:rFonts w:eastAsia="SimSun"/>
          <w:lang w:val="es-MX"/>
        </w:rPr>
      </w:pPr>
    </w:p>
    <w:p w14:paraId="65FB768B" w14:textId="20A6820E" w:rsidR="00786B4B" w:rsidRPr="00E320CE" w:rsidRDefault="00786B4B" w:rsidP="00786B4B">
      <w:pPr>
        <w:autoSpaceDE/>
        <w:autoSpaceDN/>
        <w:jc w:val="both"/>
        <w:rPr>
          <w:rFonts w:eastAsia="SimSun"/>
          <w:b/>
          <w:bCs/>
          <w:sz w:val="28"/>
          <w:szCs w:val="28"/>
          <w:lang w:val="es-MX"/>
        </w:rPr>
      </w:pPr>
      <w:r w:rsidRPr="00E320CE">
        <w:rPr>
          <w:rFonts w:eastAsia="SimSun"/>
          <w:b/>
          <w:bCs/>
          <w:sz w:val="28"/>
          <w:szCs w:val="28"/>
          <w:lang w:val="es-MX"/>
        </w:rPr>
        <w:t>Sobre la configuración de un contrato realidad</w:t>
      </w:r>
    </w:p>
    <w:p w14:paraId="39BA4547" w14:textId="77777777" w:rsidR="00786B4B" w:rsidRPr="00E320CE" w:rsidRDefault="00786B4B" w:rsidP="00786B4B">
      <w:pPr>
        <w:autoSpaceDE/>
        <w:autoSpaceDN/>
        <w:jc w:val="both"/>
        <w:rPr>
          <w:rFonts w:eastAsia="SimSun"/>
          <w:sz w:val="28"/>
          <w:szCs w:val="28"/>
          <w:lang w:val="es-MX"/>
        </w:rPr>
      </w:pPr>
    </w:p>
    <w:p w14:paraId="42C61680" w14:textId="4FE7C9D4" w:rsidR="00C439F3" w:rsidRPr="00E320CE" w:rsidRDefault="00135136" w:rsidP="007973AD">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Para comenzar el análisis del caso</w:t>
      </w:r>
      <w:r w:rsidR="00EC645E" w:rsidRPr="00E320CE">
        <w:rPr>
          <w:rFonts w:eastAsia="SimSun"/>
          <w:sz w:val="28"/>
          <w:szCs w:val="28"/>
          <w:lang w:val="es-MX"/>
        </w:rPr>
        <w:t xml:space="preserve">, se debe advertir que </w:t>
      </w:r>
      <w:r w:rsidR="00786B4B" w:rsidRPr="00E320CE">
        <w:rPr>
          <w:rFonts w:eastAsia="SimSun"/>
          <w:sz w:val="28"/>
          <w:szCs w:val="28"/>
          <w:lang w:val="es-MX"/>
        </w:rPr>
        <w:t xml:space="preserve">la accionante </w:t>
      </w:r>
      <w:r w:rsidR="00C219E9" w:rsidRPr="00E320CE">
        <w:rPr>
          <w:rFonts w:eastAsia="SimSun"/>
          <w:sz w:val="28"/>
          <w:szCs w:val="28"/>
          <w:lang w:val="es-MX"/>
        </w:rPr>
        <w:t xml:space="preserve">señaló </w:t>
      </w:r>
      <w:r w:rsidR="00786B4B" w:rsidRPr="00E320CE">
        <w:rPr>
          <w:rFonts w:eastAsia="SimSun"/>
          <w:sz w:val="28"/>
          <w:szCs w:val="28"/>
          <w:lang w:val="es-MX"/>
        </w:rPr>
        <w:t xml:space="preserve">que por más de 13 años </w:t>
      </w:r>
      <w:r w:rsidR="00C219E9" w:rsidRPr="00E320CE">
        <w:rPr>
          <w:rFonts w:eastAsia="SimSun"/>
          <w:sz w:val="28"/>
          <w:szCs w:val="28"/>
          <w:lang w:val="es-MX"/>
        </w:rPr>
        <w:t xml:space="preserve">prestó sus </w:t>
      </w:r>
      <w:r w:rsidR="00343337" w:rsidRPr="00E320CE">
        <w:rPr>
          <w:rFonts w:eastAsia="SimSun"/>
          <w:sz w:val="28"/>
          <w:szCs w:val="28"/>
          <w:lang w:val="es-MX"/>
        </w:rPr>
        <w:t>servicios</w:t>
      </w:r>
      <w:r w:rsidR="00786B4B" w:rsidRPr="00E320CE">
        <w:rPr>
          <w:rFonts w:eastAsia="SimSun"/>
          <w:sz w:val="28"/>
          <w:szCs w:val="28"/>
          <w:lang w:val="es-MX"/>
        </w:rPr>
        <w:t xml:space="preserve"> </w:t>
      </w:r>
      <w:r w:rsidR="00786B4B" w:rsidRPr="00E320CE">
        <w:rPr>
          <w:sz w:val="28"/>
          <w:szCs w:val="28"/>
        </w:rPr>
        <w:t>como auxiliar de enfermería en el Establecimiento Penitenciario de Mediana Seguridad y Carcelario de Cartagena</w:t>
      </w:r>
      <w:r w:rsidR="00002A83" w:rsidRPr="00E320CE">
        <w:rPr>
          <w:sz w:val="28"/>
          <w:szCs w:val="28"/>
        </w:rPr>
        <w:t>, a través de diferentes operadores</w:t>
      </w:r>
      <w:r w:rsidR="00786B4B" w:rsidRPr="00E320CE">
        <w:rPr>
          <w:sz w:val="28"/>
          <w:szCs w:val="28"/>
        </w:rPr>
        <w:t>.</w:t>
      </w:r>
      <w:r w:rsidR="00D91C18" w:rsidRPr="00E320CE">
        <w:rPr>
          <w:sz w:val="28"/>
          <w:szCs w:val="28"/>
        </w:rPr>
        <w:t xml:space="preserve"> En </w:t>
      </w:r>
      <w:r w:rsidR="00633668" w:rsidRPr="00E320CE">
        <w:rPr>
          <w:sz w:val="28"/>
          <w:szCs w:val="28"/>
        </w:rPr>
        <w:t>el caso particular de</w:t>
      </w:r>
      <w:r w:rsidR="00D91C18" w:rsidRPr="00E320CE">
        <w:rPr>
          <w:sz w:val="28"/>
          <w:szCs w:val="28"/>
        </w:rPr>
        <w:t xml:space="preserve"> la UT Salud Integral PPL, </w:t>
      </w:r>
      <w:r w:rsidR="00786B4B" w:rsidRPr="00E320CE">
        <w:rPr>
          <w:sz w:val="28"/>
          <w:szCs w:val="28"/>
        </w:rPr>
        <w:t xml:space="preserve">estuvo vinculada como enfermera durante dos años y medio (entre el 4 de enero de 2022 y el 31 de julio de 2024) </w:t>
      </w:r>
      <w:r w:rsidR="00D73D03" w:rsidRPr="00E320CE">
        <w:rPr>
          <w:sz w:val="28"/>
          <w:szCs w:val="28"/>
        </w:rPr>
        <w:t>a través</w:t>
      </w:r>
      <w:r w:rsidR="00786B4B" w:rsidRPr="00E320CE">
        <w:rPr>
          <w:sz w:val="28"/>
          <w:szCs w:val="28"/>
        </w:rPr>
        <w:t xml:space="preserve"> de sucesivos contratos de prestación de servicios</w:t>
      </w:r>
      <w:r w:rsidR="00786B4B" w:rsidRPr="00E320CE">
        <w:rPr>
          <w:rStyle w:val="Refdenotaalpie"/>
          <w:sz w:val="28"/>
          <w:szCs w:val="28"/>
        </w:rPr>
        <w:footnoteReference w:id="162"/>
      </w:r>
      <w:r w:rsidR="00786B4B" w:rsidRPr="00E320CE">
        <w:rPr>
          <w:sz w:val="28"/>
          <w:szCs w:val="28"/>
        </w:rPr>
        <w:t>.</w:t>
      </w:r>
      <w:r w:rsidR="006971C5" w:rsidRPr="00E320CE">
        <w:rPr>
          <w:sz w:val="28"/>
          <w:szCs w:val="28"/>
        </w:rPr>
        <w:t xml:space="preserve"> </w:t>
      </w:r>
    </w:p>
    <w:p w14:paraId="7F023FEE" w14:textId="77777777" w:rsidR="00C439F3" w:rsidRPr="00E320CE" w:rsidRDefault="00C439F3" w:rsidP="007B3231">
      <w:pPr>
        <w:pStyle w:val="Prrafodelista"/>
        <w:autoSpaceDE/>
        <w:autoSpaceDN/>
        <w:ind w:left="0"/>
        <w:contextualSpacing w:val="0"/>
        <w:jc w:val="both"/>
        <w:rPr>
          <w:rFonts w:eastAsia="SimSun"/>
          <w:sz w:val="28"/>
          <w:szCs w:val="28"/>
          <w:lang w:val="es-MX"/>
        </w:rPr>
      </w:pPr>
    </w:p>
    <w:p w14:paraId="1C2E18CA" w14:textId="7741093A" w:rsidR="00AD7E01" w:rsidRPr="00E320CE" w:rsidRDefault="006971C5" w:rsidP="00BA20B1">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rPr>
        <w:t xml:space="preserve">Como parte de sus funciones,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lang w:val="es-CO"/>
        </w:rPr>
        <w:t xml:space="preserve">apoyó al personal médico en la recolección de los datos termométricos, ayudó con la administración de medicamentos por indicación del jefe de enfermería, realizó informes semanales a Salud Integral sobre el desarrollo de sus actividades, cuidó los </w:t>
      </w:r>
      <w:r w:rsidR="009F39F7" w:rsidRPr="00E320CE">
        <w:rPr>
          <w:sz w:val="28"/>
          <w:szCs w:val="28"/>
          <w:lang w:val="es-CO"/>
        </w:rPr>
        <w:t>e</w:t>
      </w:r>
      <w:r w:rsidRPr="00E320CE">
        <w:rPr>
          <w:sz w:val="28"/>
          <w:szCs w:val="28"/>
          <w:lang w:val="es-CO"/>
        </w:rPr>
        <w:t>quipos, materiales y suministros que le fueran asignados, cumplió las normas de seguridad y salud en el trabajo y los reglamentos propios de la UT, entre otr</w:t>
      </w:r>
      <w:r w:rsidR="00B772A6" w:rsidRPr="00E320CE">
        <w:rPr>
          <w:sz w:val="28"/>
          <w:szCs w:val="28"/>
          <w:lang w:val="es-CO"/>
        </w:rPr>
        <w:t>a</w:t>
      </w:r>
      <w:r w:rsidRPr="00E320CE">
        <w:rPr>
          <w:sz w:val="28"/>
          <w:szCs w:val="28"/>
          <w:lang w:val="es-CO"/>
        </w:rPr>
        <w:t>s</w:t>
      </w:r>
      <w:r w:rsidR="00B772A6" w:rsidRPr="00E320CE">
        <w:rPr>
          <w:sz w:val="28"/>
          <w:szCs w:val="28"/>
          <w:lang w:val="es-CO"/>
        </w:rPr>
        <w:t xml:space="preserve"> actividades</w:t>
      </w:r>
      <w:r w:rsidRPr="00E320CE">
        <w:rPr>
          <w:rStyle w:val="Refdenotaalpie"/>
          <w:sz w:val="28"/>
          <w:szCs w:val="28"/>
          <w:lang w:val="es-CO"/>
        </w:rPr>
        <w:footnoteReference w:id="163"/>
      </w:r>
      <w:r w:rsidRPr="00E320CE">
        <w:rPr>
          <w:sz w:val="28"/>
          <w:szCs w:val="28"/>
          <w:lang w:val="es-CO"/>
        </w:rPr>
        <w:t>. De igual forma, la actora cumplía un horario de acuerdo con el sistema de rotación de turnos fijado por Salud Integral PPL en el Establecimiento Penitenciario de Mediana Seguridad y Carcelario de Cartagena “Cárcel San Sebastián de Ternera”</w:t>
      </w:r>
      <w:r w:rsidRPr="00E320CE">
        <w:rPr>
          <w:rStyle w:val="Refdenotaalpie"/>
          <w:sz w:val="28"/>
          <w:szCs w:val="28"/>
          <w:lang w:val="es-CO"/>
        </w:rPr>
        <w:footnoteReference w:id="164"/>
      </w:r>
      <w:r w:rsidR="005623B1" w:rsidRPr="00E320CE">
        <w:rPr>
          <w:sz w:val="28"/>
          <w:szCs w:val="28"/>
          <w:lang w:val="es-CO"/>
        </w:rPr>
        <w:t>.</w:t>
      </w:r>
    </w:p>
    <w:p w14:paraId="2F79CBD6" w14:textId="77777777" w:rsidR="00AD7E01" w:rsidRPr="00E320CE" w:rsidRDefault="00AD7E01" w:rsidP="00AD7E01">
      <w:pPr>
        <w:pStyle w:val="Prrafodelista"/>
        <w:rPr>
          <w:rFonts w:eastAsia="SimSun"/>
          <w:sz w:val="28"/>
          <w:szCs w:val="28"/>
          <w:lang w:val="es-MX"/>
        </w:rPr>
      </w:pPr>
    </w:p>
    <w:p w14:paraId="42E1E257" w14:textId="7CB08D6A" w:rsidR="00C439F3" w:rsidRPr="00E320CE" w:rsidRDefault="00C439F3" w:rsidP="00BA20B1">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Así las cosas, a</w:t>
      </w:r>
      <w:r w:rsidR="005908F1" w:rsidRPr="00E320CE">
        <w:rPr>
          <w:rFonts w:eastAsia="SimSun"/>
          <w:sz w:val="28"/>
          <w:szCs w:val="28"/>
          <w:lang w:val="es-MX"/>
        </w:rPr>
        <w:t xml:space="preserve"> fin de</w:t>
      </w:r>
      <w:r w:rsidRPr="00E320CE">
        <w:rPr>
          <w:rFonts w:eastAsia="SimSun"/>
          <w:sz w:val="28"/>
          <w:szCs w:val="28"/>
          <w:lang w:val="es-MX"/>
        </w:rPr>
        <w:t xml:space="preserve"> establecer si entre la UT Salud Integral </w:t>
      </w:r>
      <w:proofErr w:type="spellStart"/>
      <w:r w:rsidRPr="00E320CE">
        <w:rPr>
          <w:rFonts w:eastAsia="SimSun"/>
          <w:sz w:val="28"/>
          <w:szCs w:val="28"/>
          <w:lang w:val="es-MX"/>
        </w:rPr>
        <w:t>PPl</w:t>
      </w:r>
      <w:proofErr w:type="spellEnd"/>
      <w:r w:rsidRPr="00E320CE">
        <w:rPr>
          <w:rFonts w:eastAsia="SimSun"/>
          <w:sz w:val="28"/>
          <w:szCs w:val="28"/>
          <w:lang w:val="es-MX"/>
        </w:rPr>
        <w:t xml:space="preserve"> y la demandante existió un </w:t>
      </w:r>
      <w:r w:rsidR="00B84E26" w:rsidRPr="00E320CE">
        <w:rPr>
          <w:rFonts w:eastAsia="SimSun"/>
          <w:sz w:val="28"/>
          <w:szCs w:val="28"/>
          <w:lang w:val="es-MX"/>
        </w:rPr>
        <w:t xml:space="preserve">contrato realidad, </w:t>
      </w:r>
      <w:r w:rsidR="003D196F" w:rsidRPr="00E320CE">
        <w:rPr>
          <w:rFonts w:eastAsia="SimSun"/>
          <w:sz w:val="28"/>
          <w:szCs w:val="28"/>
          <w:lang w:val="es-MX"/>
        </w:rPr>
        <w:t>se debe</w:t>
      </w:r>
      <w:r w:rsidR="00C9372C" w:rsidRPr="00E320CE">
        <w:rPr>
          <w:rFonts w:eastAsia="SimSun"/>
          <w:sz w:val="28"/>
          <w:szCs w:val="28"/>
          <w:lang w:val="es-MX"/>
        </w:rPr>
        <w:t xml:space="preserve"> tener en cuenta que deben concurrir lo siguientes elementos: </w:t>
      </w:r>
      <w:r w:rsidR="005908F1" w:rsidRPr="00E320CE">
        <w:rPr>
          <w:rFonts w:eastAsia="SimSun"/>
          <w:sz w:val="28"/>
          <w:szCs w:val="28"/>
          <w:lang w:val="es-MX"/>
        </w:rPr>
        <w:t>(i) prestación personal del servicio, (</w:t>
      </w:r>
      <w:proofErr w:type="spellStart"/>
      <w:r w:rsidR="005908F1" w:rsidRPr="00E320CE">
        <w:rPr>
          <w:rFonts w:eastAsia="SimSun"/>
          <w:sz w:val="28"/>
          <w:szCs w:val="28"/>
          <w:lang w:val="es-MX"/>
        </w:rPr>
        <w:t>ii</w:t>
      </w:r>
      <w:proofErr w:type="spellEnd"/>
      <w:r w:rsidR="005908F1" w:rsidRPr="00E320CE">
        <w:rPr>
          <w:rFonts w:eastAsia="SimSun"/>
          <w:sz w:val="28"/>
          <w:szCs w:val="28"/>
          <w:lang w:val="es-MX"/>
        </w:rPr>
        <w:t xml:space="preserve">) </w:t>
      </w:r>
      <w:r w:rsidR="00C9372C" w:rsidRPr="00E320CE">
        <w:rPr>
          <w:rFonts w:eastAsia="SimSun"/>
          <w:sz w:val="28"/>
          <w:szCs w:val="28"/>
          <w:lang w:val="es-MX"/>
        </w:rPr>
        <w:t xml:space="preserve">salario o </w:t>
      </w:r>
      <w:r w:rsidR="005908F1" w:rsidRPr="00E320CE">
        <w:rPr>
          <w:rFonts w:eastAsia="SimSun"/>
          <w:sz w:val="28"/>
          <w:szCs w:val="28"/>
          <w:lang w:val="es-MX"/>
        </w:rPr>
        <w:t>contraprestación económica por el servicio u oficio prestado, y (</w:t>
      </w:r>
      <w:proofErr w:type="spellStart"/>
      <w:r w:rsidR="005908F1" w:rsidRPr="00E320CE">
        <w:rPr>
          <w:rFonts w:eastAsia="SimSun"/>
          <w:sz w:val="28"/>
          <w:szCs w:val="28"/>
          <w:lang w:val="es-MX"/>
        </w:rPr>
        <w:t>iii</w:t>
      </w:r>
      <w:proofErr w:type="spellEnd"/>
      <w:r w:rsidR="005908F1" w:rsidRPr="00E320CE">
        <w:rPr>
          <w:rFonts w:eastAsia="SimSun"/>
          <w:sz w:val="28"/>
          <w:szCs w:val="28"/>
          <w:lang w:val="es-MX"/>
        </w:rPr>
        <w:t>) la continuada subordinación o dependencia de</w:t>
      </w:r>
      <w:r w:rsidR="00C9372C" w:rsidRPr="00E320CE">
        <w:rPr>
          <w:rFonts w:eastAsia="SimSun"/>
          <w:sz w:val="28"/>
          <w:szCs w:val="28"/>
          <w:lang w:val="es-MX"/>
        </w:rPr>
        <w:t xml:space="preserve"> </w:t>
      </w:r>
      <w:r w:rsidR="005908F1" w:rsidRPr="00E320CE">
        <w:rPr>
          <w:rFonts w:eastAsia="SimSun"/>
          <w:sz w:val="28"/>
          <w:szCs w:val="28"/>
          <w:lang w:val="es-MX"/>
        </w:rPr>
        <w:t>l</w:t>
      </w:r>
      <w:r w:rsidR="00C9372C" w:rsidRPr="00E320CE">
        <w:rPr>
          <w:rFonts w:eastAsia="SimSun"/>
          <w:sz w:val="28"/>
          <w:szCs w:val="28"/>
          <w:lang w:val="es-MX"/>
        </w:rPr>
        <w:t>a</w:t>
      </w:r>
      <w:r w:rsidR="005908F1" w:rsidRPr="00E320CE">
        <w:rPr>
          <w:rFonts w:eastAsia="SimSun"/>
          <w:sz w:val="28"/>
          <w:szCs w:val="28"/>
          <w:lang w:val="es-MX"/>
        </w:rPr>
        <w:t xml:space="preserve"> trabajador</w:t>
      </w:r>
      <w:r w:rsidR="00C9372C" w:rsidRPr="00E320CE">
        <w:rPr>
          <w:rFonts w:eastAsia="SimSun"/>
          <w:sz w:val="28"/>
          <w:szCs w:val="28"/>
          <w:lang w:val="es-MX"/>
        </w:rPr>
        <w:t>a</w:t>
      </w:r>
      <w:r w:rsidR="005908F1" w:rsidRPr="00E320CE">
        <w:rPr>
          <w:rFonts w:eastAsia="SimSun"/>
          <w:sz w:val="28"/>
          <w:szCs w:val="28"/>
          <w:lang w:val="es-MX"/>
        </w:rPr>
        <w:t xml:space="preserve"> respecto de</w:t>
      </w:r>
      <w:r w:rsidR="00C9372C" w:rsidRPr="00E320CE">
        <w:rPr>
          <w:rFonts w:eastAsia="SimSun"/>
          <w:sz w:val="28"/>
          <w:szCs w:val="28"/>
          <w:lang w:val="es-MX"/>
        </w:rPr>
        <w:t xml:space="preserve"> </w:t>
      </w:r>
      <w:r w:rsidR="005908F1" w:rsidRPr="00E320CE">
        <w:rPr>
          <w:rFonts w:eastAsia="SimSun"/>
          <w:sz w:val="28"/>
          <w:szCs w:val="28"/>
          <w:lang w:val="es-MX"/>
        </w:rPr>
        <w:t>l</w:t>
      </w:r>
      <w:r w:rsidR="00C9372C" w:rsidRPr="00E320CE">
        <w:rPr>
          <w:rFonts w:eastAsia="SimSun"/>
          <w:sz w:val="28"/>
          <w:szCs w:val="28"/>
          <w:lang w:val="es-MX"/>
        </w:rPr>
        <w:t>a unión temporal</w:t>
      </w:r>
      <w:r w:rsidR="005908F1" w:rsidRPr="00E320CE">
        <w:rPr>
          <w:rFonts w:eastAsia="SimSun"/>
          <w:sz w:val="28"/>
          <w:szCs w:val="28"/>
          <w:lang w:val="es-MX"/>
        </w:rPr>
        <w:t xml:space="preserve">. </w:t>
      </w:r>
    </w:p>
    <w:p w14:paraId="580FB846" w14:textId="77777777" w:rsidR="00B82D12" w:rsidRPr="00E320CE" w:rsidRDefault="00B82D12" w:rsidP="00BA20B1">
      <w:pPr>
        <w:pStyle w:val="Prrafodelista"/>
        <w:autoSpaceDE/>
        <w:autoSpaceDN/>
        <w:ind w:left="0"/>
        <w:contextualSpacing w:val="0"/>
        <w:jc w:val="both"/>
        <w:rPr>
          <w:rFonts w:eastAsia="SimSun"/>
          <w:sz w:val="28"/>
          <w:szCs w:val="28"/>
          <w:lang w:val="es-MX"/>
        </w:rPr>
      </w:pPr>
    </w:p>
    <w:p w14:paraId="16C11916" w14:textId="32BF0B7A" w:rsidR="005908F1" w:rsidRPr="00E320CE" w:rsidRDefault="005908F1" w:rsidP="00B4426E">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Frente a este último punto, es necesario tener en cuenta elementos como la existencia de un horario, la permanencia de la función por ser propia del giro ordinario de los negocios de la empresa, la celebración de sucesivos contratos prestación de servicios por varios años, la imposición de instrucciones y reglamentos al contratista, entre otros</w:t>
      </w:r>
      <w:r w:rsidR="00D92962" w:rsidRPr="00E320CE">
        <w:rPr>
          <w:rFonts w:eastAsia="SimSun"/>
          <w:sz w:val="28"/>
          <w:szCs w:val="28"/>
          <w:lang w:val="es-MX"/>
        </w:rPr>
        <w:t>, que sirven como indicio para demostrar la existencia de una verdadera relación laboral</w:t>
      </w:r>
      <w:r w:rsidRPr="00E320CE">
        <w:rPr>
          <w:rFonts w:eastAsia="SimSun"/>
          <w:sz w:val="28"/>
          <w:szCs w:val="28"/>
          <w:lang w:val="es-MX"/>
        </w:rPr>
        <w:t>.</w:t>
      </w:r>
    </w:p>
    <w:p w14:paraId="1817CE52" w14:textId="77777777" w:rsidR="005908F1" w:rsidRPr="00E320CE" w:rsidRDefault="005908F1" w:rsidP="005908F1">
      <w:pPr>
        <w:pStyle w:val="Prrafodelista"/>
        <w:autoSpaceDE/>
        <w:autoSpaceDN/>
        <w:ind w:left="0"/>
        <w:contextualSpacing w:val="0"/>
        <w:jc w:val="both"/>
        <w:rPr>
          <w:rFonts w:eastAsia="SimSun"/>
          <w:sz w:val="28"/>
          <w:szCs w:val="28"/>
          <w:lang w:val="es-MX"/>
        </w:rPr>
      </w:pPr>
    </w:p>
    <w:p w14:paraId="5E77F542" w14:textId="06D9CE45" w:rsidR="005908F1" w:rsidRPr="00E320CE" w:rsidRDefault="005908F1" w:rsidP="005623B1">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En este caso, </w:t>
      </w:r>
      <w:r w:rsidR="00E320CE" w:rsidRPr="00E320CE">
        <w:rPr>
          <w:i/>
          <w:iCs/>
          <w:sz w:val="28"/>
          <w:szCs w:val="28"/>
          <w:lang w:val="es-CO"/>
        </w:rPr>
        <w:t>Greta</w:t>
      </w:r>
      <w:r w:rsidR="00E320CE" w:rsidRPr="00E320CE" w:rsidDel="006E6781">
        <w:rPr>
          <w:sz w:val="28"/>
          <w:szCs w:val="28"/>
          <w:lang w:val="es-CO"/>
        </w:rPr>
        <w:t xml:space="preserve"> </w:t>
      </w:r>
      <w:r w:rsidRPr="00E320CE">
        <w:rPr>
          <w:rFonts w:eastAsia="SimSun"/>
          <w:sz w:val="28"/>
          <w:szCs w:val="28"/>
          <w:lang w:val="es-MX"/>
        </w:rPr>
        <w:t xml:space="preserve">demostró que prestó de manera </w:t>
      </w:r>
      <w:r w:rsidRPr="00E320CE">
        <w:rPr>
          <w:sz w:val="28"/>
          <w:szCs w:val="28"/>
          <w:shd w:val="clear" w:color="auto" w:fill="FFFFFF"/>
        </w:rPr>
        <w:t>personal el servicio de auxiliar de enfermería</w:t>
      </w:r>
      <w:r w:rsidR="00D92962" w:rsidRPr="00E320CE">
        <w:rPr>
          <w:sz w:val="28"/>
          <w:szCs w:val="28"/>
          <w:shd w:val="clear" w:color="auto" w:fill="FFFFFF"/>
        </w:rPr>
        <w:t>, a través de los contratos de prestación de servicios que aportó al expediente.</w:t>
      </w:r>
      <w:r w:rsidRPr="00E320CE">
        <w:rPr>
          <w:sz w:val="28"/>
          <w:szCs w:val="28"/>
          <w:shd w:val="clear" w:color="auto" w:fill="FFFFFF"/>
        </w:rPr>
        <w:t xml:space="preserve"> De igual manera, acreditó que recibió una </w:t>
      </w:r>
      <w:r w:rsidRPr="00E320CE">
        <w:rPr>
          <w:sz w:val="28"/>
          <w:szCs w:val="28"/>
          <w:shd w:val="clear" w:color="auto" w:fill="FFFFFF"/>
        </w:rPr>
        <w:lastRenderedPageBreak/>
        <w:t xml:space="preserve">contraprestación económica por sus servicios. </w:t>
      </w:r>
      <w:r w:rsidR="001F7118" w:rsidRPr="00E320CE">
        <w:rPr>
          <w:sz w:val="28"/>
          <w:szCs w:val="28"/>
          <w:shd w:val="clear" w:color="auto" w:fill="FFFFFF"/>
        </w:rPr>
        <w:t xml:space="preserve">Además, </w:t>
      </w:r>
      <w:r w:rsidRPr="00E320CE">
        <w:rPr>
          <w:sz w:val="28"/>
          <w:szCs w:val="28"/>
          <w:shd w:val="clear" w:color="auto" w:fill="FFFFFF"/>
        </w:rPr>
        <w:t xml:space="preserve">en este proceso </w:t>
      </w:r>
      <w:r w:rsidR="000629FF" w:rsidRPr="00E320CE">
        <w:rPr>
          <w:sz w:val="28"/>
          <w:szCs w:val="28"/>
          <w:shd w:val="clear" w:color="auto" w:fill="FFFFFF"/>
        </w:rPr>
        <w:t>se acreditó de forma</w:t>
      </w:r>
      <w:r w:rsidRPr="00E320CE">
        <w:rPr>
          <w:sz w:val="28"/>
          <w:szCs w:val="28"/>
          <w:shd w:val="clear" w:color="auto" w:fill="FFFFFF"/>
        </w:rPr>
        <w:t xml:space="preserve"> clara la continuada subordinación o dependencia </w:t>
      </w:r>
      <w:r w:rsidR="00CA154E" w:rsidRPr="00E320CE">
        <w:rPr>
          <w:sz w:val="28"/>
          <w:szCs w:val="28"/>
          <w:shd w:val="clear" w:color="auto" w:fill="FFFFFF"/>
        </w:rPr>
        <w:t>frente a la UT Salud Integral PPL</w:t>
      </w:r>
      <w:r w:rsidRPr="00E320CE">
        <w:rPr>
          <w:sz w:val="28"/>
          <w:szCs w:val="28"/>
          <w:shd w:val="clear" w:color="auto" w:fill="FFFFFF"/>
        </w:rPr>
        <w:t>.</w:t>
      </w:r>
    </w:p>
    <w:p w14:paraId="3E9D1123" w14:textId="77777777" w:rsidR="005908F1" w:rsidRPr="00E320CE" w:rsidRDefault="005908F1" w:rsidP="005908F1">
      <w:pPr>
        <w:pStyle w:val="Prrafodelista"/>
        <w:autoSpaceDE/>
        <w:autoSpaceDN/>
        <w:ind w:left="0"/>
        <w:contextualSpacing w:val="0"/>
        <w:jc w:val="both"/>
        <w:rPr>
          <w:rFonts w:eastAsia="SimSun"/>
          <w:sz w:val="28"/>
          <w:szCs w:val="28"/>
          <w:lang w:val="es-MX"/>
        </w:rPr>
      </w:pPr>
    </w:p>
    <w:p w14:paraId="7D91803D" w14:textId="3DD2E925" w:rsidR="005908F1" w:rsidRPr="00E320CE" w:rsidRDefault="00CA154E" w:rsidP="005623B1">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Se llega a esta conclusión</w:t>
      </w:r>
      <w:r w:rsidR="00810AC0" w:rsidRPr="00E320CE">
        <w:rPr>
          <w:rFonts w:eastAsia="SimSun"/>
          <w:sz w:val="28"/>
          <w:szCs w:val="28"/>
          <w:lang w:val="es-MX"/>
        </w:rPr>
        <w:t>,</w:t>
      </w:r>
      <w:r w:rsidRPr="00E320CE">
        <w:rPr>
          <w:rFonts w:eastAsia="SimSun"/>
          <w:sz w:val="28"/>
          <w:szCs w:val="28"/>
          <w:lang w:val="es-MX"/>
        </w:rPr>
        <w:t xml:space="preserve"> con base en</w:t>
      </w:r>
      <w:r w:rsidR="00810AC0" w:rsidRPr="00E320CE">
        <w:rPr>
          <w:rFonts w:eastAsia="SimSun"/>
          <w:sz w:val="28"/>
          <w:szCs w:val="28"/>
          <w:lang w:val="es-MX"/>
        </w:rPr>
        <w:t xml:space="preserve"> los sucesivos contratos de prestación de servicios suscritos entre </w:t>
      </w:r>
      <w:r w:rsidR="00E320CE" w:rsidRPr="00E320CE">
        <w:rPr>
          <w:i/>
          <w:iCs/>
          <w:sz w:val="28"/>
          <w:szCs w:val="28"/>
          <w:lang w:val="es-CO"/>
        </w:rPr>
        <w:t>Greta</w:t>
      </w:r>
      <w:r w:rsidR="00E320CE" w:rsidRPr="00E320CE" w:rsidDel="006E6781">
        <w:rPr>
          <w:sz w:val="28"/>
          <w:szCs w:val="28"/>
          <w:lang w:val="es-CO"/>
        </w:rPr>
        <w:t xml:space="preserve"> </w:t>
      </w:r>
      <w:r w:rsidR="00810AC0" w:rsidRPr="00E320CE">
        <w:rPr>
          <w:rFonts w:eastAsia="SimSun"/>
          <w:sz w:val="28"/>
          <w:szCs w:val="28"/>
          <w:lang w:val="es-MX"/>
        </w:rPr>
        <w:t xml:space="preserve">y la Unión Temporal Salud Integral PPL en </w:t>
      </w:r>
      <w:r w:rsidRPr="00E320CE">
        <w:rPr>
          <w:rFonts w:eastAsia="SimSun"/>
          <w:sz w:val="28"/>
          <w:szCs w:val="28"/>
          <w:lang w:val="es-MX"/>
        </w:rPr>
        <w:t>el curso</w:t>
      </w:r>
      <w:r w:rsidR="00810AC0" w:rsidRPr="00E320CE">
        <w:rPr>
          <w:rFonts w:eastAsia="SimSun"/>
          <w:sz w:val="28"/>
          <w:szCs w:val="28"/>
          <w:lang w:val="es-MX"/>
        </w:rPr>
        <w:t xml:space="preserve"> de dos años y medio</w:t>
      </w:r>
      <w:r w:rsidRPr="00E320CE">
        <w:rPr>
          <w:rFonts w:eastAsia="SimSun"/>
          <w:sz w:val="28"/>
          <w:szCs w:val="28"/>
          <w:lang w:val="es-MX"/>
        </w:rPr>
        <w:t xml:space="preserve">, </w:t>
      </w:r>
      <w:r w:rsidR="00E72762" w:rsidRPr="00E320CE">
        <w:rPr>
          <w:rFonts w:eastAsia="SimSun"/>
          <w:sz w:val="28"/>
          <w:szCs w:val="28"/>
          <w:lang w:val="es-MX"/>
        </w:rPr>
        <w:t>de los cuales no se puede concluir</w:t>
      </w:r>
      <w:r w:rsidR="00810AC0" w:rsidRPr="00E320CE">
        <w:rPr>
          <w:rFonts w:eastAsia="SimSun"/>
          <w:sz w:val="28"/>
          <w:szCs w:val="28"/>
          <w:lang w:val="es-MX"/>
        </w:rPr>
        <w:t xml:space="preserve"> el carácter temporal exigido </w:t>
      </w:r>
      <w:r w:rsidR="00E72762" w:rsidRPr="00E320CE">
        <w:rPr>
          <w:rFonts w:eastAsia="SimSun"/>
          <w:sz w:val="28"/>
          <w:szCs w:val="28"/>
          <w:lang w:val="es-MX"/>
        </w:rPr>
        <w:t>para</w:t>
      </w:r>
      <w:r w:rsidR="00810AC0" w:rsidRPr="00E320CE">
        <w:rPr>
          <w:rFonts w:eastAsia="SimSun"/>
          <w:sz w:val="28"/>
          <w:szCs w:val="28"/>
          <w:lang w:val="es-MX"/>
        </w:rPr>
        <w:t xml:space="preserve"> este tipo de </w:t>
      </w:r>
      <w:r w:rsidR="00E72762" w:rsidRPr="00E320CE">
        <w:rPr>
          <w:rFonts w:eastAsia="SimSun"/>
          <w:sz w:val="28"/>
          <w:szCs w:val="28"/>
          <w:lang w:val="es-MX"/>
        </w:rPr>
        <w:t>vinculaciones</w:t>
      </w:r>
      <w:r w:rsidR="00810AC0" w:rsidRPr="00E320CE">
        <w:rPr>
          <w:rFonts w:eastAsia="SimSun"/>
          <w:sz w:val="28"/>
          <w:szCs w:val="28"/>
          <w:lang w:val="es-MX"/>
        </w:rPr>
        <w:t xml:space="preserve">. </w:t>
      </w:r>
      <w:r w:rsidR="00454798" w:rsidRPr="00E320CE">
        <w:rPr>
          <w:rFonts w:eastAsia="SimSun"/>
          <w:sz w:val="28"/>
          <w:szCs w:val="28"/>
          <w:lang w:val="es-MX"/>
        </w:rPr>
        <w:t>Si bien</w:t>
      </w:r>
      <w:r w:rsidR="00184F26" w:rsidRPr="00E320CE">
        <w:rPr>
          <w:rFonts w:eastAsia="SimSun"/>
          <w:sz w:val="28"/>
          <w:szCs w:val="28"/>
          <w:lang w:val="es-MX"/>
        </w:rPr>
        <w:t xml:space="preserve"> </w:t>
      </w:r>
      <w:r w:rsidR="00454798" w:rsidRPr="00E320CE">
        <w:rPr>
          <w:rFonts w:eastAsia="SimSun"/>
          <w:sz w:val="28"/>
          <w:szCs w:val="28"/>
          <w:lang w:val="es-MX"/>
        </w:rPr>
        <w:t xml:space="preserve">la duración </w:t>
      </w:r>
      <w:r w:rsidR="00810AC0" w:rsidRPr="00E320CE">
        <w:rPr>
          <w:rFonts w:eastAsia="SimSun"/>
          <w:sz w:val="28"/>
          <w:szCs w:val="28"/>
          <w:lang w:val="es-MX"/>
        </w:rPr>
        <w:t xml:space="preserve">de los contratos </w:t>
      </w:r>
      <w:r w:rsidR="00454798" w:rsidRPr="00E320CE">
        <w:rPr>
          <w:rFonts w:eastAsia="SimSun"/>
          <w:sz w:val="28"/>
          <w:szCs w:val="28"/>
          <w:lang w:val="es-MX"/>
        </w:rPr>
        <w:t>no superaba</w:t>
      </w:r>
      <w:r w:rsidR="00810AC0" w:rsidRPr="00E320CE">
        <w:rPr>
          <w:rFonts w:eastAsia="SimSun"/>
          <w:sz w:val="28"/>
          <w:szCs w:val="28"/>
          <w:lang w:val="es-MX"/>
        </w:rPr>
        <w:t xml:space="preserve"> </w:t>
      </w:r>
      <w:r w:rsidR="008F6C39" w:rsidRPr="00E320CE">
        <w:rPr>
          <w:rFonts w:eastAsia="SimSun"/>
          <w:sz w:val="28"/>
          <w:szCs w:val="28"/>
          <w:lang w:val="es-MX"/>
        </w:rPr>
        <w:t>los</w:t>
      </w:r>
      <w:r w:rsidR="00810AC0" w:rsidRPr="00E320CE">
        <w:rPr>
          <w:rFonts w:eastAsia="SimSun"/>
          <w:sz w:val="28"/>
          <w:szCs w:val="28"/>
          <w:lang w:val="es-MX"/>
        </w:rPr>
        <w:t xml:space="preserve"> 3 meses, la vinculación de las partes se prolongó de forma excesiva </w:t>
      </w:r>
      <w:r w:rsidR="00627C7F" w:rsidRPr="00E320CE">
        <w:rPr>
          <w:rFonts w:eastAsia="SimSun"/>
          <w:sz w:val="28"/>
          <w:szCs w:val="28"/>
          <w:lang w:val="es-MX"/>
        </w:rPr>
        <w:t>a través de esta modalidad</w:t>
      </w:r>
      <w:r w:rsidR="00810AC0" w:rsidRPr="00E320CE">
        <w:rPr>
          <w:rFonts w:eastAsia="SimSun"/>
          <w:sz w:val="28"/>
          <w:szCs w:val="28"/>
          <w:lang w:val="es-MX"/>
        </w:rPr>
        <w:t xml:space="preserve">, lo que </w:t>
      </w:r>
      <w:r w:rsidR="00627C7F" w:rsidRPr="00E320CE">
        <w:rPr>
          <w:rFonts w:eastAsia="SimSun"/>
          <w:sz w:val="28"/>
          <w:szCs w:val="28"/>
          <w:lang w:val="es-MX"/>
        </w:rPr>
        <w:t xml:space="preserve">pone en evidencia </w:t>
      </w:r>
      <w:r w:rsidR="00810AC0" w:rsidRPr="00E320CE">
        <w:rPr>
          <w:rFonts w:eastAsia="SimSun"/>
          <w:sz w:val="28"/>
          <w:szCs w:val="28"/>
          <w:lang w:val="es-MX"/>
        </w:rPr>
        <w:t xml:space="preserve">que las funciones de la accionante se </w:t>
      </w:r>
      <w:r w:rsidR="00BA00E6" w:rsidRPr="00E320CE">
        <w:rPr>
          <w:rFonts w:eastAsia="SimSun"/>
          <w:sz w:val="28"/>
          <w:szCs w:val="28"/>
          <w:lang w:val="es-MX"/>
        </w:rPr>
        <w:t>usaron</w:t>
      </w:r>
      <w:r w:rsidR="00810AC0" w:rsidRPr="00E320CE">
        <w:rPr>
          <w:rFonts w:eastAsia="SimSun"/>
          <w:sz w:val="28"/>
          <w:szCs w:val="28"/>
          <w:lang w:val="es-MX"/>
        </w:rPr>
        <w:t xml:space="preserve"> para suplir un cargo permanente y con funciones ordinarias. </w:t>
      </w:r>
    </w:p>
    <w:p w14:paraId="4FB3898A" w14:textId="77777777" w:rsidR="00810AC0" w:rsidRPr="00E320CE" w:rsidRDefault="00810AC0" w:rsidP="00810AC0">
      <w:pPr>
        <w:pStyle w:val="Prrafodelista"/>
        <w:rPr>
          <w:rFonts w:eastAsia="SimSun"/>
          <w:sz w:val="28"/>
          <w:szCs w:val="28"/>
          <w:lang w:val="es-MX"/>
        </w:rPr>
      </w:pPr>
    </w:p>
    <w:p w14:paraId="5EE343F9" w14:textId="0F2D750D" w:rsidR="00810AC0" w:rsidRPr="00E320CE" w:rsidRDefault="00810AC0" w:rsidP="005623B1">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Como lo explicó esta Corporación, las labores de una auxiliar de enfermería no son esporádicas ni excepcionales </w:t>
      </w:r>
      <w:r w:rsidR="00627C7F" w:rsidRPr="00E320CE">
        <w:rPr>
          <w:rFonts w:eastAsia="SimSun"/>
          <w:sz w:val="28"/>
          <w:szCs w:val="28"/>
          <w:lang w:val="es-MX"/>
        </w:rPr>
        <w:t>para</w:t>
      </w:r>
      <w:r w:rsidRPr="00E320CE">
        <w:rPr>
          <w:rFonts w:eastAsia="SimSun"/>
          <w:sz w:val="28"/>
          <w:szCs w:val="28"/>
          <w:lang w:val="es-MX"/>
        </w:rPr>
        <w:t xml:space="preserve"> la atención en salud, sino que son actividades </w:t>
      </w:r>
      <w:r w:rsidR="00C34FDC" w:rsidRPr="00E320CE">
        <w:rPr>
          <w:rFonts w:eastAsia="SimSun"/>
          <w:sz w:val="28"/>
          <w:szCs w:val="28"/>
          <w:lang w:val="es-MX"/>
        </w:rPr>
        <w:t xml:space="preserve">que se requieren </w:t>
      </w:r>
      <w:r w:rsidRPr="00E320CE">
        <w:rPr>
          <w:rFonts w:eastAsia="SimSun"/>
          <w:sz w:val="28"/>
          <w:szCs w:val="28"/>
          <w:lang w:val="es-MX"/>
        </w:rPr>
        <w:t>de forma permanente con el fin de garantizar la correcta prestación del servicio</w:t>
      </w:r>
      <w:r w:rsidRPr="00E320CE">
        <w:rPr>
          <w:rStyle w:val="Refdenotaalpie"/>
          <w:rFonts w:eastAsia="SimSun"/>
          <w:sz w:val="28"/>
          <w:szCs w:val="28"/>
          <w:lang w:val="es-MX"/>
        </w:rPr>
        <w:footnoteReference w:id="165"/>
      </w:r>
      <w:r w:rsidRPr="00E320CE">
        <w:rPr>
          <w:rFonts w:eastAsia="SimSun"/>
          <w:sz w:val="28"/>
          <w:szCs w:val="28"/>
          <w:lang w:val="es-MX"/>
        </w:rPr>
        <w:t>.</w:t>
      </w:r>
      <w:r w:rsidR="00BA00E6" w:rsidRPr="00E320CE">
        <w:rPr>
          <w:rFonts w:eastAsia="SimSun"/>
          <w:sz w:val="28"/>
          <w:szCs w:val="28"/>
          <w:lang w:val="es-MX"/>
        </w:rPr>
        <w:t xml:space="preserve"> El hecho de que la Unión Temporal Salud Integral PPL tuviese a su cargo la prestación de </w:t>
      </w:r>
      <w:r w:rsidR="00BA00E6" w:rsidRPr="00E320CE">
        <w:rPr>
          <w:sz w:val="28"/>
          <w:szCs w:val="28"/>
        </w:rPr>
        <w:t xml:space="preserve">servicios de salud en los establecimientos penitenciarios de la región norte, oriente y noroeste del país–incluido el Establecimiento Penitenciario de Mediana Seguridad y Carcelario de Cartagena–, junto con </w:t>
      </w:r>
      <w:r w:rsidR="00C34FDC" w:rsidRPr="00E320CE">
        <w:rPr>
          <w:sz w:val="28"/>
          <w:szCs w:val="28"/>
        </w:rPr>
        <w:t xml:space="preserve">la prolongación </w:t>
      </w:r>
      <w:r w:rsidR="0071641E" w:rsidRPr="00E320CE">
        <w:rPr>
          <w:sz w:val="28"/>
          <w:szCs w:val="28"/>
        </w:rPr>
        <w:t>de la vinculación</w:t>
      </w:r>
      <w:r w:rsidR="00BA00E6" w:rsidRPr="00E320CE">
        <w:rPr>
          <w:rFonts w:eastAsia="SimSun"/>
          <w:sz w:val="28"/>
          <w:szCs w:val="28"/>
          <w:lang w:val="es-MX"/>
        </w:rPr>
        <w:t>,</w:t>
      </w:r>
      <w:r w:rsidR="00BA00E6" w:rsidRPr="00E320CE">
        <w:rPr>
          <w:sz w:val="28"/>
          <w:szCs w:val="28"/>
        </w:rPr>
        <w:t xml:space="preserve"> lleva a concluir que </w:t>
      </w:r>
      <w:r w:rsidR="00C34FDC" w:rsidRPr="00E320CE">
        <w:rPr>
          <w:sz w:val="28"/>
          <w:szCs w:val="28"/>
        </w:rPr>
        <w:t xml:space="preserve">los servicios de la accionante </w:t>
      </w:r>
      <w:r w:rsidR="0089094C" w:rsidRPr="00E320CE">
        <w:rPr>
          <w:sz w:val="28"/>
          <w:szCs w:val="28"/>
        </w:rPr>
        <w:t>como auxiliar de enfermería</w:t>
      </w:r>
      <w:r w:rsidR="00C34FDC" w:rsidRPr="00E320CE">
        <w:rPr>
          <w:sz w:val="28"/>
          <w:szCs w:val="28"/>
        </w:rPr>
        <w:t xml:space="preserve"> se </w:t>
      </w:r>
      <w:r w:rsidR="00BA00E6" w:rsidRPr="00E320CE">
        <w:rPr>
          <w:sz w:val="28"/>
          <w:szCs w:val="28"/>
        </w:rPr>
        <w:t>necesitaba</w:t>
      </w:r>
      <w:r w:rsidR="00C34FDC" w:rsidRPr="00E320CE">
        <w:rPr>
          <w:sz w:val="28"/>
          <w:szCs w:val="28"/>
        </w:rPr>
        <w:t>n</w:t>
      </w:r>
      <w:r w:rsidR="00BA00E6" w:rsidRPr="00E320CE">
        <w:rPr>
          <w:sz w:val="28"/>
          <w:szCs w:val="28"/>
        </w:rPr>
        <w:t xml:space="preserve"> de manera permanente</w:t>
      </w:r>
      <w:r w:rsidR="0089094C" w:rsidRPr="00E320CE">
        <w:rPr>
          <w:sz w:val="28"/>
          <w:szCs w:val="28"/>
        </w:rPr>
        <w:t>,</w:t>
      </w:r>
      <w:r w:rsidR="00BD06F7" w:rsidRPr="00E320CE">
        <w:rPr>
          <w:sz w:val="28"/>
          <w:szCs w:val="28"/>
        </w:rPr>
        <w:t xml:space="preserve"> </w:t>
      </w:r>
      <w:r w:rsidR="00BA00E6" w:rsidRPr="00E320CE">
        <w:rPr>
          <w:rFonts w:eastAsia="SimSun"/>
          <w:sz w:val="28"/>
          <w:szCs w:val="28"/>
          <w:lang w:val="es-MX"/>
        </w:rPr>
        <w:t xml:space="preserve">para </w:t>
      </w:r>
      <w:r w:rsidR="0089094C" w:rsidRPr="00E320CE">
        <w:rPr>
          <w:rFonts w:eastAsia="SimSun"/>
          <w:sz w:val="28"/>
          <w:szCs w:val="28"/>
          <w:lang w:val="es-MX"/>
        </w:rPr>
        <w:t>garantizar la correcta prestación d</w:t>
      </w:r>
      <w:r w:rsidR="00BA00E6" w:rsidRPr="00E320CE">
        <w:rPr>
          <w:rFonts w:eastAsia="SimSun"/>
          <w:sz w:val="28"/>
          <w:szCs w:val="28"/>
          <w:lang w:val="es-MX"/>
        </w:rPr>
        <w:t xml:space="preserve">el servicio. </w:t>
      </w:r>
    </w:p>
    <w:p w14:paraId="0600CEF2" w14:textId="77777777" w:rsidR="0071641E" w:rsidRPr="00E320CE" w:rsidRDefault="0071641E" w:rsidP="0071641E">
      <w:pPr>
        <w:pStyle w:val="Prrafodelista"/>
        <w:rPr>
          <w:rFonts w:eastAsia="SimSun"/>
          <w:sz w:val="28"/>
          <w:szCs w:val="28"/>
          <w:lang w:val="es-MX"/>
        </w:rPr>
      </w:pPr>
    </w:p>
    <w:p w14:paraId="2412F2FE" w14:textId="4048E186" w:rsidR="0071641E" w:rsidRPr="00E320CE" w:rsidRDefault="0071641E" w:rsidP="005623B1">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De igual forma, el hecho de que los contratos de prestación de servicios hubieran sido </w:t>
      </w:r>
      <w:proofErr w:type="gramStart"/>
      <w:r w:rsidRPr="00E320CE">
        <w:rPr>
          <w:rFonts w:eastAsia="SimSun"/>
          <w:sz w:val="28"/>
          <w:szCs w:val="28"/>
          <w:lang w:val="es-MX"/>
        </w:rPr>
        <w:t>suscrito</w:t>
      </w:r>
      <w:proofErr w:type="gramEnd"/>
      <w:r w:rsidRPr="00E320CE">
        <w:rPr>
          <w:rFonts w:eastAsia="SimSun"/>
          <w:sz w:val="28"/>
          <w:szCs w:val="28"/>
          <w:lang w:val="es-MX"/>
        </w:rPr>
        <w:t xml:space="preserve"> de forma sucesiva </w:t>
      </w:r>
      <w:r w:rsidR="0089094C" w:rsidRPr="00E320CE">
        <w:rPr>
          <w:rFonts w:eastAsia="SimSun"/>
          <w:sz w:val="28"/>
          <w:szCs w:val="28"/>
          <w:lang w:val="es-MX"/>
        </w:rPr>
        <w:t xml:space="preserve">y </w:t>
      </w:r>
      <w:r w:rsidRPr="00E320CE">
        <w:rPr>
          <w:rFonts w:eastAsia="SimSun"/>
          <w:sz w:val="28"/>
          <w:szCs w:val="28"/>
          <w:lang w:val="es-MX"/>
        </w:rPr>
        <w:t>sin interrupción</w:t>
      </w:r>
      <w:r w:rsidR="0089094C" w:rsidRPr="00E320CE">
        <w:rPr>
          <w:rFonts w:eastAsia="SimSun"/>
          <w:sz w:val="28"/>
          <w:szCs w:val="28"/>
          <w:lang w:val="es-MX"/>
        </w:rPr>
        <w:t>, es prueba de</w:t>
      </w:r>
      <w:r w:rsidRPr="00E320CE">
        <w:rPr>
          <w:rFonts w:eastAsia="SimSun"/>
          <w:sz w:val="28"/>
          <w:szCs w:val="28"/>
          <w:lang w:val="es-MX"/>
        </w:rPr>
        <w:t xml:space="preserve"> la existencia de un contrato realidad. Como</w:t>
      </w:r>
      <w:r w:rsidR="0087770C" w:rsidRPr="00E320CE">
        <w:rPr>
          <w:rFonts w:eastAsia="SimSun"/>
          <w:sz w:val="28"/>
          <w:szCs w:val="28"/>
          <w:lang w:val="es-MX"/>
        </w:rPr>
        <w:t xml:space="preserve"> ya se dijo</w:t>
      </w:r>
      <w:r w:rsidRPr="00E320CE">
        <w:rPr>
          <w:rFonts w:eastAsia="SimSun"/>
          <w:sz w:val="28"/>
          <w:szCs w:val="28"/>
          <w:lang w:val="es-MX"/>
        </w:rPr>
        <w:t xml:space="preserve">, </w:t>
      </w:r>
      <w:r w:rsidR="00E320CE" w:rsidRPr="00E320CE">
        <w:rPr>
          <w:i/>
          <w:iCs/>
          <w:sz w:val="28"/>
          <w:szCs w:val="28"/>
          <w:lang w:val="es-CO"/>
        </w:rPr>
        <w:t>Greta</w:t>
      </w:r>
      <w:r w:rsidR="00E320CE" w:rsidRPr="00E320CE" w:rsidDel="006E6781">
        <w:rPr>
          <w:sz w:val="28"/>
          <w:szCs w:val="28"/>
          <w:lang w:val="es-CO"/>
        </w:rPr>
        <w:t xml:space="preserve"> </w:t>
      </w:r>
      <w:r w:rsidRPr="00E320CE">
        <w:rPr>
          <w:rFonts w:eastAsia="SimSun"/>
          <w:sz w:val="28"/>
          <w:szCs w:val="28"/>
          <w:lang w:val="es-MX"/>
        </w:rPr>
        <w:t xml:space="preserve">y la Unión Temporal Salud Integral PPL suscribieron </w:t>
      </w:r>
      <w:r w:rsidR="00367433" w:rsidRPr="00E320CE">
        <w:rPr>
          <w:rFonts w:eastAsia="SimSun"/>
          <w:sz w:val="28"/>
          <w:szCs w:val="28"/>
          <w:lang w:val="es-MX"/>
        </w:rPr>
        <w:t xml:space="preserve">y prorrogaron </w:t>
      </w:r>
      <w:r w:rsidRPr="00E320CE">
        <w:rPr>
          <w:rFonts w:eastAsia="SimSun"/>
          <w:sz w:val="28"/>
          <w:szCs w:val="28"/>
          <w:lang w:val="es-MX"/>
        </w:rPr>
        <w:t xml:space="preserve">al menos 7 contratos </w:t>
      </w:r>
      <w:r w:rsidR="0087770C" w:rsidRPr="00E320CE">
        <w:rPr>
          <w:rFonts w:eastAsia="SimSun"/>
          <w:sz w:val="28"/>
          <w:szCs w:val="28"/>
          <w:lang w:val="es-MX"/>
        </w:rPr>
        <w:t>de prestación de servicios durante el lapso de 2 años y medio,</w:t>
      </w:r>
      <w:r w:rsidRPr="00E320CE">
        <w:rPr>
          <w:rFonts w:eastAsia="SimSun"/>
          <w:sz w:val="28"/>
          <w:szCs w:val="28"/>
          <w:lang w:val="es-MX"/>
        </w:rPr>
        <w:t xml:space="preserve"> sin que</w:t>
      </w:r>
      <w:r w:rsidR="00367433" w:rsidRPr="00E320CE">
        <w:rPr>
          <w:rFonts w:eastAsia="SimSun"/>
          <w:sz w:val="28"/>
          <w:szCs w:val="28"/>
          <w:lang w:val="es-MX"/>
        </w:rPr>
        <w:t xml:space="preserve"> se presentaran interrupciones superiores a un día </w:t>
      </w:r>
      <w:r w:rsidRPr="00E320CE">
        <w:rPr>
          <w:rFonts w:eastAsia="SimSun"/>
          <w:sz w:val="28"/>
          <w:szCs w:val="28"/>
          <w:lang w:val="es-MX"/>
        </w:rPr>
        <w:t xml:space="preserve">entre la terminación de un contrato y la </w:t>
      </w:r>
      <w:r w:rsidR="00367433" w:rsidRPr="00E320CE">
        <w:rPr>
          <w:rFonts w:eastAsia="SimSun"/>
          <w:sz w:val="28"/>
          <w:szCs w:val="28"/>
          <w:lang w:val="es-MX"/>
        </w:rPr>
        <w:t>celebración</w:t>
      </w:r>
      <w:r w:rsidRPr="00E320CE">
        <w:rPr>
          <w:rFonts w:eastAsia="SimSun"/>
          <w:sz w:val="28"/>
          <w:szCs w:val="28"/>
          <w:lang w:val="es-MX"/>
        </w:rPr>
        <w:t xml:space="preserve"> del </w:t>
      </w:r>
      <w:r w:rsidR="00367433" w:rsidRPr="00E320CE">
        <w:rPr>
          <w:rFonts w:eastAsia="SimSun"/>
          <w:sz w:val="28"/>
          <w:szCs w:val="28"/>
          <w:lang w:val="es-MX"/>
        </w:rPr>
        <w:t>siguiente</w:t>
      </w:r>
      <w:r w:rsidRPr="00E320CE">
        <w:rPr>
          <w:rStyle w:val="Refdenotaalpie"/>
          <w:rFonts w:eastAsia="SimSun"/>
          <w:sz w:val="28"/>
          <w:szCs w:val="28"/>
          <w:lang w:val="es-MX"/>
        </w:rPr>
        <w:footnoteReference w:id="166"/>
      </w:r>
      <w:r w:rsidRPr="00E320CE">
        <w:rPr>
          <w:rFonts w:eastAsia="SimSun"/>
          <w:sz w:val="28"/>
          <w:szCs w:val="28"/>
          <w:lang w:val="es-MX"/>
        </w:rPr>
        <w:t>. Por lo tanto,</w:t>
      </w:r>
      <w:r w:rsidR="00367433" w:rsidRPr="00E320CE">
        <w:rPr>
          <w:rFonts w:eastAsia="SimSun"/>
          <w:sz w:val="28"/>
          <w:szCs w:val="28"/>
          <w:lang w:val="es-MX"/>
        </w:rPr>
        <w:t xml:space="preserve"> la Corte advierte que </w:t>
      </w:r>
      <w:r w:rsidRPr="00E320CE">
        <w:rPr>
          <w:rFonts w:eastAsia="SimSun"/>
          <w:sz w:val="28"/>
          <w:szCs w:val="28"/>
          <w:lang w:val="es-MX"/>
        </w:rPr>
        <w:t xml:space="preserve">entre las partes </w:t>
      </w:r>
      <w:r w:rsidR="002F4972" w:rsidRPr="00E320CE">
        <w:rPr>
          <w:rFonts w:eastAsia="SimSun"/>
          <w:sz w:val="28"/>
          <w:szCs w:val="28"/>
          <w:lang w:val="es-MX"/>
        </w:rPr>
        <w:t>existió un verdadero contrato laboral</w:t>
      </w:r>
      <w:r w:rsidRPr="00E320CE">
        <w:rPr>
          <w:rFonts w:eastAsia="SimSun"/>
          <w:sz w:val="28"/>
          <w:szCs w:val="28"/>
          <w:lang w:val="es-MX"/>
        </w:rPr>
        <w:t xml:space="preserve"> </w:t>
      </w:r>
      <w:r w:rsidR="0006054D" w:rsidRPr="00E320CE">
        <w:rPr>
          <w:sz w:val="28"/>
          <w:szCs w:val="28"/>
          <w:shd w:val="clear" w:color="auto" w:fill="FFFFFF"/>
        </w:rPr>
        <w:t xml:space="preserve">a término indefinido entre el </w:t>
      </w:r>
      <w:r w:rsidR="0006054D" w:rsidRPr="00E320CE">
        <w:rPr>
          <w:sz w:val="28"/>
          <w:szCs w:val="28"/>
        </w:rPr>
        <w:t xml:space="preserve">4 de enero de 2022 y el 31 de julio de 2024, la cual quiso ocultarse </w:t>
      </w:r>
      <w:r w:rsidR="00D93327" w:rsidRPr="00E320CE">
        <w:rPr>
          <w:sz w:val="28"/>
          <w:szCs w:val="28"/>
        </w:rPr>
        <w:t xml:space="preserve">a través de </w:t>
      </w:r>
      <w:r w:rsidR="0006054D" w:rsidRPr="00E320CE">
        <w:rPr>
          <w:sz w:val="28"/>
          <w:szCs w:val="28"/>
        </w:rPr>
        <w:t xml:space="preserve">7 </w:t>
      </w:r>
      <w:r w:rsidR="005D6287" w:rsidRPr="00E320CE">
        <w:rPr>
          <w:sz w:val="28"/>
          <w:szCs w:val="28"/>
        </w:rPr>
        <w:t xml:space="preserve">(acreditados) </w:t>
      </w:r>
      <w:r w:rsidR="0006054D" w:rsidRPr="00E320CE">
        <w:rPr>
          <w:sz w:val="28"/>
          <w:szCs w:val="28"/>
        </w:rPr>
        <w:t>contratos de prestación de servicios.</w:t>
      </w:r>
    </w:p>
    <w:p w14:paraId="6F14EDCF" w14:textId="77777777" w:rsidR="005F5CBD" w:rsidRPr="00E320CE" w:rsidRDefault="005F5CBD" w:rsidP="005F5CBD">
      <w:pPr>
        <w:pStyle w:val="Prrafodelista"/>
        <w:rPr>
          <w:rFonts w:eastAsia="SimSun"/>
          <w:sz w:val="28"/>
          <w:szCs w:val="28"/>
          <w:lang w:val="es-MX"/>
        </w:rPr>
      </w:pPr>
    </w:p>
    <w:p w14:paraId="12EFE50C" w14:textId="7DAA370A" w:rsidR="00810AC0" w:rsidRPr="00E320CE" w:rsidRDefault="005F5CBD" w:rsidP="009F39F7">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Por último, las circunstancias de tiempo, modo y cantidad en las que </w:t>
      </w:r>
      <w:r w:rsidR="00E320CE" w:rsidRPr="00E320CE">
        <w:rPr>
          <w:i/>
          <w:iCs/>
          <w:sz w:val="28"/>
          <w:szCs w:val="28"/>
          <w:lang w:val="es-CO"/>
        </w:rPr>
        <w:t>Greta</w:t>
      </w:r>
      <w:r w:rsidR="00E320CE" w:rsidRPr="00E320CE" w:rsidDel="006E6781">
        <w:rPr>
          <w:sz w:val="28"/>
          <w:szCs w:val="28"/>
          <w:lang w:val="es-CO"/>
        </w:rPr>
        <w:t xml:space="preserve"> </w:t>
      </w:r>
      <w:r w:rsidRPr="00E320CE">
        <w:rPr>
          <w:rFonts w:eastAsia="SimSun"/>
          <w:sz w:val="28"/>
          <w:szCs w:val="28"/>
          <w:lang w:val="es-MX"/>
        </w:rPr>
        <w:t xml:space="preserve">prestó sus servicios a la UT Salud Integral PPL también acreditan </w:t>
      </w:r>
      <w:r w:rsidRPr="00E320CE">
        <w:rPr>
          <w:sz w:val="28"/>
          <w:szCs w:val="28"/>
          <w:shd w:val="clear" w:color="auto" w:fill="FFFFFF"/>
        </w:rPr>
        <w:t>la existencia de un contrato realidad.</w:t>
      </w:r>
      <w:r w:rsidR="009F39F7" w:rsidRPr="00E320CE">
        <w:rPr>
          <w:sz w:val="28"/>
          <w:szCs w:val="28"/>
          <w:shd w:val="clear" w:color="auto" w:fill="FFFFFF"/>
        </w:rPr>
        <w:t xml:space="preserve"> Es importante recordar que, en el caso de los auxiliares de enfermería existe una presunción de subordinación</w:t>
      </w:r>
      <w:r w:rsidR="009F39F7" w:rsidRPr="00E320CE">
        <w:rPr>
          <w:rFonts w:eastAsia="SimSun"/>
          <w:sz w:val="28"/>
          <w:szCs w:val="28"/>
          <w:lang w:val="es-MX"/>
        </w:rPr>
        <w:t xml:space="preserve"> por</w:t>
      </w:r>
      <w:r w:rsidR="00810AC0" w:rsidRPr="00E320CE">
        <w:rPr>
          <w:rFonts w:eastAsia="SimSun"/>
          <w:sz w:val="28"/>
          <w:szCs w:val="28"/>
          <w:lang w:val="es-MX"/>
        </w:rPr>
        <w:t xml:space="preserve"> las </w:t>
      </w:r>
      <w:r w:rsidR="009F39F7" w:rsidRPr="00E320CE">
        <w:rPr>
          <w:rFonts w:eastAsia="SimSun"/>
          <w:sz w:val="28"/>
          <w:szCs w:val="28"/>
          <w:lang w:val="es-MX"/>
        </w:rPr>
        <w:t xml:space="preserve">particulares </w:t>
      </w:r>
      <w:r w:rsidR="00810AC0" w:rsidRPr="00E320CE">
        <w:rPr>
          <w:rFonts w:eastAsia="SimSun"/>
          <w:sz w:val="28"/>
          <w:szCs w:val="28"/>
          <w:lang w:val="es-MX"/>
        </w:rPr>
        <w:t>condiciones en que prestan sus servicios</w:t>
      </w:r>
      <w:r w:rsidR="00BB6942" w:rsidRPr="00E320CE">
        <w:rPr>
          <w:rFonts w:eastAsia="SimSun"/>
          <w:sz w:val="28"/>
          <w:szCs w:val="28"/>
          <w:lang w:val="es-MX"/>
        </w:rPr>
        <w:t xml:space="preserve">, </w:t>
      </w:r>
      <w:r w:rsidR="00751081" w:rsidRPr="00E320CE">
        <w:rPr>
          <w:rFonts w:eastAsia="SimSun"/>
          <w:sz w:val="28"/>
          <w:szCs w:val="28"/>
          <w:lang w:val="es-MX"/>
        </w:rPr>
        <w:t xml:space="preserve">como se advirtió en el fundamento jurídico </w:t>
      </w:r>
      <w:r w:rsidR="0058236D" w:rsidRPr="00E320CE">
        <w:rPr>
          <w:rFonts w:eastAsia="SimSun"/>
          <w:sz w:val="28"/>
          <w:szCs w:val="28"/>
          <w:lang w:val="es-MX"/>
        </w:rPr>
        <w:t>100</w:t>
      </w:r>
      <w:r w:rsidR="00751081" w:rsidRPr="00E320CE">
        <w:rPr>
          <w:rFonts w:eastAsia="SimSun"/>
          <w:sz w:val="28"/>
          <w:szCs w:val="28"/>
          <w:lang w:val="es-MX"/>
        </w:rPr>
        <w:t xml:space="preserve"> de esta decisión.</w:t>
      </w:r>
    </w:p>
    <w:p w14:paraId="4E3EE9E5" w14:textId="77777777" w:rsidR="00810AC0" w:rsidRPr="00E320CE" w:rsidRDefault="00810AC0" w:rsidP="005D6287">
      <w:pPr>
        <w:rPr>
          <w:rFonts w:eastAsia="SimSun"/>
          <w:sz w:val="28"/>
          <w:szCs w:val="28"/>
          <w:lang w:val="es-MX"/>
        </w:rPr>
      </w:pPr>
    </w:p>
    <w:p w14:paraId="524615FC" w14:textId="745D378E" w:rsidR="00D50D24" w:rsidRPr="00E320CE" w:rsidRDefault="009F39F7" w:rsidP="009F39F7">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La parte accionada no solo no desvirtuó la presunción</w:t>
      </w:r>
      <w:r w:rsidR="00687B70" w:rsidRPr="00E320CE">
        <w:rPr>
          <w:rFonts w:eastAsia="SimSun"/>
          <w:sz w:val="28"/>
          <w:szCs w:val="28"/>
          <w:lang w:val="es-MX"/>
        </w:rPr>
        <w:t xml:space="preserve"> de subordinación</w:t>
      </w:r>
      <w:r w:rsidRPr="00E320CE">
        <w:rPr>
          <w:rFonts w:eastAsia="SimSun"/>
          <w:sz w:val="28"/>
          <w:szCs w:val="28"/>
          <w:lang w:val="es-MX"/>
        </w:rPr>
        <w:t xml:space="preserve">, sino que la accionante demostró ciertas circunstancias de tiempo, modo y cantidad que </w:t>
      </w:r>
      <w:r w:rsidR="00687B70" w:rsidRPr="00E320CE">
        <w:rPr>
          <w:rFonts w:eastAsia="SimSun"/>
          <w:sz w:val="28"/>
          <w:szCs w:val="28"/>
          <w:lang w:val="es-MX"/>
        </w:rPr>
        <w:t xml:space="preserve">la </w:t>
      </w:r>
      <w:r w:rsidRPr="00E320CE">
        <w:rPr>
          <w:rFonts w:eastAsia="SimSun"/>
          <w:sz w:val="28"/>
          <w:szCs w:val="28"/>
          <w:lang w:val="es-MX"/>
        </w:rPr>
        <w:t xml:space="preserve">ratifican. En primer lugar, </w:t>
      </w:r>
      <w:r w:rsidR="00E320CE" w:rsidRPr="00E320CE">
        <w:rPr>
          <w:i/>
          <w:iCs/>
          <w:sz w:val="28"/>
          <w:szCs w:val="28"/>
          <w:lang w:val="es-CO"/>
        </w:rPr>
        <w:t>Greta</w:t>
      </w:r>
      <w:r w:rsidR="00E320CE" w:rsidRPr="00E320CE" w:rsidDel="006E6781">
        <w:rPr>
          <w:sz w:val="28"/>
          <w:szCs w:val="28"/>
          <w:lang w:val="es-CO"/>
        </w:rPr>
        <w:t xml:space="preserve"> </w:t>
      </w:r>
      <w:r w:rsidRPr="00E320CE">
        <w:rPr>
          <w:rFonts w:eastAsia="SimSun"/>
          <w:sz w:val="28"/>
          <w:szCs w:val="28"/>
          <w:lang w:val="es-MX"/>
        </w:rPr>
        <w:t>acreditó que sus labores como auxiliar de enfermería requerían una coordinación diaria y estaban supeditadas a la dirección de los médicos</w:t>
      </w:r>
      <w:r w:rsidRPr="00E320CE">
        <w:rPr>
          <w:rStyle w:val="Refdenotaalpie"/>
          <w:sz w:val="28"/>
          <w:szCs w:val="28"/>
          <w:lang w:val="es-CO"/>
        </w:rPr>
        <w:footnoteReference w:id="167"/>
      </w:r>
      <w:r w:rsidR="00D50D24" w:rsidRPr="00E320CE">
        <w:rPr>
          <w:sz w:val="28"/>
          <w:szCs w:val="28"/>
          <w:lang w:val="es-CO"/>
        </w:rPr>
        <w:t>.</w:t>
      </w:r>
    </w:p>
    <w:p w14:paraId="036DB575" w14:textId="77777777" w:rsidR="00D50D24" w:rsidRPr="00E320CE" w:rsidRDefault="00D50D24" w:rsidP="00D50D24">
      <w:pPr>
        <w:pStyle w:val="Prrafodelista"/>
        <w:autoSpaceDE/>
        <w:autoSpaceDN/>
        <w:ind w:left="0"/>
        <w:contextualSpacing w:val="0"/>
        <w:jc w:val="both"/>
        <w:rPr>
          <w:rFonts w:eastAsia="SimSun"/>
          <w:sz w:val="28"/>
          <w:szCs w:val="28"/>
          <w:lang w:val="es-MX"/>
        </w:rPr>
      </w:pPr>
    </w:p>
    <w:p w14:paraId="4ECF579E" w14:textId="4450386D" w:rsidR="009F39F7" w:rsidRPr="00E320CE" w:rsidRDefault="00D50D24" w:rsidP="009F39F7">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lang w:val="es-CO"/>
        </w:rPr>
        <w:t xml:space="preserve">En segundo lugar,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lang w:val="es-CO"/>
        </w:rPr>
        <w:t xml:space="preserve">prestó sus servicios en un horario y lugar de trabajo determinado. </w:t>
      </w:r>
      <w:r w:rsidR="00D97257" w:rsidRPr="00E320CE">
        <w:rPr>
          <w:sz w:val="28"/>
          <w:szCs w:val="28"/>
          <w:lang w:val="es-CO"/>
        </w:rPr>
        <w:t xml:space="preserve">De </w:t>
      </w:r>
      <w:r w:rsidR="00FD5984" w:rsidRPr="00E320CE">
        <w:rPr>
          <w:sz w:val="28"/>
          <w:szCs w:val="28"/>
          <w:lang w:val="es-CO"/>
        </w:rPr>
        <w:t>conformidad</w:t>
      </w:r>
      <w:r w:rsidR="00D97257" w:rsidRPr="00E320CE">
        <w:rPr>
          <w:sz w:val="28"/>
          <w:szCs w:val="28"/>
          <w:lang w:val="es-CO"/>
        </w:rPr>
        <w:t xml:space="preserve"> con los contratos </w:t>
      </w:r>
      <w:r w:rsidR="00FD5984" w:rsidRPr="00E320CE">
        <w:rPr>
          <w:sz w:val="28"/>
          <w:szCs w:val="28"/>
          <w:lang w:val="es-CO"/>
        </w:rPr>
        <w:t xml:space="preserve">incorporados </w:t>
      </w:r>
      <w:r w:rsidR="00435FEA" w:rsidRPr="00E320CE">
        <w:rPr>
          <w:sz w:val="28"/>
          <w:szCs w:val="28"/>
          <w:lang w:val="es-CO"/>
        </w:rPr>
        <w:t>al</w:t>
      </w:r>
      <w:r w:rsidR="00FD5984" w:rsidRPr="00E320CE">
        <w:rPr>
          <w:sz w:val="28"/>
          <w:szCs w:val="28"/>
          <w:lang w:val="es-CO"/>
        </w:rPr>
        <w:t xml:space="preserve"> expediente</w:t>
      </w:r>
      <w:r w:rsidR="00D97257" w:rsidRPr="00E320CE">
        <w:rPr>
          <w:sz w:val="28"/>
          <w:szCs w:val="28"/>
          <w:lang w:val="es-CO"/>
        </w:rPr>
        <w:t>, las obligaciones debían ejecutarse en el Establecimiento Penitenciario de Mediana Seguridad y Carcelario de Cartagena “Cárcel San Sebastián de Ternera</w:t>
      </w:r>
      <w:r w:rsidR="00D97257" w:rsidRPr="00E320CE">
        <w:rPr>
          <w:rStyle w:val="Refdenotaalpie"/>
          <w:sz w:val="28"/>
          <w:szCs w:val="28"/>
          <w:lang w:val="es-CO"/>
        </w:rPr>
        <w:footnoteReference w:id="168"/>
      </w:r>
      <w:r w:rsidR="00D97257" w:rsidRPr="00E320CE">
        <w:rPr>
          <w:sz w:val="28"/>
          <w:szCs w:val="28"/>
          <w:lang w:val="es-CO"/>
        </w:rPr>
        <w:t>. Por otra parte, la actora acreditó que cumplía un horario de acuerdo con el sistema de rotación de turnos fijado por Salud Integral PPL en ese sitio</w:t>
      </w:r>
      <w:r w:rsidR="00D97257" w:rsidRPr="00E320CE">
        <w:rPr>
          <w:rStyle w:val="Refdenotaalpie"/>
          <w:sz w:val="28"/>
          <w:szCs w:val="28"/>
          <w:lang w:val="es-CO"/>
        </w:rPr>
        <w:footnoteReference w:id="169"/>
      </w:r>
      <w:r w:rsidR="00D97257" w:rsidRPr="00E320CE">
        <w:rPr>
          <w:sz w:val="28"/>
          <w:szCs w:val="28"/>
          <w:lang w:val="es-CO"/>
        </w:rPr>
        <w:t xml:space="preserve">. De esa forma, como lo ha sostenido la Corte, es difícil imaginar que la demandante tuviese un alto grado de autonomía </w:t>
      </w:r>
      <w:r w:rsidR="00903778" w:rsidRPr="00E320CE">
        <w:rPr>
          <w:sz w:val="28"/>
          <w:szCs w:val="28"/>
          <w:lang w:val="es-CO"/>
        </w:rPr>
        <w:t xml:space="preserve">e independencia </w:t>
      </w:r>
      <w:r w:rsidR="00D97257" w:rsidRPr="00E320CE">
        <w:rPr>
          <w:sz w:val="28"/>
          <w:szCs w:val="28"/>
          <w:lang w:val="es-CO"/>
        </w:rPr>
        <w:t>en el ejercicio de sus funciones, tal y como lo exige el contrato de prestación de servicios.</w:t>
      </w:r>
    </w:p>
    <w:p w14:paraId="37B3109E" w14:textId="374E3837" w:rsidR="009F39F7" w:rsidRPr="00E320CE" w:rsidRDefault="009F39F7" w:rsidP="009F39F7">
      <w:pPr>
        <w:pStyle w:val="Prrafodelista"/>
        <w:autoSpaceDE/>
        <w:autoSpaceDN/>
        <w:ind w:left="0"/>
        <w:contextualSpacing w:val="0"/>
        <w:jc w:val="both"/>
        <w:rPr>
          <w:rFonts w:eastAsia="SimSun"/>
          <w:sz w:val="28"/>
          <w:szCs w:val="28"/>
          <w:lang w:val="es-MX"/>
        </w:rPr>
      </w:pPr>
      <w:r w:rsidRPr="00E320CE">
        <w:rPr>
          <w:rFonts w:eastAsia="SimSun"/>
          <w:sz w:val="28"/>
          <w:szCs w:val="28"/>
          <w:lang w:val="es-MX"/>
        </w:rPr>
        <w:t xml:space="preserve"> </w:t>
      </w:r>
    </w:p>
    <w:p w14:paraId="421FED15" w14:textId="6EA97DFC" w:rsidR="009F39F7" w:rsidRPr="00E320CE" w:rsidRDefault="00D97257" w:rsidP="009F39F7">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Por último, </w:t>
      </w:r>
      <w:r w:rsidR="00FE066E" w:rsidRPr="00E320CE">
        <w:rPr>
          <w:rFonts w:eastAsia="SimSun"/>
          <w:sz w:val="28"/>
          <w:szCs w:val="28"/>
          <w:lang w:val="es-MX"/>
        </w:rPr>
        <w:t xml:space="preserve">en el marco de la relación contractual, la accionante estuvo sujeta a la imposición de los reglamentos de la empresa, lo que implicó su integración a esta. Según </w:t>
      </w:r>
      <w:r w:rsidR="00FE066E" w:rsidRPr="00E320CE">
        <w:rPr>
          <w:sz w:val="28"/>
          <w:szCs w:val="28"/>
          <w:lang w:val="es-CO"/>
        </w:rPr>
        <w:t xml:space="preserve">los contratos aportados, </w:t>
      </w:r>
      <w:r w:rsidR="00E320CE" w:rsidRPr="00E320CE">
        <w:rPr>
          <w:i/>
          <w:iCs/>
          <w:sz w:val="28"/>
          <w:szCs w:val="28"/>
          <w:lang w:val="es-CO"/>
        </w:rPr>
        <w:t>Greta</w:t>
      </w:r>
      <w:r w:rsidR="00E320CE" w:rsidRPr="00E320CE" w:rsidDel="006E6781">
        <w:rPr>
          <w:sz w:val="28"/>
          <w:szCs w:val="28"/>
          <w:lang w:val="es-CO"/>
        </w:rPr>
        <w:t xml:space="preserve"> </w:t>
      </w:r>
      <w:r w:rsidR="00FE066E" w:rsidRPr="00E320CE">
        <w:rPr>
          <w:sz w:val="28"/>
          <w:szCs w:val="28"/>
          <w:lang w:val="es-CO"/>
        </w:rPr>
        <w:t>debía: (i) conocer, entender y aplicar la política de Seguridad y Salud en el Trabajo de la UT Salud Integral; (</w:t>
      </w:r>
      <w:proofErr w:type="spellStart"/>
      <w:r w:rsidR="00FE066E" w:rsidRPr="00E320CE">
        <w:rPr>
          <w:sz w:val="28"/>
          <w:szCs w:val="28"/>
          <w:lang w:val="es-CO"/>
        </w:rPr>
        <w:t>ii</w:t>
      </w:r>
      <w:proofErr w:type="spellEnd"/>
      <w:r w:rsidR="00FE066E" w:rsidRPr="00E320CE">
        <w:rPr>
          <w:sz w:val="28"/>
          <w:szCs w:val="28"/>
          <w:lang w:val="es-CO"/>
        </w:rPr>
        <w:t>) cumplir las normas de Seguridad y Salud en el Trabajo y reglamentos propios de la empresa contratante; y (</w:t>
      </w:r>
      <w:proofErr w:type="spellStart"/>
      <w:r w:rsidR="00FE066E" w:rsidRPr="00E320CE">
        <w:rPr>
          <w:sz w:val="28"/>
          <w:szCs w:val="28"/>
          <w:lang w:val="es-CO"/>
        </w:rPr>
        <w:t>iii</w:t>
      </w:r>
      <w:proofErr w:type="spellEnd"/>
      <w:r w:rsidR="00FE066E" w:rsidRPr="00E320CE">
        <w:rPr>
          <w:sz w:val="28"/>
          <w:szCs w:val="28"/>
          <w:lang w:val="es-CO"/>
        </w:rPr>
        <w:t>) participar en las actividades de inducción y capacitación dirigidas por la unión temporal</w:t>
      </w:r>
      <w:r w:rsidR="00FE066E" w:rsidRPr="00E320CE">
        <w:rPr>
          <w:rStyle w:val="Refdenotaalpie"/>
          <w:sz w:val="28"/>
          <w:szCs w:val="28"/>
          <w:lang w:val="es-CO"/>
        </w:rPr>
        <w:footnoteReference w:id="170"/>
      </w:r>
      <w:r w:rsidR="00FE066E" w:rsidRPr="00E320CE">
        <w:rPr>
          <w:sz w:val="28"/>
          <w:szCs w:val="28"/>
          <w:lang w:val="es-CO"/>
        </w:rPr>
        <w:t>.</w:t>
      </w:r>
    </w:p>
    <w:p w14:paraId="753C758A" w14:textId="77777777" w:rsidR="00FE066E" w:rsidRPr="00E320CE" w:rsidRDefault="00FE066E" w:rsidP="00FE066E">
      <w:pPr>
        <w:pStyle w:val="Prrafodelista"/>
        <w:rPr>
          <w:rFonts w:eastAsia="SimSun"/>
          <w:sz w:val="28"/>
          <w:szCs w:val="28"/>
          <w:lang w:val="es-MX"/>
        </w:rPr>
      </w:pPr>
    </w:p>
    <w:p w14:paraId="0DDD578D" w14:textId="4C223C58" w:rsidR="00FE066E" w:rsidRPr="00E320CE" w:rsidRDefault="00FE066E" w:rsidP="00C552A1">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En esos términos, no </w:t>
      </w:r>
      <w:r w:rsidR="00034B51" w:rsidRPr="00E320CE">
        <w:rPr>
          <w:rFonts w:eastAsia="SimSun"/>
          <w:sz w:val="28"/>
          <w:szCs w:val="28"/>
          <w:lang w:val="es-MX"/>
        </w:rPr>
        <w:t xml:space="preserve">cabe </w:t>
      </w:r>
      <w:r w:rsidRPr="00E320CE">
        <w:rPr>
          <w:rFonts w:eastAsia="SimSun"/>
          <w:sz w:val="28"/>
          <w:szCs w:val="28"/>
          <w:lang w:val="es-MX"/>
        </w:rPr>
        <w:t xml:space="preserve"> duda de que entre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lang w:val="es-CO"/>
        </w:rPr>
        <w:t xml:space="preserve">y la Unión Temporal Salud Integral PPL </w:t>
      </w:r>
      <w:r w:rsidRPr="00E320CE">
        <w:rPr>
          <w:sz w:val="28"/>
          <w:szCs w:val="28"/>
          <w:shd w:val="clear" w:color="auto" w:fill="FFFFFF"/>
        </w:rPr>
        <w:t xml:space="preserve">existió una verdadera relación laboral a término indefinido, </w:t>
      </w:r>
      <w:r w:rsidR="00F26C11" w:rsidRPr="00E320CE">
        <w:rPr>
          <w:sz w:val="28"/>
          <w:szCs w:val="28"/>
          <w:shd w:val="clear" w:color="auto" w:fill="FFFFFF"/>
        </w:rPr>
        <w:t>en aplicación de</w:t>
      </w:r>
      <w:r w:rsidRPr="00E320CE">
        <w:rPr>
          <w:sz w:val="28"/>
          <w:szCs w:val="28"/>
          <w:shd w:val="clear" w:color="auto" w:fill="FFFFFF"/>
        </w:rPr>
        <w:t xml:space="preserve">l principio de </w:t>
      </w:r>
      <w:r w:rsidR="00F26C11" w:rsidRPr="00E320CE">
        <w:rPr>
          <w:sz w:val="28"/>
          <w:szCs w:val="28"/>
          <w:shd w:val="clear" w:color="auto" w:fill="FFFFFF"/>
        </w:rPr>
        <w:t>primacía de</w:t>
      </w:r>
      <w:r w:rsidRPr="00E320CE">
        <w:rPr>
          <w:sz w:val="28"/>
          <w:szCs w:val="28"/>
          <w:shd w:val="clear" w:color="auto" w:fill="FFFFFF"/>
        </w:rPr>
        <w:t xml:space="preserve"> la realidad sobre las formas. </w:t>
      </w:r>
      <w:r w:rsidR="00DD6C21" w:rsidRPr="00E320CE">
        <w:rPr>
          <w:sz w:val="28"/>
          <w:szCs w:val="28"/>
          <w:shd w:val="clear" w:color="auto" w:fill="FFFFFF"/>
        </w:rPr>
        <w:t xml:space="preserve">Específicamente, la Corte </w:t>
      </w:r>
      <w:r w:rsidR="0006027E" w:rsidRPr="00E320CE">
        <w:rPr>
          <w:sz w:val="28"/>
          <w:szCs w:val="28"/>
          <w:shd w:val="clear" w:color="auto" w:fill="FFFFFF"/>
        </w:rPr>
        <w:t>considera</w:t>
      </w:r>
      <w:r w:rsidR="00DD6C21" w:rsidRPr="00E320CE">
        <w:rPr>
          <w:sz w:val="28"/>
          <w:szCs w:val="28"/>
          <w:shd w:val="clear" w:color="auto" w:fill="FFFFFF"/>
        </w:rPr>
        <w:t xml:space="preserve"> que en este caso se cumplieron </w:t>
      </w:r>
      <w:r w:rsidR="00034B51" w:rsidRPr="00E320CE">
        <w:rPr>
          <w:sz w:val="28"/>
          <w:szCs w:val="28"/>
          <w:shd w:val="clear" w:color="auto" w:fill="FFFFFF"/>
        </w:rPr>
        <w:t xml:space="preserve">los </w:t>
      </w:r>
      <w:r w:rsidR="00DD6C21" w:rsidRPr="00E320CE">
        <w:rPr>
          <w:sz w:val="28"/>
          <w:szCs w:val="28"/>
          <w:shd w:val="clear" w:color="auto" w:fill="FFFFFF"/>
        </w:rPr>
        <w:t xml:space="preserve">elementos </w:t>
      </w:r>
      <w:r w:rsidR="00034B51" w:rsidRPr="00E320CE">
        <w:rPr>
          <w:sz w:val="28"/>
          <w:szCs w:val="28"/>
          <w:shd w:val="clear" w:color="auto" w:fill="FFFFFF"/>
        </w:rPr>
        <w:t xml:space="preserve">característicos </w:t>
      </w:r>
      <w:r w:rsidR="00DD6C21" w:rsidRPr="00E320CE">
        <w:rPr>
          <w:sz w:val="28"/>
          <w:szCs w:val="28"/>
          <w:shd w:val="clear" w:color="auto" w:fill="FFFFFF"/>
        </w:rPr>
        <w:t>de una relación de subordinación</w:t>
      </w:r>
      <w:r w:rsidR="00034B51" w:rsidRPr="00E320CE">
        <w:rPr>
          <w:sz w:val="28"/>
          <w:szCs w:val="28"/>
          <w:shd w:val="clear" w:color="auto" w:fill="FFFFFF"/>
        </w:rPr>
        <w:t>, tales</w:t>
      </w:r>
      <w:r w:rsidR="00DD6C21" w:rsidRPr="00E320CE">
        <w:rPr>
          <w:sz w:val="28"/>
          <w:szCs w:val="28"/>
          <w:shd w:val="clear" w:color="auto" w:fill="FFFFFF"/>
        </w:rPr>
        <w:t xml:space="preserve"> como</w:t>
      </w:r>
      <w:r w:rsidR="00DD6C21" w:rsidRPr="00E320CE">
        <w:rPr>
          <w:rFonts w:eastAsia="SimSun"/>
          <w:sz w:val="28"/>
          <w:szCs w:val="28"/>
          <w:lang w:val="es-MX"/>
        </w:rPr>
        <w:t xml:space="preserve"> la existencia de un horario y un lugar de trabajo determinado</w:t>
      </w:r>
      <w:r w:rsidR="00034B51" w:rsidRPr="00E320CE">
        <w:rPr>
          <w:rFonts w:eastAsia="SimSun"/>
          <w:sz w:val="28"/>
          <w:szCs w:val="28"/>
          <w:lang w:val="es-MX"/>
        </w:rPr>
        <w:t>s</w:t>
      </w:r>
      <w:r w:rsidR="00DD6C21" w:rsidRPr="00E320CE">
        <w:rPr>
          <w:rFonts w:eastAsia="SimSun"/>
          <w:sz w:val="28"/>
          <w:szCs w:val="28"/>
          <w:lang w:val="es-MX"/>
        </w:rPr>
        <w:t xml:space="preserve">, la permanencia de la función por ser </w:t>
      </w:r>
      <w:r w:rsidR="00034B51" w:rsidRPr="00E320CE">
        <w:rPr>
          <w:rFonts w:eastAsia="SimSun"/>
          <w:sz w:val="28"/>
          <w:szCs w:val="28"/>
          <w:lang w:val="es-MX"/>
        </w:rPr>
        <w:t>estar vinculada al</w:t>
      </w:r>
      <w:r w:rsidR="00DD6C21" w:rsidRPr="00E320CE">
        <w:rPr>
          <w:rFonts w:eastAsia="SimSun"/>
          <w:sz w:val="28"/>
          <w:szCs w:val="28"/>
          <w:lang w:val="es-MX"/>
        </w:rPr>
        <w:t xml:space="preserve"> giro ordinario de los negocios de la empresa, la celebración de sucesivos contratos </w:t>
      </w:r>
      <w:r w:rsidR="00A62C8E" w:rsidRPr="00E320CE">
        <w:rPr>
          <w:rFonts w:eastAsia="SimSun"/>
          <w:sz w:val="28"/>
          <w:szCs w:val="28"/>
          <w:lang w:val="es-MX"/>
        </w:rPr>
        <w:t xml:space="preserve">de </w:t>
      </w:r>
      <w:r w:rsidR="00DD6C21" w:rsidRPr="00E320CE">
        <w:rPr>
          <w:rFonts w:eastAsia="SimSun"/>
          <w:sz w:val="28"/>
          <w:szCs w:val="28"/>
          <w:lang w:val="es-MX"/>
        </w:rPr>
        <w:t xml:space="preserve">prestación de servicios </w:t>
      </w:r>
      <w:r w:rsidR="00C87817" w:rsidRPr="00E320CE">
        <w:rPr>
          <w:rFonts w:eastAsia="SimSun"/>
          <w:sz w:val="28"/>
          <w:szCs w:val="28"/>
          <w:lang w:val="es-MX"/>
        </w:rPr>
        <w:t xml:space="preserve">durante un periodo </w:t>
      </w:r>
      <w:proofErr w:type="spellStart"/>
      <w:r w:rsidR="00C87817" w:rsidRPr="00E320CE">
        <w:rPr>
          <w:rFonts w:eastAsia="SimSun"/>
          <w:sz w:val="28"/>
          <w:szCs w:val="28"/>
          <w:lang w:val="es-MX"/>
        </w:rPr>
        <w:t>prolognado</w:t>
      </w:r>
      <w:proofErr w:type="spellEnd"/>
      <w:r w:rsidR="00C87817" w:rsidRPr="00E320CE">
        <w:rPr>
          <w:rFonts w:eastAsia="SimSun"/>
          <w:sz w:val="28"/>
          <w:szCs w:val="28"/>
          <w:lang w:val="es-MX"/>
        </w:rPr>
        <w:t xml:space="preserve"> de tiempo </w:t>
      </w:r>
      <w:r w:rsidR="00DD6C21" w:rsidRPr="00E320CE">
        <w:rPr>
          <w:rFonts w:eastAsia="SimSun"/>
          <w:sz w:val="28"/>
          <w:szCs w:val="28"/>
          <w:lang w:val="es-MX"/>
        </w:rPr>
        <w:t xml:space="preserve">y la imposición de instrucciones y reglamentos al contratista. </w:t>
      </w:r>
      <w:r w:rsidRPr="00E320CE">
        <w:rPr>
          <w:sz w:val="28"/>
          <w:szCs w:val="28"/>
          <w:shd w:val="clear" w:color="auto" w:fill="FFFFFF"/>
        </w:rPr>
        <w:t xml:space="preserve">En </w:t>
      </w:r>
      <w:r w:rsidR="00DE40D1" w:rsidRPr="00E320CE">
        <w:rPr>
          <w:sz w:val="28"/>
          <w:szCs w:val="28"/>
          <w:shd w:val="clear" w:color="auto" w:fill="FFFFFF"/>
        </w:rPr>
        <w:t>esa línea,</w:t>
      </w:r>
      <w:r w:rsidR="001E4BB3" w:rsidRPr="00E320CE">
        <w:rPr>
          <w:sz w:val="28"/>
          <w:szCs w:val="28"/>
          <w:shd w:val="clear" w:color="auto" w:fill="FFFFFF"/>
        </w:rPr>
        <w:t xml:space="preserve"> </w:t>
      </w:r>
      <w:r w:rsidR="00034B51" w:rsidRPr="00E320CE">
        <w:rPr>
          <w:sz w:val="28"/>
          <w:szCs w:val="28"/>
          <w:shd w:val="clear" w:color="auto" w:fill="FFFFFF"/>
        </w:rPr>
        <w:t xml:space="preserve">al configurarse </w:t>
      </w:r>
      <w:r w:rsidR="00DE40D1" w:rsidRPr="00E320CE">
        <w:rPr>
          <w:sz w:val="28"/>
          <w:szCs w:val="28"/>
          <w:shd w:val="clear" w:color="auto" w:fill="FFFFFF"/>
        </w:rPr>
        <w:t>una verdadera</w:t>
      </w:r>
      <w:r w:rsidRPr="00E320CE">
        <w:rPr>
          <w:sz w:val="28"/>
          <w:szCs w:val="28"/>
          <w:shd w:val="clear" w:color="auto" w:fill="FFFFFF"/>
        </w:rPr>
        <w:t xml:space="preserve"> relación laboral a término indefinido, la unión temporal debió </w:t>
      </w:r>
      <w:r w:rsidR="00034B51" w:rsidRPr="00E320CE">
        <w:rPr>
          <w:sz w:val="28"/>
          <w:szCs w:val="28"/>
          <w:shd w:val="clear" w:color="auto" w:fill="FFFFFF"/>
        </w:rPr>
        <w:t xml:space="preserve">acreditar </w:t>
      </w:r>
      <w:r w:rsidRPr="00E320CE">
        <w:rPr>
          <w:sz w:val="28"/>
          <w:szCs w:val="28"/>
          <w:shd w:val="clear" w:color="auto" w:fill="FFFFFF"/>
        </w:rPr>
        <w:t>una justa causa para</w:t>
      </w:r>
      <w:r w:rsidR="00034B51" w:rsidRPr="00E320CE">
        <w:rPr>
          <w:sz w:val="28"/>
          <w:szCs w:val="28"/>
          <w:shd w:val="clear" w:color="auto" w:fill="FFFFFF"/>
        </w:rPr>
        <w:t xml:space="preserve"> dar por terminada dicha </w:t>
      </w:r>
      <w:r w:rsidRPr="00E320CE">
        <w:rPr>
          <w:sz w:val="28"/>
          <w:szCs w:val="28"/>
          <w:shd w:val="clear" w:color="auto" w:fill="FFFFFF"/>
        </w:rPr>
        <w:t>relación</w:t>
      </w:r>
      <w:r w:rsidR="00C552A1" w:rsidRPr="00E320CE">
        <w:rPr>
          <w:sz w:val="28"/>
          <w:szCs w:val="28"/>
          <w:shd w:val="clear" w:color="auto" w:fill="FFFFFF"/>
        </w:rPr>
        <w:t>.</w:t>
      </w:r>
    </w:p>
    <w:p w14:paraId="287085A7" w14:textId="77777777" w:rsidR="00FE066E" w:rsidRPr="00E320CE" w:rsidRDefault="00FE066E" w:rsidP="00FE066E">
      <w:pPr>
        <w:rPr>
          <w:rFonts w:eastAsia="SimSun"/>
          <w:sz w:val="28"/>
          <w:szCs w:val="28"/>
          <w:lang w:val="es-MX"/>
        </w:rPr>
      </w:pPr>
    </w:p>
    <w:p w14:paraId="14A6DB06" w14:textId="7C5DA3EF" w:rsidR="00FE066E" w:rsidRPr="00E320CE" w:rsidRDefault="00DA4751" w:rsidP="00FE066E">
      <w:pPr>
        <w:rPr>
          <w:rFonts w:eastAsia="SimSun"/>
          <w:b/>
          <w:bCs/>
          <w:sz w:val="28"/>
          <w:szCs w:val="28"/>
          <w:lang w:val="es-MX"/>
        </w:rPr>
      </w:pPr>
      <w:r w:rsidRPr="00E320CE">
        <w:rPr>
          <w:rFonts w:eastAsia="SimSun"/>
          <w:b/>
          <w:bCs/>
          <w:sz w:val="28"/>
          <w:szCs w:val="28"/>
          <w:lang w:val="es-MX"/>
        </w:rPr>
        <w:t>Para el momento de la finalización de la relación labor</w:t>
      </w:r>
      <w:r w:rsidR="008B48C7" w:rsidRPr="00E320CE">
        <w:rPr>
          <w:rFonts w:eastAsia="SimSun"/>
          <w:b/>
          <w:bCs/>
          <w:sz w:val="28"/>
          <w:szCs w:val="28"/>
          <w:lang w:val="es-MX"/>
        </w:rPr>
        <w:t>al la accionante se encontraba en estabilidad laboral reforzada por razones de salu</w:t>
      </w:r>
      <w:r w:rsidR="00D64564" w:rsidRPr="00E320CE">
        <w:rPr>
          <w:rFonts w:eastAsia="SimSun"/>
          <w:b/>
          <w:bCs/>
          <w:sz w:val="28"/>
          <w:szCs w:val="28"/>
          <w:lang w:val="es-MX"/>
        </w:rPr>
        <w:t>d</w:t>
      </w:r>
    </w:p>
    <w:p w14:paraId="249C4583" w14:textId="77777777" w:rsidR="00D64564" w:rsidRPr="00E320CE" w:rsidRDefault="00D64564" w:rsidP="00FE066E">
      <w:pPr>
        <w:rPr>
          <w:rFonts w:eastAsia="SimSun"/>
          <w:sz w:val="28"/>
          <w:szCs w:val="28"/>
          <w:lang w:val="es-MX"/>
        </w:rPr>
      </w:pPr>
    </w:p>
    <w:p w14:paraId="5094DD82" w14:textId="24745D3B" w:rsidR="00CA7B75" w:rsidRPr="00E320CE" w:rsidRDefault="004A2F3F" w:rsidP="00CA7B75">
      <w:pPr>
        <w:pStyle w:val="Prrafodelista"/>
        <w:numPr>
          <w:ilvl w:val="0"/>
          <w:numId w:val="1"/>
        </w:numPr>
        <w:autoSpaceDE/>
        <w:autoSpaceDN/>
        <w:ind w:left="0" w:firstLine="0"/>
        <w:contextualSpacing w:val="0"/>
        <w:jc w:val="both"/>
        <w:rPr>
          <w:rFonts w:eastAsia="SimSun"/>
          <w:b/>
          <w:bCs/>
          <w:sz w:val="28"/>
          <w:szCs w:val="28"/>
          <w:lang w:val="es-MX"/>
        </w:rPr>
      </w:pPr>
      <w:r w:rsidRPr="00E320CE">
        <w:rPr>
          <w:rFonts w:eastAsia="SimSun"/>
          <w:sz w:val="28"/>
          <w:szCs w:val="28"/>
          <w:lang w:val="es-MX"/>
        </w:rPr>
        <w:t>En este punto, se debe señalar que el</w:t>
      </w:r>
      <w:r w:rsidR="00204222" w:rsidRPr="00E320CE">
        <w:rPr>
          <w:rFonts w:eastAsia="SimSun"/>
          <w:sz w:val="28"/>
          <w:szCs w:val="28"/>
          <w:lang w:val="es-MX"/>
        </w:rPr>
        <w:t xml:space="preserve"> contrato de prestación de servicios de </w:t>
      </w:r>
      <w:r w:rsidR="00E320CE" w:rsidRPr="00E320CE">
        <w:rPr>
          <w:i/>
          <w:iCs/>
          <w:sz w:val="28"/>
          <w:szCs w:val="28"/>
          <w:lang w:val="es-CO"/>
        </w:rPr>
        <w:t>Greta</w:t>
      </w:r>
      <w:r w:rsidR="00E320CE" w:rsidRPr="00E320CE" w:rsidDel="006E6781">
        <w:rPr>
          <w:sz w:val="28"/>
          <w:szCs w:val="28"/>
          <w:lang w:val="es-CO"/>
        </w:rPr>
        <w:t xml:space="preserve"> </w:t>
      </w:r>
      <w:r w:rsidR="00204222" w:rsidRPr="00E320CE">
        <w:rPr>
          <w:rFonts w:eastAsia="SimSun"/>
          <w:sz w:val="28"/>
          <w:szCs w:val="28"/>
          <w:lang w:val="es-MX"/>
        </w:rPr>
        <w:t>fue terminado por la Unión Temporal Salud Integral PPL el 31 de julio de 2024. La empresa accionada</w:t>
      </w:r>
      <w:r w:rsidR="00CA7B75" w:rsidRPr="00E320CE">
        <w:rPr>
          <w:rFonts w:eastAsia="SimSun"/>
          <w:sz w:val="28"/>
          <w:szCs w:val="28"/>
          <w:lang w:val="es-MX"/>
        </w:rPr>
        <w:t xml:space="preserve"> sostuvo </w:t>
      </w:r>
      <w:r w:rsidR="00CA7B75" w:rsidRPr="00E320CE">
        <w:rPr>
          <w:sz w:val="28"/>
          <w:szCs w:val="28"/>
        </w:rPr>
        <w:t xml:space="preserve">que la terminación del contrato </w:t>
      </w:r>
      <w:r w:rsidR="00984E51" w:rsidRPr="00E320CE">
        <w:rPr>
          <w:sz w:val="28"/>
          <w:szCs w:val="28"/>
        </w:rPr>
        <w:t xml:space="preserve">es una consecuencia de la finalización de las operaciones de esta unión temporal </w:t>
      </w:r>
      <w:r w:rsidR="00CA7B75" w:rsidRPr="00E320CE">
        <w:rPr>
          <w:sz w:val="28"/>
          <w:szCs w:val="28"/>
        </w:rPr>
        <w:t>el 31 de julio de 2024, tal y como fue pactado en los contratos celebrados con la fiducia mercantil para la administración de los recursos del Fondo Nacional de Salud de las personas privadas de la libertad.</w:t>
      </w:r>
      <w:r w:rsidR="00715F78" w:rsidRPr="00E320CE">
        <w:rPr>
          <w:rFonts w:eastAsia="SimSun"/>
          <w:sz w:val="28"/>
          <w:szCs w:val="28"/>
        </w:rPr>
        <w:t xml:space="preserve"> </w:t>
      </w:r>
      <w:r w:rsidR="005B3DA6" w:rsidRPr="00E320CE">
        <w:rPr>
          <w:rFonts w:eastAsia="SimSun"/>
          <w:sz w:val="28"/>
          <w:szCs w:val="28"/>
        </w:rPr>
        <w:t>Por su parte, l</w:t>
      </w:r>
      <w:r w:rsidR="00CA7B75" w:rsidRPr="00E320CE">
        <w:rPr>
          <w:rFonts w:eastAsia="SimSun"/>
          <w:sz w:val="28"/>
          <w:szCs w:val="28"/>
        </w:rPr>
        <w:t>a accionante</w:t>
      </w:r>
      <w:r w:rsidR="005B3DA6" w:rsidRPr="00E320CE">
        <w:rPr>
          <w:rFonts w:eastAsia="SimSun"/>
          <w:sz w:val="28"/>
          <w:szCs w:val="28"/>
        </w:rPr>
        <w:t xml:space="preserve"> </w:t>
      </w:r>
      <w:r w:rsidR="00CA7B75" w:rsidRPr="00E320CE">
        <w:rPr>
          <w:rFonts w:eastAsia="SimSun"/>
          <w:sz w:val="28"/>
          <w:szCs w:val="28"/>
        </w:rPr>
        <w:t xml:space="preserve">cuestionó que </w:t>
      </w:r>
      <w:r w:rsidR="00CD71BC" w:rsidRPr="00E320CE">
        <w:rPr>
          <w:rFonts w:eastAsia="SimSun"/>
          <w:sz w:val="28"/>
          <w:szCs w:val="28"/>
        </w:rPr>
        <w:t>la UT</w:t>
      </w:r>
      <w:r w:rsidR="00CA7B75" w:rsidRPr="00E320CE">
        <w:rPr>
          <w:rFonts w:eastAsia="SimSun"/>
          <w:sz w:val="28"/>
          <w:szCs w:val="28"/>
        </w:rPr>
        <w:t xml:space="preserve"> </w:t>
      </w:r>
      <w:r w:rsidR="00CA7B75" w:rsidRPr="00E320CE">
        <w:rPr>
          <w:sz w:val="28"/>
          <w:szCs w:val="28"/>
        </w:rPr>
        <w:t xml:space="preserve">Salud Integral PPL desconoció su derecho a la estabilidad laboral reforzada por </w:t>
      </w:r>
      <w:r w:rsidR="001F6874" w:rsidRPr="00E320CE">
        <w:rPr>
          <w:sz w:val="28"/>
          <w:szCs w:val="28"/>
        </w:rPr>
        <w:t>razones de</w:t>
      </w:r>
      <w:r w:rsidR="00CA7B75" w:rsidRPr="00E320CE">
        <w:rPr>
          <w:sz w:val="28"/>
          <w:szCs w:val="28"/>
        </w:rPr>
        <w:t xml:space="preserve"> salud</w:t>
      </w:r>
      <w:r w:rsidR="001F6874" w:rsidRPr="00E320CE">
        <w:rPr>
          <w:sz w:val="28"/>
          <w:szCs w:val="28"/>
        </w:rPr>
        <w:t xml:space="preserve">, </w:t>
      </w:r>
      <w:r w:rsidR="00A00D3D" w:rsidRPr="00E320CE">
        <w:rPr>
          <w:sz w:val="28"/>
          <w:szCs w:val="28"/>
        </w:rPr>
        <w:t>cuando terminó</w:t>
      </w:r>
      <w:r w:rsidR="00CA7B75" w:rsidRPr="00E320CE">
        <w:rPr>
          <w:sz w:val="28"/>
          <w:szCs w:val="28"/>
        </w:rPr>
        <w:t xml:space="preserve"> </w:t>
      </w:r>
      <w:r w:rsidR="00A00D3D" w:rsidRPr="00E320CE">
        <w:rPr>
          <w:sz w:val="28"/>
          <w:szCs w:val="28"/>
        </w:rPr>
        <w:t>su vinculación</w:t>
      </w:r>
      <w:r w:rsidR="00CA7B75" w:rsidRPr="00E320CE">
        <w:rPr>
          <w:sz w:val="28"/>
          <w:szCs w:val="28"/>
        </w:rPr>
        <w:t xml:space="preserve"> sin autorización del Ministerio del Trabajo, a pesar de que ella continuaba en tratamiento </w:t>
      </w:r>
      <w:r w:rsidR="00A00D3D" w:rsidRPr="00E320CE">
        <w:rPr>
          <w:sz w:val="28"/>
          <w:szCs w:val="28"/>
        </w:rPr>
        <w:t xml:space="preserve">por </w:t>
      </w:r>
      <w:r w:rsidR="005143CE" w:rsidRPr="00E320CE">
        <w:rPr>
          <w:sz w:val="28"/>
          <w:szCs w:val="28"/>
        </w:rPr>
        <w:t>el</w:t>
      </w:r>
      <w:r w:rsidR="00A00D3D" w:rsidRPr="00E320CE">
        <w:rPr>
          <w:sz w:val="28"/>
          <w:szCs w:val="28"/>
        </w:rPr>
        <w:t xml:space="preserve"> diagnóstico</w:t>
      </w:r>
      <w:r w:rsidR="005143CE" w:rsidRPr="00E320CE">
        <w:rPr>
          <w:sz w:val="28"/>
          <w:szCs w:val="28"/>
        </w:rPr>
        <w:t xml:space="preserve"> </w:t>
      </w:r>
      <w:r w:rsidR="00CA7B75" w:rsidRPr="00E320CE">
        <w:rPr>
          <w:sz w:val="28"/>
          <w:szCs w:val="28"/>
        </w:rPr>
        <w:t xml:space="preserve">de cáncer y </w:t>
      </w:r>
      <w:r w:rsidR="00A00D3D" w:rsidRPr="00E320CE">
        <w:rPr>
          <w:sz w:val="28"/>
          <w:szCs w:val="28"/>
        </w:rPr>
        <w:t>en controles de psiquiatría</w:t>
      </w:r>
      <w:r w:rsidR="00CA7B75" w:rsidRPr="00E320CE">
        <w:rPr>
          <w:sz w:val="28"/>
          <w:szCs w:val="28"/>
        </w:rPr>
        <w:t xml:space="preserve">. </w:t>
      </w:r>
    </w:p>
    <w:p w14:paraId="3450AF90" w14:textId="77777777" w:rsidR="00CA7B75" w:rsidRPr="00E320CE" w:rsidRDefault="00CA7B75" w:rsidP="00CA7B75">
      <w:pPr>
        <w:pStyle w:val="Prrafodelista"/>
        <w:autoSpaceDE/>
        <w:autoSpaceDN/>
        <w:ind w:left="0"/>
        <w:contextualSpacing w:val="0"/>
        <w:jc w:val="both"/>
        <w:rPr>
          <w:rFonts w:eastAsia="SimSun"/>
          <w:b/>
          <w:bCs/>
          <w:sz w:val="28"/>
          <w:szCs w:val="28"/>
          <w:lang w:val="es-MX"/>
        </w:rPr>
      </w:pPr>
    </w:p>
    <w:p w14:paraId="6048615F" w14:textId="1475AA6A" w:rsidR="00E95171" w:rsidRPr="00E320CE" w:rsidRDefault="005143CE" w:rsidP="00E95171">
      <w:pPr>
        <w:pStyle w:val="Prrafodelista"/>
        <w:numPr>
          <w:ilvl w:val="0"/>
          <w:numId w:val="1"/>
        </w:numPr>
        <w:autoSpaceDE/>
        <w:autoSpaceDN/>
        <w:ind w:left="0" w:right="57" w:firstLine="0"/>
        <w:jc w:val="both"/>
        <w:rPr>
          <w:sz w:val="28"/>
          <w:szCs w:val="28"/>
        </w:rPr>
      </w:pPr>
      <w:r w:rsidRPr="00E320CE">
        <w:rPr>
          <w:rFonts w:eastAsia="SimSun"/>
          <w:sz w:val="28"/>
          <w:szCs w:val="28"/>
          <w:lang w:val="es-MX"/>
        </w:rPr>
        <w:t xml:space="preserve">Sobre </w:t>
      </w:r>
      <w:r w:rsidR="00606871" w:rsidRPr="00E320CE">
        <w:rPr>
          <w:rFonts w:eastAsia="SimSun"/>
          <w:sz w:val="28"/>
          <w:szCs w:val="28"/>
          <w:lang w:val="es-MX"/>
        </w:rPr>
        <w:t>este punto</w:t>
      </w:r>
      <w:r w:rsidR="00CA7B75" w:rsidRPr="00E320CE">
        <w:rPr>
          <w:rFonts w:eastAsia="SimSun"/>
          <w:sz w:val="28"/>
          <w:szCs w:val="28"/>
          <w:lang w:val="es-MX"/>
        </w:rPr>
        <w:t>,</w:t>
      </w:r>
      <w:r w:rsidRPr="00E320CE">
        <w:rPr>
          <w:rFonts w:eastAsia="SimSun"/>
          <w:sz w:val="28"/>
          <w:szCs w:val="28"/>
          <w:lang w:val="es-MX"/>
        </w:rPr>
        <w:t xml:space="preserve"> las pruebas aportadas en el expediente</w:t>
      </w:r>
      <w:r w:rsidR="00606871" w:rsidRPr="00E320CE">
        <w:rPr>
          <w:rFonts w:eastAsia="SimSun"/>
          <w:sz w:val="28"/>
          <w:szCs w:val="28"/>
          <w:lang w:val="es-MX"/>
        </w:rPr>
        <w:t xml:space="preserve"> acreditan </w:t>
      </w:r>
      <w:r w:rsidRPr="00E320CE">
        <w:rPr>
          <w:rFonts w:eastAsia="SimSun"/>
          <w:sz w:val="28"/>
          <w:szCs w:val="28"/>
          <w:lang w:val="es-MX"/>
        </w:rPr>
        <w:t xml:space="preserve">que </w:t>
      </w:r>
      <w:r w:rsidR="00CA7B75" w:rsidRPr="00E320CE">
        <w:rPr>
          <w:rFonts w:eastAsia="SimSun"/>
          <w:sz w:val="28"/>
          <w:szCs w:val="28"/>
          <w:lang w:val="es-MX"/>
        </w:rPr>
        <w:t xml:space="preserve">la accionante fue </w:t>
      </w:r>
      <w:r w:rsidR="00E95171" w:rsidRPr="00E320CE">
        <w:rPr>
          <w:rFonts w:eastAsia="SimSun"/>
          <w:sz w:val="28"/>
          <w:szCs w:val="28"/>
          <w:lang w:val="es-MX"/>
        </w:rPr>
        <w:t xml:space="preserve">diagnosticada en  2018 con </w:t>
      </w:r>
      <w:r w:rsidR="00E95171" w:rsidRPr="00E320CE">
        <w:rPr>
          <w:sz w:val="28"/>
          <w:szCs w:val="28"/>
        </w:rPr>
        <w:t xml:space="preserve">cáncer de cuello uterino, por lo que </w:t>
      </w:r>
      <w:r w:rsidR="00606871" w:rsidRPr="00E320CE">
        <w:rPr>
          <w:sz w:val="28"/>
          <w:szCs w:val="28"/>
        </w:rPr>
        <w:lastRenderedPageBreak/>
        <w:t xml:space="preserve">recibió </w:t>
      </w:r>
      <w:r w:rsidR="00E95171" w:rsidRPr="00E320CE">
        <w:rPr>
          <w:sz w:val="28"/>
          <w:szCs w:val="28"/>
        </w:rPr>
        <w:t>sesiones de quimioterapia y radioterapia</w:t>
      </w:r>
      <w:r w:rsidR="00E95171" w:rsidRPr="00E320CE">
        <w:rPr>
          <w:rStyle w:val="Refdenotaalpie"/>
          <w:sz w:val="28"/>
          <w:szCs w:val="28"/>
        </w:rPr>
        <w:footnoteReference w:id="171"/>
      </w:r>
      <w:r w:rsidR="00606871" w:rsidRPr="00E320CE">
        <w:rPr>
          <w:sz w:val="28"/>
          <w:szCs w:val="28"/>
        </w:rPr>
        <w:t xml:space="preserve">. En 2022, la enfermedad </w:t>
      </w:r>
      <w:r w:rsidR="00CB0509" w:rsidRPr="00E320CE">
        <w:rPr>
          <w:rFonts w:eastAsia="SimSun"/>
          <w:sz w:val="28"/>
          <w:szCs w:val="28"/>
          <w:lang w:val="es-MX"/>
        </w:rPr>
        <w:t xml:space="preserve">hizo </w:t>
      </w:r>
      <w:r w:rsidR="00CB0509" w:rsidRPr="00E320CE">
        <w:rPr>
          <w:sz w:val="28"/>
          <w:szCs w:val="28"/>
        </w:rPr>
        <w:t>“</w:t>
      </w:r>
      <w:proofErr w:type="spellStart"/>
      <w:r w:rsidR="00CB0509" w:rsidRPr="00E320CE">
        <w:rPr>
          <w:sz w:val="28"/>
          <w:szCs w:val="28"/>
        </w:rPr>
        <w:t>metastasis</w:t>
      </w:r>
      <w:proofErr w:type="spellEnd"/>
      <w:r w:rsidR="00CB0509" w:rsidRPr="00E320CE">
        <w:rPr>
          <w:sz w:val="28"/>
          <w:szCs w:val="28"/>
        </w:rPr>
        <w:t xml:space="preserve"> a cuello y seno derecho”</w:t>
      </w:r>
      <w:r w:rsidR="00CB0509" w:rsidRPr="00E320CE">
        <w:rPr>
          <w:rStyle w:val="Refdenotaalpie"/>
          <w:sz w:val="28"/>
          <w:szCs w:val="28"/>
        </w:rPr>
        <w:footnoteReference w:id="172"/>
      </w:r>
      <w:r w:rsidR="00644AE0" w:rsidRPr="00E320CE">
        <w:rPr>
          <w:sz w:val="28"/>
          <w:szCs w:val="28"/>
        </w:rPr>
        <w:t>.</w:t>
      </w:r>
      <w:r w:rsidR="00CB0509" w:rsidRPr="00E320CE">
        <w:rPr>
          <w:sz w:val="28"/>
          <w:szCs w:val="28"/>
        </w:rPr>
        <w:t xml:space="preserve"> </w:t>
      </w:r>
      <w:r w:rsidR="00644AE0" w:rsidRPr="00E320CE">
        <w:rPr>
          <w:sz w:val="28"/>
          <w:szCs w:val="28"/>
        </w:rPr>
        <w:t>Además</w:t>
      </w:r>
      <w:r w:rsidR="00CB0509" w:rsidRPr="00E320CE">
        <w:rPr>
          <w:sz w:val="28"/>
          <w:szCs w:val="28"/>
        </w:rPr>
        <w:t xml:space="preserve">, </w:t>
      </w:r>
      <w:r w:rsidR="00606871" w:rsidRPr="00E320CE">
        <w:rPr>
          <w:sz w:val="28"/>
          <w:szCs w:val="28"/>
        </w:rPr>
        <w:t xml:space="preserve">ese mismo año, </w:t>
      </w:r>
      <w:r w:rsidR="00E320CE" w:rsidRPr="00E320CE">
        <w:rPr>
          <w:i/>
          <w:iCs/>
          <w:sz w:val="28"/>
          <w:szCs w:val="28"/>
          <w:lang w:val="es-CO"/>
        </w:rPr>
        <w:t>Greta</w:t>
      </w:r>
      <w:r w:rsidR="00E320CE" w:rsidRPr="00E320CE" w:rsidDel="006E6781">
        <w:rPr>
          <w:sz w:val="28"/>
          <w:szCs w:val="28"/>
          <w:lang w:val="es-CO"/>
        </w:rPr>
        <w:t xml:space="preserve"> </w:t>
      </w:r>
      <w:r w:rsidR="00644AE0" w:rsidRPr="00E320CE">
        <w:rPr>
          <w:sz w:val="28"/>
          <w:szCs w:val="28"/>
        </w:rPr>
        <w:t xml:space="preserve">estuvo </w:t>
      </w:r>
      <w:r w:rsidR="00E95171" w:rsidRPr="00E320CE">
        <w:rPr>
          <w:sz w:val="28"/>
          <w:szCs w:val="28"/>
        </w:rPr>
        <w:t xml:space="preserve"> hospitalizada </w:t>
      </w:r>
      <w:r w:rsidR="00644AE0" w:rsidRPr="00E320CE">
        <w:rPr>
          <w:sz w:val="28"/>
          <w:szCs w:val="28"/>
        </w:rPr>
        <w:t>durante</w:t>
      </w:r>
      <w:r w:rsidR="00E95171" w:rsidRPr="00E320CE">
        <w:rPr>
          <w:sz w:val="28"/>
          <w:szCs w:val="28"/>
        </w:rPr>
        <w:t xml:space="preserve"> 15 días debido a un infarto agudo de miocardio secundario</w:t>
      </w:r>
      <w:r w:rsidR="00606871" w:rsidRPr="00E320CE">
        <w:rPr>
          <w:sz w:val="28"/>
          <w:szCs w:val="28"/>
        </w:rPr>
        <w:t>,</w:t>
      </w:r>
      <w:r w:rsidR="00E95171" w:rsidRPr="00E320CE">
        <w:rPr>
          <w:sz w:val="28"/>
          <w:szCs w:val="28"/>
        </w:rPr>
        <w:t xml:space="preserve"> causado por un intento de suicidio </w:t>
      </w:r>
      <w:r w:rsidR="00644AE0" w:rsidRPr="00E320CE">
        <w:rPr>
          <w:sz w:val="28"/>
          <w:szCs w:val="28"/>
        </w:rPr>
        <w:t xml:space="preserve">por la ingesta </w:t>
      </w:r>
      <w:r w:rsidR="00E95171" w:rsidRPr="00E320CE">
        <w:rPr>
          <w:sz w:val="28"/>
          <w:szCs w:val="28"/>
        </w:rPr>
        <w:t>excesiv</w:t>
      </w:r>
      <w:r w:rsidR="00644AE0" w:rsidRPr="00E320CE">
        <w:rPr>
          <w:sz w:val="28"/>
          <w:szCs w:val="28"/>
        </w:rPr>
        <w:t>a</w:t>
      </w:r>
      <w:r w:rsidR="00E95171" w:rsidRPr="00E320CE">
        <w:rPr>
          <w:sz w:val="28"/>
          <w:szCs w:val="28"/>
        </w:rPr>
        <w:t xml:space="preserve"> de medicamentos antiinflamatorios no esteroideos</w:t>
      </w:r>
      <w:r w:rsidR="00606871" w:rsidRPr="00E320CE">
        <w:rPr>
          <w:sz w:val="28"/>
          <w:szCs w:val="28"/>
        </w:rPr>
        <w:t>,</w:t>
      </w:r>
      <w:r w:rsidR="00E95171" w:rsidRPr="00E320CE">
        <w:rPr>
          <w:sz w:val="28"/>
          <w:szCs w:val="28"/>
        </w:rPr>
        <w:t xml:space="preserve"> antidepresivos y bebidas energizantes</w:t>
      </w:r>
      <w:r w:rsidR="00606871" w:rsidRPr="00E320CE">
        <w:rPr>
          <w:sz w:val="28"/>
          <w:szCs w:val="28"/>
        </w:rPr>
        <w:t>. Este</w:t>
      </w:r>
      <w:r w:rsidR="00E95171" w:rsidRPr="00E320CE">
        <w:rPr>
          <w:sz w:val="28"/>
          <w:szCs w:val="28"/>
        </w:rPr>
        <w:t xml:space="preserve"> </w:t>
      </w:r>
      <w:r w:rsidR="002663B8" w:rsidRPr="00E320CE">
        <w:rPr>
          <w:sz w:val="28"/>
          <w:szCs w:val="28"/>
        </w:rPr>
        <w:t>consumo</w:t>
      </w:r>
      <w:r w:rsidR="00606871" w:rsidRPr="00E320CE">
        <w:rPr>
          <w:sz w:val="28"/>
          <w:szCs w:val="28"/>
        </w:rPr>
        <w:t xml:space="preserve"> estuvo</w:t>
      </w:r>
      <w:r w:rsidR="002663B8" w:rsidRPr="00E320CE">
        <w:rPr>
          <w:sz w:val="28"/>
          <w:szCs w:val="28"/>
        </w:rPr>
        <w:t xml:space="preserve"> </w:t>
      </w:r>
      <w:r w:rsidR="00DD6C21" w:rsidRPr="00E320CE">
        <w:rPr>
          <w:sz w:val="28"/>
          <w:szCs w:val="28"/>
        </w:rPr>
        <w:t>motivado por</w:t>
      </w:r>
      <w:r w:rsidR="00E95171" w:rsidRPr="00E320CE">
        <w:rPr>
          <w:sz w:val="28"/>
          <w:szCs w:val="28"/>
        </w:rPr>
        <w:t xml:space="preserve"> las extenuantes jornadas laborales</w:t>
      </w:r>
      <w:r w:rsidR="0061315D" w:rsidRPr="00E320CE">
        <w:rPr>
          <w:sz w:val="28"/>
          <w:szCs w:val="28"/>
        </w:rPr>
        <w:t xml:space="preserve"> y por </w:t>
      </w:r>
      <w:r w:rsidR="00606871" w:rsidRPr="00E320CE">
        <w:rPr>
          <w:sz w:val="28"/>
          <w:szCs w:val="28"/>
        </w:rPr>
        <w:t>factores</w:t>
      </w:r>
      <w:r w:rsidR="0061315D" w:rsidRPr="00E320CE">
        <w:rPr>
          <w:sz w:val="28"/>
          <w:szCs w:val="28"/>
        </w:rPr>
        <w:t xml:space="preserve"> familiares</w:t>
      </w:r>
      <w:r w:rsidR="00E95171" w:rsidRPr="00E320CE">
        <w:rPr>
          <w:rStyle w:val="Refdenotaalpie"/>
          <w:sz w:val="28"/>
          <w:szCs w:val="28"/>
        </w:rPr>
        <w:footnoteReference w:id="173"/>
      </w:r>
      <w:r w:rsidR="00E95171" w:rsidRPr="00E320CE">
        <w:rPr>
          <w:sz w:val="28"/>
          <w:szCs w:val="28"/>
        </w:rPr>
        <w:t xml:space="preserve">. </w:t>
      </w:r>
      <w:r w:rsidR="00A44721" w:rsidRPr="00E320CE">
        <w:rPr>
          <w:sz w:val="28"/>
          <w:szCs w:val="28"/>
        </w:rPr>
        <w:t>Como consecuencia de</w:t>
      </w:r>
      <w:r w:rsidR="00606871" w:rsidRPr="00E320CE">
        <w:rPr>
          <w:sz w:val="28"/>
          <w:szCs w:val="28"/>
        </w:rPr>
        <w:t xml:space="preserve">  este </w:t>
      </w:r>
      <w:r w:rsidR="00A44721" w:rsidRPr="00E320CE">
        <w:rPr>
          <w:sz w:val="28"/>
          <w:szCs w:val="28"/>
        </w:rPr>
        <w:t>episodio,</w:t>
      </w:r>
      <w:r w:rsidR="00872E75" w:rsidRPr="00E320CE">
        <w:rPr>
          <w:sz w:val="28"/>
          <w:szCs w:val="28"/>
        </w:rPr>
        <w:t xml:space="preserve"> </w:t>
      </w:r>
      <w:r w:rsidR="00A44721" w:rsidRPr="00E320CE">
        <w:rPr>
          <w:sz w:val="28"/>
          <w:szCs w:val="28"/>
        </w:rPr>
        <w:t xml:space="preserve">la paciente </w:t>
      </w:r>
      <w:r w:rsidR="00E95171" w:rsidRPr="00E320CE">
        <w:rPr>
          <w:sz w:val="28"/>
          <w:szCs w:val="28"/>
        </w:rPr>
        <w:t>fue diagnosticada con taquicardia</w:t>
      </w:r>
      <w:r w:rsidR="00606871" w:rsidRPr="00E320CE">
        <w:rPr>
          <w:sz w:val="28"/>
          <w:szCs w:val="28"/>
        </w:rPr>
        <w:t xml:space="preserve"> asociada a </w:t>
      </w:r>
      <w:r w:rsidR="00E95171" w:rsidRPr="00E320CE">
        <w:rPr>
          <w:sz w:val="28"/>
          <w:szCs w:val="28"/>
        </w:rPr>
        <w:t xml:space="preserve">un </w:t>
      </w:r>
      <w:proofErr w:type="spellStart"/>
      <w:r w:rsidR="00E95171" w:rsidRPr="00E320CE">
        <w:rPr>
          <w:sz w:val="28"/>
          <w:szCs w:val="28"/>
        </w:rPr>
        <w:t>transtorno</w:t>
      </w:r>
      <w:proofErr w:type="spellEnd"/>
      <w:r w:rsidR="00E95171" w:rsidRPr="00E320CE">
        <w:rPr>
          <w:sz w:val="28"/>
          <w:szCs w:val="28"/>
        </w:rPr>
        <w:t xml:space="preserve"> mixto depresivo, ansiedad </w:t>
      </w:r>
      <w:r w:rsidR="00606871" w:rsidRPr="00E320CE">
        <w:rPr>
          <w:sz w:val="28"/>
          <w:szCs w:val="28"/>
        </w:rPr>
        <w:t xml:space="preserve">e </w:t>
      </w:r>
      <w:r w:rsidR="00E95171" w:rsidRPr="00E320CE">
        <w:rPr>
          <w:sz w:val="28"/>
          <w:szCs w:val="28"/>
        </w:rPr>
        <w:t>insomnio</w:t>
      </w:r>
      <w:r w:rsidR="004B1F1C" w:rsidRPr="00E320CE">
        <w:rPr>
          <w:sz w:val="28"/>
          <w:szCs w:val="28"/>
        </w:rPr>
        <w:t xml:space="preserve"> por estrés laboral</w:t>
      </w:r>
      <w:r w:rsidR="00E95171" w:rsidRPr="00E320CE">
        <w:rPr>
          <w:rStyle w:val="Refdenotaalpie"/>
          <w:sz w:val="28"/>
          <w:szCs w:val="28"/>
        </w:rPr>
        <w:footnoteReference w:id="174"/>
      </w:r>
      <w:r w:rsidR="00E95171" w:rsidRPr="00E320CE">
        <w:rPr>
          <w:sz w:val="28"/>
          <w:szCs w:val="28"/>
        </w:rPr>
        <w:t>.</w:t>
      </w:r>
      <w:r w:rsidR="00CB0509" w:rsidRPr="00E320CE">
        <w:rPr>
          <w:sz w:val="28"/>
          <w:szCs w:val="28"/>
        </w:rPr>
        <w:t xml:space="preserve"> </w:t>
      </w:r>
      <w:r w:rsidR="00E95171" w:rsidRPr="00E320CE">
        <w:rPr>
          <w:sz w:val="28"/>
          <w:szCs w:val="28"/>
        </w:rPr>
        <w:t xml:space="preserve">Por esa razón, </w:t>
      </w:r>
      <w:r w:rsidR="00CB0509" w:rsidRPr="00E320CE">
        <w:rPr>
          <w:sz w:val="28"/>
          <w:szCs w:val="28"/>
        </w:rPr>
        <w:t xml:space="preserve">la médica psiquiatra </w:t>
      </w:r>
      <w:r w:rsidR="00E95171" w:rsidRPr="00E320CE">
        <w:rPr>
          <w:sz w:val="28"/>
          <w:szCs w:val="28"/>
        </w:rPr>
        <w:t xml:space="preserve">le recetó sertralina y le recomendó </w:t>
      </w:r>
      <w:r w:rsidR="00606871" w:rsidRPr="00E320CE">
        <w:rPr>
          <w:sz w:val="28"/>
          <w:szCs w:val="28"/>
        </w:rPr>
        <w:t xml:space="preserve">evitar los </w:t>
      </w:r>
      <w:r w:rsidR="00E95171" w:rsidRPr="00E320CE">
        <w:rPr>
          <w:sz w:val="28"/>
          <w:szCs w:val="28"/>
        </w:rPr>
        <w:t>turnos laborales nocturnos</w:t>
      </w:r>
      <w:r w:rsidR="00E95171" w:rsidRPr="00E320CE">
        <w:rPr>
          <w:rStyle w:val="Refdenotaalpie"/>
          <w:sz w:val="28"/>
          <w:szCs w:val="28"/>
        </w:rPr>
        <w:footnoteReference w:id="175"/>
      </w:r>
      <w:r w:rsidR="00E95171" w:rsidRPr="00E320CE">
        <w:rPr>
          <w:sz w:val="28"/>
          <w:szCs w:val="28"/>
        </w:rPr>
        <w:t>.</w:t>
      </w:r>
    </w:p>
    <w:p w14:paraId="646F146C" w14:textId="77777777" w:rsidR="00CB0509" w:rsidRPr="00E320CE" w:rsidRDefault="00CB0509" w:rsidP="00CB0509">
      <w:pPr>
        <w:pStyle w:val="Prrafodelista"/>
        <w:autoSpaceDE/>
        <w:autoSpaceDN/>
        <w:ind w:left="0" w:right="57"/>
        <w:jc w:val="both"/>
        <w:rPr>
          <w:sz w:val="28"/>
          <w:szCs w:val="28"/>
        </w:rPr>
      </w:pPr>
    </w:p>
    <w:p w14:paraId="29471EAC" w14:textId="7BBEC05D" w:rsidR="00FE066E" w:rsidRPr="00E320CE" w:rsidRDefault="00A44721" w:rsidP="009F39F7">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En la actualidad, </w:t>
      </w:r>
      <w:r w:rsidR="00CB0509" w:rsidRPr="00E320CE">
        <w:rPr>
          <w:rFonts w:eastAsia="SimSun"/>
          <w:sz w:val="28"/>
          <w:szCs w:val="28"/>
          <w:lang w:val="es-MX"/>
        </w:rPr>
        <w:t xml:space="preserve">la accionante </w:t>
      </w:r>
      <w:r w:rsidR="00CB0509" w:rsidRPr="00E320CE">
        <w:rPr>
          <w:sz w:val="28"/>
          <w:szCs w:val="28"/>
        </w:rPr>
        <w:t xml:space="preserve">asiste a controles de ginecología  dos o tres veces a la semana </w:t>
      </w:r>
      <w:r w:rsidR="004775D1" w:rsidRPr="00E320CE">
        <w:rPr>
          <w:sz w:val="28"/>
          <w:szCs w:val="28"/>
        </w:rPr>
        <w:t xml:space="preserve">para </w:t>
      </w:r>
      <w:r w:rsidR="009D5C18" w:rsidRPr="00E320CE">
        <w:rPr>
          <w:sz w:val="28"/>
          <w:szCs w:val="28"/>
        </w:rPr>
        <w:t>que los médicos puedan observar la evolución de su diagnóstico,</w:t>
      </w:r>
      <w:r w:rsidR="00CB0509" w:rsidRPr="00E320CE">
        <w:rPr>
          <w:sz w:val="28"/>
          <w:szCs w:val="28"/>
        </w:rPr>
        <w:t xml:space="preserve"> debido a que </w:t>
      </w:r>
      <w:r w:rsidR="009D5C18" w:rsidRPr="00E320CE">
        <w:rPr>
          <w:sz w:val="28"/>
          <w:szCs w:val="28"/>
        </w:rPr>
        <w:t>ya finalizaron</w:t>
      </w:r>
      <w:r w:rsidR="00CB0509" w:rsidRPr="00E320CE">
        <w:rPr>
          <w:sz w:val="28"/>
          <w:szCs w:val="28"/>
        </w:rPr>
        <w:t xml:space="preserve"> las sesiones de quimioterapia y radioterapia</w:t>
      </w:r>
      <w:r w:rsidR="00CB0509" w:rsidRPr="00E320CE">
        <w:rPr>
          <w:rStyle w:val="Refdenotaalpie"/>
          <w:sz w:val="28"/>
          <w:szCs w:val="28"/>
        </w:rPr>
        <w:footnoteReference w:id="176"/>
      </w:r>
      <w:r w:rsidR="00CB0509" w:rsidRPr="00E320CE">
        <w:rPr>
          <w:sz w:val="28"/>
          <w:szCs w:val="28"/>
        </w:rPr>
        <w:t xml:space="preserve">. Sin embargo, </w:t>
      </w:r>
      <w:r w:rsidR="00E320CE" w:rsidRPr="00E320CE">
        <w:rPr>
          <w:i/>
          <w:iCs/>
          <w:sz w:val="28"/>
          <w:szCs w:val="28"/>
          <w:lang w:val="es-CO"/>
        </w:rPr>
        <w:t>Greta</w:t>
      </w:r>
      <w:r w:rsidR="00E320CE" w:rsidRPr="00E320CE" w:rsidDel="006E6781">
        <w:rPr>
          <w:sz w:val="28"/>
          <w:szCs w:val="28"/>
          <w:lang w:val="es-CO"/>
        </w:rPr>
        <w:t xml:space="preserve"> </w:t>
      </w:r>
      <w:r w:rsidR="00CB0509" w:rsidRPr="00E320CE">
        <w:rPr>
          <w:sz w:val="28"/>
          <w:szCs w:val="28"/>
        </w:rPr>
        <w:t xml:space="preserve">aclaró que </w:t>
      </w:r>
      <w:r w:rsidR="00B4175D" w:rsidRPr="00E320CE">
        <w:rPr>
          <w:sz w:val="28"/>
          <w:szCs w:val="28"/>
        </w:rPr>
        <w:t>“el tumor no ha desaparecido”</w:t>
      </w:r>
      <w:r w:rsidR="00B4175D" w:rsidRPr="00E320CE">
        <w:rPr>
          <w:rStyle w:val="Refdenotaalpie"/>
          <w:sz w:val="28"/>
          <w:szCs w:val="28"/>
        </w:rPr>
        <w:footnoteReference w:id="177"/>
      </w:r>
      <w:r w:rsidR="00B4175D" w:rsidRPr="00E320CE">
        <w:rPr>
          <w:sz w:val="28"/>
          <w:szCs w:val="28"/>
        </w:rPr>
        <w:t xml:space="preserve">. Por otra parte, la demandante acreditó que </w:t>
      </w:r>
      <w:r w:rsidR="0006300E" w:rsidRPr="00E320CE">
        <w:rPr>
          <w:sz w:val="28"/>
          <w:szCs w:val="28"/>
        </w:rPr>
        <w:t>se mantiene su diagnóstico de</w:t>
      </w:r>
      <w:r w:rsidR="00B4175D" w:rsidRPr="00E320CE">
        <w:rPr>
          <w:sz w:val="28"/>
          <w:szCs w:val="28"/>
        </w:rPr>
        <w:t xml:space="preserve"> </w:t>
      </w:r>
      <w:proofErr w:type="spellStart"/>
      <w:r w:rsidR="00B4175D" w:rsidRPr="00E320CE">
        <w:rPr>
          <w:sz w:val="28"/>
          <w:szCs w:val="28"/>
        </w:rPr>
        <w:t>transtorno</w:t>
      </w:r>
      <w:proofErr w:type="spellEnd"/>
      <w:r w:rsidR="00B4175D" w:rsidRPr="00E320CE">
        <w:rPr>
          <w:sz w:val="28"/>
          <w:szCs w:val="28"/>
        </w:rPr>
        <w:t xml:space="preserve"> mixto depresivo, ansiedad </w:t>
      </w:r>
      <w:r w:rsidR="00AB69DA" w:rsidRPr="00E320CE">
        <w:rPr>
          <w:sz w:val="28"/>
          <w:szCs w:val="28"/>
        </w:rPr>
        <w:t>e</w:t>
      </w:r>
      <w:r w:rsidR="00B4175D" w:rsidRPr="00E320CE">
        <w:rPr>
          <w:sz w:val="28"/>
          <w:szCs w:val="28"/>
        </w:rPr>
        <w:t xml:space="preserve"> insomnio, por lo que debe asistir a controles con el médico psiquiatra y </w:t>
      </w:r>
      <w:r w:rsidR="00792061" w:rsidRPr="00E320CE">
        <w:rPr>
          <w:sz w:val="28"/>
          <w:szCs w:val="28"/>
        </w:rPr>
        <w:t xml:space="preserve">debe tomar los medicamentos </w:t>
      </w:r>
      <w:r w:rsidR="00B4175D" w:rsidRPr="00E320CE">
        <w:rPr>
          <w:sz w:val="28"/>
          <w:szCs w:val="28"/>
        </w:rPr>
        <w:t xml:space="preserve">fluoxetina y </w:t>
      </w:r>
      <w:proofErr w:type="spellStart"/>
      <w:r w:rsidR="00B4175D" w:rsidRPr="00E320CE">
        <w:rPr>
          <w:sz w:val="28"/>
          <w:szCs w:val="28"/>
        </w:rPr>
        <w:t>duloxetina</w:t>
      </w:r>
      <w:proofErr w:type="spellEnd"/>
      <w:r w:rsidR="00792061" w:rsidRPr="00E320CE">
        <w:rPr>
          <w:sz w:val="28"/>
          <w:szCs w:val="28"/>
        </w:rPr>
        <w:t xml:space="preserve"> recetados por el médico tratante</w:t>
      </w:r>
      <w:r w:rsidR="00B4175D" w:rsidRPr="00E320CE">
        <w:rPr>
          <w:rStyle w:val="Refdenotaalpie"/>
          <w:sz w:val="28"/>
          <w:szCs w:val="28"/>
        </w:rPr>
        <w:footnoteReference w:id="178"/>
      </w:r>
      <w:r w:rsidR="00B4175D" w:rsidRPr="00E320CE">
        <w:rPr>
          <w:sz w:val="28"/>
          <w:szCs w:val="28"/>
        </w:rPr>
        <w:t>. Todas estas situaciones llevaron a que la EPS Salud Total emitiera, el 2 de diciembre de 2024, pronóstico y concepto de rehabilitación desfavorable en el caso de la actora</w:t>
      </w:r>
      <w:r w:rsidR="00B4175D" w:rsidRPr="00E320CE">
        <w:rPr>
          <w:rStyle w:val="Refdenotaalpie"/>
          <w:sz w:val="28"/>
          <w:szCs w:val="28"/>
        </w:rPr>
        <w:footnoteReference w:id="179"/>
      </w:r>
      <w:r w:rsidR="00B4175D" w:rsidRPr="00E320CE">
        <w:rPr>
          <w:sz w:val="28"/>
          <w:szCs w:val="28"/>
        </w:rPr>
        <w:t>. Es importante recordar que, de acuerdo con el Decreto Ley 019 de 2013, las EPS “deberán emitir dicho concepto antes de cumplirse el día ciento veinte (120) de incapacidad temporal y enviarlo antes de cumplirse el día ciento cincuenta (150)”</w:t>
      </w:r>
      <w:r w:rsidR="00B4175D" w:rsidRPr="00E320CE">
        <w:rPr>
          <w:rStyle w:val="Refdenotaalpie"/>
          <w:sz w:val="28"/>
          <w:szCs w:val="28"/>
        </w:rPr>
        <w:footnoteReference w:id="180"/>
      </w:r>
      <w:r w:rsidR="00B4175D" w:rsidRPr="00E320CE">
        <w:rPr>
          <w:sz w:val="28"/>
          <w:szCs w:val="28"/>
        </w:rPr>
        <w:t>.</w:t>
      </w:r>
    </w:p>
    <w:p w14:paraId="77D954D0" w14:textId="77777777" w:rsidR="00AB571B" w:rsidRPr="00E320CE" w:rsidRDefault="00AB571B" w:rsidP="00AB571B">
      <w:pPr>
        <w:pStyle w:val="Prrafodelista"/>
        <w:rPr>
          <w:rFonts w:eastAsia="SimSun"/>
          <w:sz w:val="28"/>
          <w:szCs w:val="28"/>
          <w:lang w:val="es-MX"/>
        </w:rPr>
      </w:pPr>
    </w:p>
    <w:p w14:paraId="20B917F8" w14:textId="315ECA03" w:rsidR="00AB571B" w:rsidRPr="00E320CE" w:rsidRDefault="00AB571B" w:rsidP="000569EA">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Debido a esta situación, es razonable concluir que la demandante tuvo y tiene dificultades para desempeñar sus funciones como </w:t>
      </w:r>
      <w:r w:rsidR="00866054" w:rsidRPr="00E320CE">
        <w:rPr>
          <w:rFonts w:eastAsia="SimSun"/>
          <w:sz w:val="28"/>
          <w:szCs w:val="28"/>
          <w:lang w:val="es-MX"/>
        </w:rPr>
        <w:t>auxiliar de enfermería. Específicamente, la accionante tiene una afectación psicológica que le impide significativamente su normal desempeño laboral</w:t>
      </w:r>
      <w:r w:rsidR="00872E75" w:rsidRPr="00E320CE">
        <w:rPr>
          <w:rFonts w:eastAsia="SimSun"/>
          <w:sz w:val="28"/>
          <w:szCs w:val="28"/>
          <w:lang w:val="es-MX"/>
        </w:rPr>
        <w:t xml:space="preserve">. Esta, en primer lugar, </w:t>
      </w:r>
      <w:r w:rsidR="00785191" w:rsidRPr="00E320CE">
        <w:rPr>
          <w:rFonts w:eastAsia="SimSun"/>
          <w:sz w:val="28"/>
          <w:szCs w:val="28"/>
          <w:lang w:val="es-MX"/>
        </w:rPr>
        <w:t>estuvo asociada a</w:t>
      </w:r>
      <w:r w:rsidR="00872E75" w:rsidRPr="00E320CE">
        <w:rPr>
          <w:rFonts w:eastAsia="SimSun"/>
          <w:sz w:val="28"/>
          <w:szCs w:val="28"/>
          <w:lang w:val="es-MX"/>
        </w:rPr>
        <w:t xml:space="preserve">l estrés laboral, pues las </w:t>
      </w:r>
      <w:r w:rsidR="00872E75" w:rsidRPr="00E320CE">
        <w:rPr>
          <w:sz w:val="28"/>
          <w:szCs w:val="28"/>
        </w:rPr>
        <w:t>extenuantes jornadas laborales llevaron</w:t>
      </w:r>
      <w:r w:rsidR="0024499B" w:rsidRPr="00E320CE">
        <w:rPr>
          <w:sz w:val="28"/>
          <w:szCs w:val="28"/>
        </w:rPr>
        <w:t>, en parte,</w:t>
      </w:r>
      <w:r w:rsidR="00872E75" w:rsidRPr="00E320CE">
        <w:rPr>
          <w:sz w:val="28"/>
          <w:szCs w:val="28"/>
        </w:rPr>
        <w:t xml:space="preserve"> a que la actora intentara cometer un suicidio, lo que le causó un</w:t>
      </w:r>
      <w:r w:rsidR="00872E75" w:rsidRPr="00E320CE">
        <w:rPr>
          <w:rFonts w:eastAsia="SimSun"/>
          <w:sz w:val="28"/>
          <w:szCs w:val="28"/>
        </w:rPr>
        <w:t xml:space="preserve"> </w:t>
      </w:r>
      <w:r w:rsidR="00872E75" w:rsidRPr="00E320CE">
        <w:rPr>
          <w:sz w:val="28"/>
          <w:szCs w:val="28"/>
        </w:rPr>
        <w:t xml:space="preserve">infarto agudo </w:t>
      </w:r>
      <w:proofErr w:type="spellStart"/>
      <w:r w:rsidR="00872E75" w:rsidRPr="00E320CE">
        <w:rPr>
          <w:sz w:val="28"/>
          <w:szCs w:val="28"/>
        </w:rPr>
        <w:t>del</w:t>
      </w:r>
      <w:proofErr w:type="spellEnd"/>
      <w:r w:rsidR="00872E75" w:rsidRPr="00E320CE">
        <w:rPr>
          <w:sz w:val="28"/>
          <w:szCs w:val="28"/>
        </w:rPr>
        <w:t xml:space="preserve"> miocardio secundario y </w:t>
      </w:r>
      <w:r w:rsidR="002B5FEA" w:rsidRPr="00E320CE">
        <w:rPr>
          <w:sz w:val="28"/>
          <w:szCs w:val="28"/>
        </w:rPr>
        <w:t xml:space="preserve">un </w:t>
      </w:r>
      <w:r w:rsidR="00872E75" w:rsidRPr="00E320CE">
        <w:rPr>
          <w:sz w:val="28"/>
          <w:szCs w:val="28"/>
        </w:rPr>
        <w:t>trastorno mixto de depresión y ansiedad.</w:t>
      </w:r>
      <w:r w:rsidR="000569EA" w:rsidRPr="00E320CE">
        <w:rPr>
          <w:rFonts w:eastAsia="SimSun"/>
          <w:sz w:val="28"/>
          <w:szCs w:val="28"/>
          <w:lang w:val="es-MX"/>
        </w:rPr>
        <w:t xml:space="preserve"> </w:t>
      </w:r>
      <w:r w:rsidR="00872E75" w:rsidRPr="00E320CE">
        <w:rPr>
          <w:sz w:val="28"/>
          <w:szCs w:val="28"/>
        </w:rPr>
        <w:t>En segundo lugar, el 31 de julio de 2024 (fecha de terminación del contrato), la accionante continuaba bajo tratamiento del médico psiquiatra, quien le orden</w:t>
      </w:r>
      <w:r w:rsidR="000E011D" w:rsidRPr="00E320CE">
        <w:rPr>
          <w:sz w:val="28"/>
          <w:szCs w:val="28"/>
        </w:rPr>
        <w:t>ó</w:t>
      </w:r>
      <w:r w:rsidR="00872E75" w:rsidRPr="00E320CE">
        <w:rPr>
          <w:sz w:val="28"/>
          <w:szCs w:val="28"/>
        </w:rPr>
        <w:t xml:space="preserve"> controles cada dos meses y le </w:t>
      </w:r>
      <w:r w:rsidR="000E011D" w:rsidRPr="00E320CE">
        <w:rPr>
          <w:sz w:val="28"/>
          <w:szCs w:val="28"/>
        </w:rPr>
        <w:t>recetó</w:t>
      </w:r>
      <w:r w:rsidR="00872E75" w:rsidRPr="00E320CE">
        <w:rPr>
          <w:sz w:val="28"/>
          <w:szCs w:val="28"/>
        </w:rPr>
        <w:t xml:space="preserve"> fluoxetina y </w:t>
      </w:r>
      <w:proofErr w:type="spellStart"/>
      <w:r w:rsidR="00872E75" w:rsidRPr="00E320CE">
        <w:rPr>
          <w:sz w:val="28"/>
          <w:szCs w:val="28"/>
        </w:rPr>
        <w:t>duloxetina</w:t>
      </w:r>
      <w:proofErr w:type="spellEnd"/>
      <w:r w:rsidR="00872E75" w:rsidRPr="00E320CE">
        <w:rPr>
          <w:sz w:val="28"/>
          <w:szCs w:val="28"/>
        </w:rPr>
        <w:t xml:space="preserve">. En esa misma época, a </w:t>
      </w:r>
      <w:r w:rsidR="00E320CE" w:rsidRPr="00E320CE">
        <w:rPr>
          <w:i/>
          <w:iCs/>
          <w:sz w:val="28"/>
          <w:szCs w:val="28"/>
          <w:lang w:val="es-CO"/>
        </w:rPr>
        <w:t>Greta</w:t>
      </w:r>
      <w:r w:rsidR="00E320CE" w:rsidRPr="00E320CE" w:rsidDel="006E6781">
        <w:rPr>
          <w:sz w:val="28"/>
          <w:szCs w:val="28"/>
          <w:lang w:val="es-CO"/>
        </w:rPr>
        <w:t xml:space="preserve"> </w:t>
      </w:r>
      <w:r w:rsidR="00872E75" w:rsidRPr="00E320CE">
        <w:rPr>
          <w:sz w:val="28"/>
          <w:szCs w:val="28"/>
        </w:rPr>
        <w:t>ya le habían recomendado no realizar turnos laborales nocturnos y le habían emitido incapacidades continuas, razón por la que</w:t>
      </w:r>
      <w:r w:rsidR="000647DF" w:rsidRPr="00E320CE">
        <w:rPr>
          <w:sz w:val="28"/>
          <w:szCs w:val="28"/>
        </w:rPr>
        <w:t xml:space="preserve"> en diciembre de 2024</w:t>
      </w:r>
      <w:r w:rsidR="00872E75" w:rsidRPr="00E320CE">
        <w:rPr>
          <w:sz w:val="28"/>
          <w:szCs w:val="28"/>
        </w:rPr>
        <w:t xml:space="preserve"> la EPS Salud Total se vio en la obligación de emitir un concepto de rehabilitación desfavorable en el caso de la actora</w:t>
      </w:r>
      <w:r w:rsidR="002D4ED9" w:rsidRPr="00E320CE">
        <w:rPr>
          <w:sz w:val="28"/>
          <w:szCs w:val="28"/>
        </w:rPr>
        <w:t xml:space="preserve">, es </w:t>
      </w:r>
      <w:proofErr w:type="spellStart"/>
      <w:proofErr w:type="gramStart"/>
      <w:r w:rsidR="002D4ED9" w:rsidRPr="00E320CE">
        <w:rPr>
          <w:sz w:val="28"/>
          <w:szCs w:val="28"/>
        </w:rPr>
        <w:t>decir,</w:t>
      </w:r>
      <w:r w:rsidR="00872E75" w:rsidRPr="00E320CE">
        <w:rPr>
          <w:sz w:val="28"/>
          <w:szCs w:val="28"/>
        </w:rPr>
        <w:t>antes</w:t>
      </w:r>
      <w:proofErr w:type="spellEnd"/>
      <w:proofErr w:type="gramEnd"/>
      <w:r w:rsidR="00872E75" w:rsidRPr="00E320CE">
        <w:rPr>
          <w:sz w:val="28"/>
          <w:szCs w:val="28"/>
        </w:rPr>
        <w:t xml:space="preserve"> de que se cumplieran los 120 días de incapacidad</w:t>
      </w:r>
      <w:r w:rsidR="002D4ED9" w:rsidRPr="00E320CE">
        <w:rPr>
          <w:sz w:val="28"/>
          <w:szCs w:val="28"/>
        </w:rPr>
        <w:t xml:space="preserve"> ininterrumpida</w:t>
      </w:r>
      <w:r w:rsidR="00872E75" w:rsidRPr="00E320CE">
        <w:rPr>
          <w:sz w:val="28"/>
          <w:szCs w:val="28"/>
        </w:rPr>
        <w:t>.</w:t>
      </w:r>
    </w:p>
    <w:p w14:paraId="082BA41F" w14:textId="77777777" w:rsidR="000647DF" w:rsidRPr="00E320CE" w:rsidRDefault="000647DF" w:rsidP="000647DF">
      <w:pPr>
        <w:pStyle w:val="Prrafodelista"/>
        <w:autoSpaceDE/>
        <w:autoSpaceDN/>
        <w:ind w:left="0"/>
        <w:contextualSpacing w:val="0"/>
        <w:jc w:val="both"/>
        <w:rPr>
          <w:rFonts w:eastAsia="SimSun"/>
          <w:sz w:val="28"/>
          <w:szCs w:val="28"/>
          <w:lang w:val="es-MX"/>
        </w:rPr>
      </w:pPr>
    </w:p>
    <w:p w14:paraId="47632B26" w14:textId="5D59180D" w:rsidR="000647DF" w:rsidRPr="00E320CE" w:rsidRDefault="000647DF" w:rsidP="00872E7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En relación con el cáncer de cuello uterino, la Corte </w:t>
      </w:r>
      <w:r w:rsidR="002D4ED9" w:rsidRPr="00E320CE">
        <w:rPr>
          <w:rFonts w:eastAsia="SimSun"/>
          <w:sz w:val="28"/>
          <w:szCs w:val="28"/>
          <w:lang w:val="es-MX"/>
        </w:rPr>
        <w:t xml:space="preserve">debe advertir que </w:t>
      </w:r>
      <w:r w:rsidRPr="00E320CE">
        <w:rPr>
          <w:rFonts w:eastAsia="SimSun"/>
          <w:sz w:val="28"/>
          <w:szCs w:val="28"/>
          <w:lang w:val="es-MX"/>
        </w:rPr>
        <w:t xml:space="preserve">no se trata </w:t>
      </w:r>
      <w:r w:rsidRPr="00E320CE">
        <w:rPr>
          <w:sz w:val="28"/>
          <w:szCs w:val="28"/>
          <w:lang w:val="es-ES_tradnl" w:eastAsia="es-MX"/>
        </w:rPr>
        <w:t xml:space="preserve">de una condición de salud que impida significativamente el normal desempeño laboral. Esto se debe a que la accionante únicamente demostró que </w:t>
      </w:r>
      <w:r w:rsidRPr="00E320CE">
        <w:rPr>
          <w:sz w:val="28"/>
          <w:szCs w:val="28"/>
          <w:lang w:val="es-ES_tradnl" w:eastAsia="es-MX"/>
        </w:rPr>
        <w:lastRenderedPageBreak/>
        <w:t xml:space="preserve">debe asistir a controles con ginecología dos </w:t>
      </w:r>
      <w:r w:rsidR="002D4ED9" w:rsidRPr="00E320CE">
        <w:rPr>
          <w:sz w:val="28"/>
          <w:szCs w:val="28"/>
          <w:lang w:val="es-ES_tradnl" w:eastAsia="es-MX"/>
        </w:rPr>
        <w:t>o</w:t>
      </w:r>
      <w:r w:rsidRPr="00E320CE">
        <w:rPr>
          <w:sz w:val="28"/>
          <w:szCs w:val="28"/>
          <w:lang w:val="es-ES_tradnl" w:eastAsia="es-MX"/>
        </w:rPr>
        <w:t xml:space="preserve"> tres veces por semana, pero no un tratamiento médico en sentido estricto. Específicamente, se acreditó que la demandante finalizó su tratamiento de quimioterapia y radioterapia en el 2019.</w:t>
      </w:r>
    </w:p>
    <w:p w14:paraId="3F2CED5B" w14:textId="77777777" w:rsidR="000647DF" w:rsidRPr="00E320CE" w:rsidRDefault="000647DF" w:rsidP="000647DF">
      <w:pPr>
        <w:pStyle w:val="Prrafodelista"/>
        <w:rPr>
          <w:rFonts w:eastAsia="SimSun"/>
          <w:sz w:val="28"/>
          <w:szCs w:val="28"/>
          <w:lang w:val="es-MX"/>
        </w:rPr>
      </w:pPr>
    </w:p>
    <w:p w14:paraId="1969BD5D" w14:textId="71C9CE14" w:rsidR="00E2775F" w:rsidRPr="00E320CE" w:rsidRDefault="000569EA" w:rsidP="00872E7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 Por otro lado</w:t>
      </w:r>
      <w:r w:rsidR="000647DF" w:rsidRPr="00E320CE">
        <w:rPr>
          <w:rFonts w:eastAsia="SimSun"/>
          <w:sz w:val="28"/>
          <w:szCs w:val="28"/>
          <w:lang w:val="es-MX"/>
        </w:rPr>
        <w:t xml:space="preserve">, la Corte </w:t>
      </w:r>
      <w:r w:rsidR="00B225AE" w:rsidRPr="00E320CE">
        <w:rPr>
          <w:rFonts w:eastAsia="SimSun"/>
          <w:sz w:val="28"/>
          <w:szCs w:val="28"/>
          <w:lang w:val="es-MX"/>
        </w:rPr>
        <w:t>considera</w:t>
      </w:r>
      <w:r w:rsidR="000647DF" w:rsidRPr="00E320CE">
        <w:rPr>
          <w:rFonts w:eastAsia="SimSun"/>
          <w:sz w:val="28"/>
          <w:szCs w:val="28"/>
          <w:lang w:val="es-MX"/>
        </w:rPr>
        <w:t xml:space="preserve"> que la Unión Temporal Salud Integral PPL sí </w:t>
      </w:r>
      <w:r w:rsidRPr="00E320CE">
        <w:rPr>
          <w:rFonts w:eastAsia="SimSun"/>
          <w:sz w:val="28"/>
          <w:szCs w:val="28"/>
          <w:lang w:val="es-MX"/>
        </w:rPr>
        <w:t xml:space="preserve">tenía conocimiento </w:t>
      </w:r>
      <w:r w:rsidR="000647DF" w:rsidRPr="00E320CE">
        <w:rPr>
          <w:rFonts w:eastAsia="SimSun"/>
          <w:sz w:val="28"/>
          <w:szCs w:val="28"/>
          <w:lang w:val="es-MX"/>
        </w:rPr>
        <w:t>de la condición de salud de</w:t>
      </w:r>
      <w:r w:rsidRPr="00E320CE">
        <w:rPr>
          <w:rFonts w:eastAsia="SimSun"/>
          <w:sz w:val="28"/>
          <w:szCs w:val="28"/>
          <w:lang w:val="es-MX"/>
        </w:rPr>
        <w:t xml:space="preserve"> la accionante antes de la terminación de la vinculación</w:t>
      </w:r>
      <w:r w:rsidR="000647DF" w:rsidRPr="00E320CE">
        <w:rPr>
          <w:rFonts w:eastAsia="SimSun"/>
          <w:sz w:val="28"/>
          <w:szCs w:val="28"/>
          <w:lang w:val="es-MX"/>
        </w:rPr>
        <w:t xml:space="preserve">. Esto se debe a que, en la acción de tutela interpuesta en el año 2022 en contra de la unión temporal, </w:t>
      </w:r>
      <w:r w:rsidR="00E320CE" w:rsidRPr="00E320CE">
        <w:rPr>
          <w:i/>
          <w:iCs/>
          <w:sz w:val="28"/>
          <w:szCs w:val="28"/>
          <w:lang w:val="es-CO"/>
        </w:rPr>
        <w:t>Greta</w:t>
      </w:r>
      <w:r w:rsidR="00E320CE" w:rsidRPr="00E320CE" w:rsidDel="006E6781">
        <w:rPr>
          <w:sz w:val="28"/>
          <w:szCs w:val="28"/>
          <w:lang w:val="es-CO"/>
        </w:rPr>
        <w:t xml:space="preserve"> </w:t>
      </w:r>
      <w:r w:rsidR="000647DF" w:rsidRPr="00E320CE">
        <w:rPr>
          <w:rFonts w:eastAsia="SimSun"/>
          <w:sz w:val="28"/>
          <w:szCs w:val="28"/>
          <w:lang w:val="es-MX"/>
        </w:rPr>
        <w:t xml:space="preserve">mencionó </w:t>
      </w:r>
      <w:r w:rsidRPr="00E320CE">
        <w:rPr>
          <w:rFonts w:eastAsia="SimSun"/>
          <w:sz w:val="28"/>
          <w:szCs w:val="28"/>
          <w:lang w:val="es-MX"/>
        </w:rPr>
        <w:t xml:space="preserve">expresamente </w:t>
      </w:r>
      <w:r w:rsidR="000647DF" w:rsidRPr="00E320CE">
        <w:rPr>
          <w:rFonts w:eastAsia="SimSun"/>
          <w:sz w:val="28"/>
          <w:szCs w:val="28"/>
          <w:lang w:val="es-MX"/>
        </w:rPr>
        <w:t xml:space="preserve">que ese año sufrió un infarto, por el </w:t>
      </w:r>
      <w:r w:rsidRPr="00E320CE">
        <w:rPr>
          <w:rFonts w:eastAsia="SimSun"/>
          <w:sz w:val="28"/>
          <w:szCs w:val="28"/>
          <w:lang w:val="es-MX"/>
        </w:rPr>
        <w:t xml:space="preserve">cual estuvo </w:t>
      </w:r>
      <w:r w:rsidR="000647DF" w:rsidRPr="00E320CE">
        <w:rPr>
          <w:rFonts w:eastAsia="SimSun"/>
          <w:sz w:val="28"/>
          <w:szCs w:val="28"/>
          <w:lang w:val="es-MX"/>
        </w:rPr>
        <w:t xml:space="preserve">hospitalizada 15 días, y </w:t>
      </w:r>
      <w:r w:rsidR="00B82E0C" w:rsidRPr="00E320CE">
        <w:rPr>
          <w:rFonts w:eastAsia="SimSun"/>
          <w:sz w:val="28"/>
          <w:szCs w:val="28"/>
          <w:lang w:val="es-MX"/>
        </w:rPr>
        <w:t>que</w:t>
      </w:r>
      <w:r w:rsidRPr="00E320CE">
        <w:rPr>
          <w:rFonts w:eastAsia="SimSun"/>
          <w:sz w:val="28"/>
          <w:szCs w:val="28"/>
          <w:lang w:val="es-MX"/>
        </w:rPr>
        <w:t>,</w:t>
      </w:r>
      <w:r w:rsidR="00B82E0C" w:rsidRPr="00E320CE">
        <w:rPr>
          <w:rFonts w:eastAsia="SimSun"/>
          <w:sz w:val="28"/>
          <w:szCs w:val="28"/>
          <w:lang w:val="es-MX"/>
        </w:rPr>
        <w:t xml:space="preserve"> </w:t>
      </w:r>
      <w:r w:rsidR="000647DF" w:rsidRPr="00E320CE">
        <w:rPr>
          <w:rFonts w:eastAsia="SimSun"/>
          <w:sz w:val="28"/>
          <w:szCs w:val="28"/>
          <w:lang w:val="es-MX"/>
        </w:rPr>
        <w:t xml:space="preserve">a raíz </w:t>
      </w:r>
      <w:r w:rsidR="00B225AE" w:rsidRPr="00E320CE">
        <w:rPr>
          <w:rFonts w:eastAsia="SimSun"/>
          <w:sz w:val="28"/>
          <w:szCs w:val="28"/>
          <w:lang w:val="es-MX"/>
        </w:rPr>
        <w:t>de e</w:t>
      </w:r>
      <w:r w:rsidRPr="00E320CE">
        <w:rPr>
          <w:rFonts w:eastAsia="SimSun"/>
          <w:sz w:val="28"/>
          <w:szCs w:val="28"/>
          <w:lang w:val="es-MX"/>
        </w:rPr>
        <w:t>llo,</w:t>
      </w:r>
      <w:r w:rsidR="000647DF" w:rsidRPr="00E320CE">
        <w:rPr>
          <w:rFonts w:eastAsia="SimSun"/>
          <w:sz w:val="28"/>
          <w:szCs w:val="28"/>
          <w:lang w:val="es-MX"/>
        </w:rPr>
        <w:t xml:space="preserve"> </w:t>
      </w:r>
      <w:r w:rsidR="00B225AE" w:rsidRPr="00E320CE">
        <w:rPr>
          <w:rFonts w:eastAsia="SimSun"/>
          <w:sz w:val="28"/>
          <w:szCs w:val="28"/>
          <w:lang w:val="es-MX"/>
        </w:rPr>
        <w:t>fue diagnosticada con</w:t>
      </w:r>
      <w:r w:rsidR="000647DF" w:rsidRPr="00E320CE">
        <w:rPr>
          <w:rFonts w:eastAsia="SimSun"/>
          <w:sz w:val="28"/>
          <w:szCs w:val="28"/>
          <w:lang w:val="es-MX"/>
        </w:rPr>
        <w:t xml:space="preserve"> un trastorno depresivo</w:t>
      </w:r>
      <w:r w:rsidR="000647DF" w:rsidRPr="00E320CE">
        <w:rPr>
          <w:rStyle w:val="Refdenotaalpie"/>
          <w:rFonts w:eastAsia="SimSun"/>
          <w:sz w:val="28"/>
          <w:szCs w:val="28"/>
          <w:lang w:val="es-MX"/>
        </w:rPr>
        <w:footnoteReference w:id="181"/>
      </w:r>
      <w:r w:rsidR="00B54878" w:rsidRPr="00E320CE">
        <w:rPr>
          <w:rFonts w:eastAsia="SimSun"/>
          <w:sz w:val="28"/>
          <w:szCs w:val="28"/>
          <w:lang w:val="es-MX"/>
        </w:rPr>
        <w:t xml:space="preserve">, como </w:t>
      </w:r>
      <w:r w:rsidRPr="00E320CE">
        <w:rPr>
          <w:rFonts w:eastAsia="SimSun"/>
          <w:sz w:val="28"/>
          <w:szCs w:val="28"/>
          <w:lang w:val="es-MX"/>
        </w:rPr>
        <w:t xml:space="preserve">consta </w:t>
      </w:r>
      <w:r w:rsidR="00B54878" w:rsidRPr="00E320CE">
        <w:rPr>
          <w:rFonts w:eastAsia="SimSun"/>
          <w:sz w:val="28"/>
          <w:szCs w:val="28"/>
          <w:lang w:val="es-MX"/>
        </w:rPr>
        <w:t>en la historia clínica incorporada en el expediente</w:t>
      </w:r>
      <w:r w:rsidR="00B225AE" w:rsidRPr="00E320CE">
        <w:rPr>
          <w:rStyle w:val="Refdenotaalpie"/>
          <w:rFonts w:eastAsia="SimSun"/>
          <w:sz w:val="28"/>
          <w:szCs w:val="28"/>
          <w:lang w:val="es-MX"/>
        </w:rPr>
        <w:footnoteReference w:id="182"/>
      </w:r>
      <w:r w:rsidR="00B225AE" w:rsidRPr="00E320CE">
        <w:rPr>
          <w:rFonts w:eastAsia="SimSun"/>
          <w:sz w:val="28"/>
          <w:szCs w:val="28"/>
          <w:lang w:val="es-MX"/>
        </w:rPr>
        <w:t xml:space="preserve">. </w:t>
      </w:r>
      <w:r w:rsidRPr="00E320CE">
        <w:rPr>
          <w:rFonts w:eastAsia="SimSun"/>
          <w:sz w:val="28"/>
          <w:szCs w:val="28"/>
          <w:lang w:val="es-MX"/>
        </w:rPr>
        <w:t xml:space="preserve">Por su parte, </w:t>
      </w:r>
      <w:r w:rsidR="00B225AE" w:rsidRPr="00E320CE">
        <w:rPr>
          <w:rFonts w:eastAsia="SimSun"/>
          <w:sz w:val="28"/>
          <w:szCs w:val="28"/>
          <w:lang w:val="es-MX"/>
        </w:rPr>
        <w:t xml:space="preserve">Salud Integral PPL </w:t>
      </w:r>
      <w:r w:rsidRPr="00E320CE">
        <w:rPr>
          <w:rFonts w:eastAsia="SimSun"/>
          <w:sz w:val="28"/>
          <w:szCs w:val="28"/>
          <w:lang w:val="es-MX"/>
        </w:rPr>
        <w:t xml:space="preserve">argumento </w:t>
      </w:r>
      <w:r w:rsidR="00B225AE" w:rsidRPr="00E320CE">
        <w:rPr>
          <w:rFonts w:eastAsia="SimSun"/>
          <w:sz w:val="28"/>
          <w:szCs w:val="28"/>
          <w:lang w:val="es-MX"/>
        </w:rPr>
        <w:t>que solo</w:t>
      </w:r>
      <w:r w:rsidRPr="00E320CE">
        <w:rPr>
          <w:rFonts w:eastAsia="SimSun"/>
          <w:sz w:val="28"/>
          <w:szCs w:val="28"/>
          <w:lang w:val="es-MX"/>
        </w:rPr>
        <w:t xml:space="preserve"> tuvo conocimiento </w:t>
      </w:r>
      <w:r w:rsidR="00B225AE" w:rsidRPr="00E320CE">
        <w:rPr>
          <w:rFonts w:eastAsia="SimSun"/>
          <w:sz w:val="28"/>
          <w:szCs w:val="28"/>
          <w:lang w:val="es-MX"/>
        </w:rPr>
        <w:t>de las afectaciones de salud de la accionante a raíz del proceso de tutela</w:t>
      </w:r>
      <w:r w:rsidR="00EE532A" w:rsidRPr="00E320CE">
        <w:rPr>
          <w:rFonts w:eastAsia="SimSun"/>
          <w:sz w:val="28"/>
          <w:szCs w:val="28"/>
          <w:lang w:val="es-MX"/>
        </w:rPr>
        <w:t xml:space="preserve"> que </w:t>
      </w:r>
      <w:r w:rsidRPr="00E320CE">
        <w:rPr>
          <w:rFonts w:eastAsia="SimSun"/>
          <w:sz w:val="28"/>
          <w:szCs w:val="28"/>
          <w:lang w:val="es-MX"/>
        </w:rPr>
        <w:t xml:space="preserve">culminó </w:t>
      </w:r>
      <w:r w:rsidR="00EE532A" w:rsidRPr="00E320CE">
        <w:rPr>
          <w:rFonts w:eastAsia="SimSun"/>
          <w:sz w:val="28"/>
          <w:szCs w:val="28"/>
          <w:lang w:val="es-MX"/>
        </w:rPr>
        <w:t xml:space="preserve">con </w:t>
      </w:r>
      <w:r w:rsidR="00B65166" w:rsidRPr="00E320CE">
        <w:rPr>
          <w:rFonts w:eastAsia="SimSun"/>
          <w:sz w:val="28"/>
          <w:szCs w:val="28"/>
          <w:lang w:val="es-MX"/>
        </w:rPr>
        <w:t>la</w:t>
      </w:r>
      <w:r w:rsidR="00046310" w:rsidRPr="00E320CE">
        <w:rPr>
          <w:rFonts w:eastAsia="SimSun"/>
          <w:sz w:val="28"/>
          <w:szCs w:val="28"/>
          <w:lang w:val="es-MX"/>
        </w:rPr>
        <w:t xml:space="preserve"> </w:t>
      </w:r>
      <w:r w:rsidR="00B225AE" w:rsidRPr="00E320CE">
        <w:rPr>
          <w:sz w:val="28"/>
          <w:szCs w:val="28"/>
        </w:rPr>
        <w:t xml:space="preserve">sentencia </w:t>
      </w:r>
      <w:proofErr w:type="spellStart"/>
      <w:r w:rsidR="00EE532A" w:rsidRPr="00E320CE">
        <w:rPr>
          <w:sz w:val="28"/>
          <w:szCs w:val="28"/>
        </w:rPr>
        <w:t>poferida</w:t>
      </w:r>
      <w:proofErr w:type="spellEnd"/>
      <w:r w:rsidR="00EE532A" w:rsidRPr="00E320CE">
        <w:rPr>
          <w:sz w:val="28"/>
          <w:szCs w:val="28"/>
        </w:rPr>
        <w:t xml:space="preserve"> </w:t>
      </w:r>
      <w:r w:rsidR="00B225AE" w:rsidRPr="00E320CE">
        <w:rPr>
          <w:sz w:val="28"/>
          <w:szCs w:val="28"/>
        </w:rPr>
        <w:t>el 22 de agosto de 2022</w:t>
      </w:r>
      <w:r w:rsidR="00EE532A" w:rsidRPr="00E320CE">
        <w:rPr>
          <w:sz w:val="28"/>
          <w:szCs w:val="28"/>
        </w:rPr>
        <w:t xml:space="preserve"> por</w:t>
      </w:r>
      <w:r w:rsidR="00B225AE" w:rsidRPr="00E320CE">
        <w:rPr>
          <w:sz w:val="28"/>
          <w:szCs w:val="28"/>
        </w:rPr>
        <w:t xml:space="preserve"> el Juzgado 11 Civil Municipal de Cartagena</w:t>
      </w:r>
      <w:r w:rsidRPr="00E320CE">
        <w:rPr>
          <w:sz w:val="28"/>
          <w:szCs w:val="28"/>
        </w:rPr>
        <w:t>.</w:t>
      </w:r>
      <w:r w:rsidR="00B65166" w:rsidRPr="00E320CE">
        <w:rPr>
          <w:sz w:val="28"/>
          <w:szCs w:val="28"/>
        </w:rPr>
        <w:t xml:space="preserve"> </w:t>
      </w:r>
      <w:r w:rsidRPr="00E320CE">
        <w:rPr>
          <w:sz w:val="28"/>
          <w:szCs w:val="28"/>
        </w:rPr>
        <w:t xml:space="preserve">No obstante, en dicha sentencia se </w:t>
      </w:r>
      <w:r w:rsidR="00B225AE" w:rsidRPr="00E320CE">
        <w:rPr>
          <w:sz w:val="28"/>
          <w:szCs w:val="28"/>
        </w:rPr>
        <w:t>amparó transitoriamente el derecho a la estabilidad</w:t>
      </w:r>
      <w:r w:rsidRPr="00E320CE">
        <w:rPr>
          <w:sz w:val="28"/>
          <w:szCs w:val="28"/>
        </w:rPr>
        <w:t xml:space="preserve"> laboral</w:t>
      </w:r>
      <w:r w:rsidR="00B225AE" w:rsidRPr="00E320CE">
        <w:rPr>
          <w:sz w:val="28"/>
          <w:szCs w:val="28"/>
        </w:rPr>
        <w:t xml:space="preserve"> reforzada de </w:t>
      </w:r>
      <w:r w:rsidR="00E320CE" w:rsidRPr="00E320CE">
        <w:rPr>
          <w:i/>
          <w:iCs/>
          <w:sz w:val="28"/>
          <w:szCs w:val="28"/>
          <w:lang w:val="es-CO"/>
        </w:rPr>
        <w:t>Greta</w:t>
      </w:r>
      <w:r w:rsidR="00B65166" w:rsidRPr="00E320CE">
        <w:rPr>
          <w:sz w:val="28"/>
          <w:szCs w:val="28"/>
        </w:rPr>
        <w:t xml:space="preserve">, precisamente porque </w:t>
      </w:r>
      <w:r w:rsidR="00B225AE" w:rsidRPr="00E320CE">
        <w:rPr>
          <w:sz w:val="28"/>
          <w:szCs w:val="28"/>
        </w:rPr>
        <w:t xml:space="preserve">el empleador </w:t>
      </w:r>
      <w:r w:rsidRPr="00E320CE">
        <w:rPr>
          <w:sz w:val="28"/>
          <w:szCs w:val="28"/>
        </w:rPr>
        <w:t xml:space="preserve">ya </w:t>
      </w:r>
      <w:r w:rsidR="00B225AE" w:rsidRPr="00E320CE">
        <w:rPr>
          <w:sz w:val="28"/>
          <w:szCs w:val="28"/>
        </w:rPr>
        <w:t xml:space="preserve">conocía </w:t>
      </w:r>
      <w:r w:rsidRPr="00E320CE">
        <w:rPr>
          <w:sz w:val="28"/>
          <w:szCs w:val="28"/>
        </w:rPr>
        <w:t>su</w:t>
      </w:r>
      <w:r w:rsidR="00B65166" w:rsidRPr="00E320CE">
        <w:rPr>
          <w:sz w:val="28"/>
          <w:szCs w:val="28"/>
        </w:rPr>
        <w:t xml:space="preserve"> estado de salud de</w:t>
      </w:r>
      <w:r w:rsidRPr="00E320CE">
        <w:rPr>
          <w:sz w:val="28"/>
          <w:szCs w:val="28"/>
        </w:rPr>
        <w:t xml:space="preserve">bido a sus hospitalizaciones previas y, aun así, </w:t>
      </w:r>
      <w:r w:rsidR="00B225AE" w:rsidRPr="00E320CE">
        <w:rPr>
          <w:sz w:val="28"/>
          <w:szCs w:val="28"/>
        </w:rPr>
        <w:t xml:space="preserve">no </w:t>
      </w:r>
      <w:r w:rsidRPr="00E320CE">
        <w:rPr>
          <w:sz w:val="28"/>
          <w:szCs w:val="28"/>
        </w:rPr>
        <w:t xml:space="preserve">solicitó </w:t>
      </w:r>
      <w:r w:rsidR="00B225AE" w:rsidRPr="00E320CE">
        <w:rPr>
          <w:sz w:val="28"/>
          <w:szCs w:val="28"/>
        </w:rPr>
        <w:t>autorización previa ante el Ministerio del Trabajo</w:t>
      </w:r>
      <w:r w:rsidRPr="00E320CE">
        <w:rPr>
          <w:sz w:val="28"/>
          <w:szCs w:val="28"/>
        </w:rPr>
        <w:t xml:space="preserve"> para la terminación de su contrato</w:t>
      </w:r>
      <w:r w:rsidR="00B225AE" w:rsidRPr="00E320CE">
        <w:rPr>
          <w:rStyle w:val="Refdenotaalpie"/>
          <w:sz w:val="28"/>
          <w:szCs w:val="28"/>
        </w:rPr>
        <w:footnoteReference w:id="183"/>
      </w:r>
      <w:r w:rsidR="00B225AE" w:rsidRPr="00E320CE">
        <w:rPr>
          <w:sz w:val="28"/>
          <w:szCs w:val="28"/>
        </w:rPr>
        <w:t>.</w:t>
      </w:r>
      <w:r w:rsidR="00E2775F" w:rsidRPr="00E320CE">
        <w:rPr>
          <w:sz w:val="28"/>
          <w:szCs w:val="28"/>
        </w:rPr>
        <w:t xml:space="preserve"> </w:t>
      </w:r>
    </w:p>
    <w:p w14:paraId="2BCE70B4" w14:textId="77777777" w:rsidR="00F77AC1" w:rsidRPr="00E320CE" w:rsidRDefault="00F77AC1" w:rsidP="00F77AC1">
      <w:pPr>
        <w:pStyle w:val="Prrafodelista"/>
        <w:rPr>
          <w:rFonts w:eastAsia="SimSun"/>
          <w:sz w:val="28"/>
          <w:szCs w:val="28"/>
          <w:lang w:val="es-MX"/>
        </w:rPr>
      </w:pPr>
    </w:p>
    <w:p w14:paraId="60E5FDA1" w14:textId="6D17F8BC" w:rsidR="00F77AC1" w:rsidRPr="00E320CE" w:rsidRDefault="0018069C" w:rsidP="00872E7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Además</w:t>
      </w:r>
      <w:r w:rsidR="00F77AC1" w:rsidRPr="00E320CE">
        <w:rPr>
          <w:rFonts w:eastAsia="SimSun"/>
          <w:sz w:val="28"/>
          <w:szCs w:val="28"/>
          <w:lang w:val="es-MX"/>
        </w:rPr>
        <w:t>,</w:t>
      </w:r>
      <w:r w:rsidRPr="00E320CE">
        <w:rPr>
          <w:rFonts w:eastAsia="SimSun"/>
          <w:sz w:val="28"/>
          <w:szCs w:val="28"/>
          <w:lang w:val="es-MX"/>
        </w:rPr>
        <w:t xml:space="preserve"> en el expediente también hay evidencia </w:t>
      </w:r>
      <w:r w:rsidR="00100477" w:rsidRPr="00E320CE">
        <w:rPr>
          <w:rFonts w:eastAsia="SimSun"/>
          <w:sz w:val="28"/>
          <w:szCs w:val="28"/>
          <w:lang w:val="es-MX"/>
        </w:rPr>
        <w:t xml:space="preserve">de </w:t>
      </w:r>
      <w:r w:rsidRPr="00E320CE">
        <w:rPr>
          <w:rFonts w:eastAsia="SimSun"/>
          <w:sz w:val="28"/>
          <w:szCs w:val="28"/>
          <w:lang w:val="es-MX"/>
        </w:rPr>
        <w:t>que</w:t>
      </w:r>
      <w:r w:rsidR="00100477" w:rsidRPr="00E320CE">
        <w:rPr>
          <w:rFonts w:eastAsia="SimSun"/>
          <w:sz w:val="28"/>
          <w:szCs w:val="28"/>
          <w:lang w:val="es-MX"/>
        </w:rPr>
        <w:t>,</w:t>
      </w:r>
      <w:r w:rsidRPr="00E320CE">
        <w:rPr>
          <w:rFonts w:eastAsia="SimSun"/>
          <w:sz w:val="28"/>
          <w:szCs w:val="28"/>
          <w:lang w:val="es-MX"/>
        </w:rPr>
        <w:t xml:space="preserve"> durante </w:t>
      </w:r>
      <w:r w:rsidR="00F77AC1" w:rsidRPr="00E320CE">
        <w:rPr>
          <w:sz w:val="28"/>
          <w:szCs w:val="28"/>
          <w:lang w:val="es-US" w:eastAsia="es-MX"/>
        </w:rPr>
        <w:t>la ejecución de</w:t>
      </w:r>
      <w:r w:rsidRPr="00E320CE">
        <w:rPr>
          <w:sz w:val="28"/>
          <w:szCs w:val="28"/>
          <w:lang w:val="es-US" w:eastAsia="es-MX"/>
        </w:rPr>
        <w:t xml:space="preserve"> </w:t>
      </w:r>
      <w:r w:rsidR="00F77AC1" w:rsidRPr="00E320CE">
        <w:rPr>
          <w:sz w:val="28"/>
          <w:szCs w:val="28"/>
          <w:lang w:val="es-US" w:eastAsia="es-MX"/>
        </w:rPr>
        <w:t>l</w:t>
      </w:r>
      <w:r w:rsidRPr="00E320CE">
        <w:rPr>
          <w:sz w:val="28"/>
          <w:szCs w:val="28"/>
          <w:lang w:val="es-US" w:eastAsia="es-MX"/>
        </w:rPr>
        <w:t>a relación laboral</w:t>
      </w:r>
      <w:r w:rsidR="00F77AC1" w:rsidRPr="00E320CE">
        <w:rPr>
          <w:sz w:val="28"/>
          <w:szCs w:val="28"/>
          <w:lang w:val="es-US" w:eastAsia="es-MX"/>
        </w:rPr>
        <w:t>, la accionante presentó incapacidades médicas y</w:t>
      </w:r>
      <w:r w:rsidR="00C044B1" w:rsidRPr="00E320CE">
        <w:rPr>
          <w:sz w:val="28"/>
          <w:szCs w:val="28"/>
          <w:lang w:val="es-US" w:eastAsia="es-MX"/>
        </w:rPr>
        <w:t>,</w:t>
      </w:r>
      <w:r w:rsidR="00F77AC1" w:rsidRPr="00E320CE">
        <w:rPr>
          <w:sz w:val="28"/>
          <w:szCs w:val="28"/>
          <w:lang w:val="es-US" w:eastAsia="es-MX"/>
        </w:rPr>
        <w:t xml:space="preserve"> en</w:t>
      </w:r>
      <w:r w:rsidR="00C044B1" w:rsidRPr="00E320CE">
        <w:rPr>
          <w:sz w:val="28"/>
          <w:szCs w:val="28"/>
          <w:lang w:val="es-US" w:eastAsia="es-MX"/>
        </w:rPr>
        <w:t xml:space="preserve"> el escrito de</w:t>
      </w:r>
      <w:r w:rsidR="00F77AC1" w:rsidRPr="00E320CE">
        <w:rPr>
          <w:sz w:val="28"/>
          <w:szCs w:val="28"/>
          <w:lang w:val="es-US" w:eastAsia="es-MX"/>
        </w:rPr>
        <w:t xml:space="preserve"> tutela</w:t>
      </w:r>
      <w:r w:rsidR="00100477" w:rsidRPr="00E320CE">
        <w:rPr>
          <w:sz w:val="28"/>
          <w:szCs w:val="28"/>
          <w:lang w:val="es-US" w:eastAsia="es-MX"/>
        </w:rPr>
        <w:t>,</w:t>
      </w:r>
      <w:r w:rsidR="00F77AC1" w:rsidRPr="00E320CE">
        <w:rPr>
          <w:sz w:val="28"/>
          <w:szCs w:val="28"/>
          <w:lang w:val="es-US" w:eastAsia="es-MX"/>
        </w:rPr>
        <w:t xml:space="preserve"> afirm</w:t>
      </w:r>
      <w:r w:rsidR="00100477" w:rsidRPr="00E320CE">
        <w:rPr>
          <w:sz w:val="28"/>
          <w:szCs w:val="28"/>
          <w:lang w:val="es-US" w:eastAsia="es-MX"/>
        </w:rPr>
        <w:t>ó</w:t>
      </w:r>
      <w:r w:rsidR="00F77AC1" w:rsidRPr="00E320CE">
        <w:rPr>
          <w:sz w:val="28"/>
          <w:szCs w:val="28"/>
          <w:lang w:val="es-US" w:eastAsia="es-MX"/>
        </w:rPr>
        <w:t xml:space="preserve"> que le informó de su condición de salud a</w:t>
      </w:r>
      <w:r w:rsidR="00C044B1" w:rsidRPr="00E320CE">
        <w:rPr>
          <w:sz w:val="28"/>
          <w:szCs w:val="28"/>
          <w:lang w:val="es-US" w:eastAsia="es-MX"/>
        </w:rPr>
        <w:t xml:space="preserve"> </w:t>
      </w:r>
      <w:r w:rsidR="00902756" w:rsidRPr="00E320CE">
        <w:rPr>
          <w:sz w:val="28"/>
          <w:szCs w:val="28"/>
          <w:lang w:val="es-US" w:eastAsia="es-MX"/>
        </w:rPr>
        <w:t>la UT Salud Integral PPL</w:t>
      </w:r>
      <w:r w:rsidR="00902756" w:rsidRPr="00E320CE">
        <w:rPr>
          <w:rStyle w:val="Refdenotaalpie"/>
          <w:sz w:val="28"/>
          <w:szCs w:val="28"/>
          <w:lang w:val="es-US" w:eastAsia="es-MX"/>
        </w:rPr>
        <w:footnoteReference w:id="184"/>
      </w:r>
      <w:r w:rsidR="00F77AC1" w:rsidRPr="00E320CE">
        <w:rPr>
          <w:sz w:val="28"/>
          <w:szCs w:val="28"/>
          <w:lang w:val="es-US" w:eastAsia="es-MX"/>
        </w:rPr>
        <w:t xml:space="preserve">. </w:t>
      </w:r>
      <w:r w:rsidR="008F023F" w:rsidRPr="00E320CE">
        <w:rPr>
          <w:sz w:val="28"/>
          <w:szCs w:val="28"/>
          <w:lang w:val="es-US" w:eastAsia="es-MX"/>
        </w:rPr>
        <w:t>En la misma línea, las incapacidades de la accionante durante el 2024 se pueden deducir d</w:t>
      </w:r>
      <w:r w:rsidR="00CB5946" w:rsidRPr="00E320CE">
        <w:rPr>
          <w:sz w:val="28"/>
          <w:szCs w:val="28"/>
          <w:lang w:val="es-US" w:eastAsia="es-MX"/>
        </w:rPr>
        <w:t xml:space="preserve">el concepto de rehabilitación de la EPS Salud Total, </w:t>
      </w:r>
      <w:r w:rsidR="006A2AA8" w:rsidRPr="00E320CE">
        <w:rPr>
          <w:sz w:val="28"/>
          <w:szCs w:val="28"/>
          <w:lang w:val="es-US" w:eastAsia="es-MX"/>
        </w:rPr>
        <w:t>las cuales deben superar</w:t>
      </w:r>
      <w:r w:rsidR="00CB5946" w:rsidRPr="00E320CE">
        <w:rPr>
          <w:sz w:val="28"/>
          <w:szCs w:val="28"/>
          <w:lang w:val="es-US" w:eastAsia="es-MX"/>
        </w:rPr>
        <w:t xml:space="preserve"> 120 días</w:t>
      </w:r>
      <w:r w:rsidR="006A2AA8" w:rsidRPr="00E320CE">
        <w:rPr>
          <w:sz w:val="28"/>
          <w:szCs w:val="28"/>
          <w:lang w:val="es-US" w:eastAsia="es-MX"/>
        </w:rPr>
        <w:t xml:space="preserve"> de incapacidad</w:t>
      </w:r>
      <w:r w:rsidR="00CB5946" w:rsidRPr="00E320CE">
        <w:rPr>
          <w:rStyle w:val="Refdenotaalpie"/>
          <w:sz w:val="28"/>
          <w:szCs w:val="28"/>
          <w:lang w:val="es-US" w:eastAsia="es-MX"/>
        </w:rPr>
        <w:footnoteReference w:id="185"/>
      </w:r>
      <w:r w:rsidR="00CB5946" w:rsidRPr="00E320CE">
        <w:rPr>
          <w:sz w:val="28"/>
          <w:szCs w:val="28"/>
          <w:lang w:val="es-US" w:eastAsia="es-MX"/>
        </w:rPr>
        <w:t xml:space="preserve">. En esos términos, es claro que la unión temporal </w:t>
      </w:r>
      <w:r w:rsidR="00CB5946" w:rsidRPr="00E320CE">
        <w:rPr>
          <w:rFonts w:eastAsia="SimSun"/>
          <w:sz w:val="28"/>
          <w:szCs w:val="28"/>
          <w:lang w:val="es-MX"/>
        </w:rPr>
        <w:t xml:space="preserve">sí conocía de la condición de salud de </w:t>
      </w:r>
      <w:r w:rsidR="00902756" w:rsidRPr="00E320CE">
        <w:rPr>
          <w:rFonts w:eastAsia="SimSun"/>
          <w:sz w:val="28"/>
          <w:szCs w:val="28"/>
          <w:lang w:val="es-MX"/>
        </w:rPr>
        <w:t>la accionante</w:t>
      </w:r>
      <w:r w:rsidR="00CB5946" w:rsidRPr="00E320CE">
        <w:rPr>
          <w:rFonts w:eastAsia="SimSun"/>
          <w:sz w:val="28"/>
          <w:szCs w:val="28"/>
          <w:lang w:val="es-MX"/>
        </w:rPr>
        <w:t xml:space="preserve"> </w:t>
      </w:r>
      <w:r w:rsidR="00D06CA2" w:rsidRPr="00E320CE">
        <w:rPr>
          <w:rFonts w:eastAsia="SimSun"/>
          <w:sz w:val="28"/>
          <w:szCs w:val="28"/>
          <w:lang w:val="es-MX"/>
        </w:rPr>
        <w:t xml:space="preserve">de </w:t>
      </w:r>
      <w:r w:rsidR="00CB5946" w:rsidRPr="00E320CE">
        <w:rPr>
          <w:rFonts w:eastAsia="SimSun"/>
          <w:sz w:val="28"/>
          <w:szCs w:val="28"/>
          <w:lang w:val="es-MX"/>
        </w:rPr>
        <w:t>forma previa al momento de</w:t>
      </w:r>
      <w:r w:rsidR="003130CD" w:rsidRPr="00E320CE">
        <w:rPr>
          <w:rFonts w:eastAsia="SimSun"/>
          <w:sz w:val="28"/>
          <w:szCs w:val="28"/>
          <w:lang w:val="es-MX"/>
        </w:rPr>
        <w:t xml:space="preserve"> </w:t>
      </w:r>
      <w:r w:rsidR="00CB5946" w:rsidRPr="00E320CE">
        <w:rPr>
          <w:rFonts w:eastAsia="SimSun"/>
          <w:sz w:val="28"/>
          <w:szCs w:val="28"/>
          <w:lang w:val="es-MX"/>
        </w:rPr>
        <w:t>l</w:t>
      </w:r>
      <w:r w:rsidR="003130CD" w:rsidRPr="00E320CE">
        <w:rPr>
          <w:rFonts w:eastAsia="SimSun"/>
          <w:sz w:val="28"/>
          <w:szCs w:val="28"/>
          <w:lang w:val="es-MX"/>
        </w:rPr>
        <w:t xml:space="preserve">a terminación de su vinculación, </w:t>
      </w:r>
      <w:r w:rsidR="005648F6" w:rsidRPr="00E320CE">
        <w:rPr>
          <w:rFonts w:eastAsia="SimSun"/>
          <w:sz w:val="28"/>
          <w:szCs w:val="28"/>
          <w:lang w:val="es-MX"/>
        </w:rPr>
        <w:t>debido a</w:t>
      </w:r>
      <w:r w:rsidR="00D06CA2" w:rsidRPr="00E320CE">
        <w:rPr>
          <w:rFonts w:eastAsia="SimSun"/>
          <w:sz w:val="28"/>
          <w:szCs w:val="28"/>
          <w:lang w:val="es-MX"/>
        </w:rPr>
        <w:t xml:space="preserve"> </w:t>
      </w:r>
      <w:r w:rsidR="00CB5946" w:rsidRPr="00E320CE">
        <w:rPr>
          <w:rFonts w:eastAsia="SimSun"/>
          <w:sz w:val="28"/>
          <w:szCs w:val="28"/>
          <w:lang w:val="es-MX"/>
        </w:rPr>
        <w:t>l</w:t>
      </w:r>
      <w:r w:rsidR="00A80F3D" w:rsidRPr="00E320CE">
        <w:rPr>
          <w:rFonts w:eastAsia="SimSun"/>
          <w:sz w:val="28"/>
          <w:szCs w:val="28"/>
          <w:lang w:val="es-MX"/>
        </w:rPr>
        <w:t xml:space="preserve">os prolongados periodos de incapacidad, </w:t>
      </w:r>
      <w:r w:rsidR="00B063BE" w:rsidRPr="00E320CE">
        <w:rPr>
          <w:rFonts w:eastAsia="SimSun"/>
          <w:sz w:val="28"/>
          <w:szCs w:val="28"/>
          <w:lang w:val="es-MX"/>
        </w:rPr>
        <w:t xml:space="preserve">la información que </w:t>
      </w:r>
      <w:r w:rsidR="00EB2035" w:rsidRPr="00E320CE">
        <w:rPr>
          <w:rFonts w:eastAsia="SimSun"/>
          <w:sz w:val="28"/>
          <w:szCs w:val="28"/>
          <w:lang w:val="es-MX"/>
        </w:rPr>
        <w:t xml:space="preserve">la actora suministraba sobre las incapacidades y su estado de salud, y porque precisamente así fue reconocido por un juez en una acción de tutela que la accionante interpuso en el año 2022. </w:t>
      </w:r>
    </w:p>
    <w:p w14:paraId="6A6A87CA" w14:textId="77777777" w:rsidR="008B48C7" w:rsidRPr="00E320CE" w:rsidRDefault="008B48C7" w:rsidP="008B48C7">
      <w:pPr>
        <w:pStyle w:val="Prrafodelista"/>
        <w:autoSpaceDE/>
        <w:autoSpaceDN/>
        <w:ind w:left="0"/>
        <w:contextualSpacing w:val="0"/>
        <w:jc w:val="both"/>
        <w:rPr>
          <w:rFonts w:eastAsia="SimSun"/>
          <w:sz w:val="28"/>
          <w:szCs w:val="28"/>
          <w:lang w:val="es-MX"/>
        </w:rPr>
      </w:pPr>
    </w:p>
    <w:p w14:paraId="2841FD85" w14:textId="5BEE66F1" w:rsidR="008B48C7" w:rsidRPr="00E320CE" w:rsidRDefault="00571445" w:rsidP="0075662D">
      <w:pPr>
        <w:jc w:val="both"/>
        <w:rPr>
          <w:rFonts w:eastAsia="SimSun"/>
          <w:b/>
          <w:bCs/>
          <w:sz w:val="28"/>
          <w:szCs w:val="28"/>
          <w:lang w:val="es-MX"/>
        </w:rPr>
      </w:pPr>
      <w:r w:rsidRPr="00E320CE">
        <w:rPr>
          <w:rFonts w:eastAsia="SimSun"/>
          <w:b/>
          <w:bCs/>
          <w:sz w:val="28"/>
          <w:szCs w:val="28"/>
          <w:lang w:val="es-MX"/>
        </w:rPr>
        <w:t>Ni l</w:t>
      </w:r>
      <w:r w:rsidR="00C042F3" w:rsidRPr="00E320CE">
        <w:rPr>
          <w:rFonts w:eastAsia="SimSun"/>
          <w:b/>
          <w:bCs/>
          <w:sz w:val="28"/>
          <w:szCs w:val="28"/>
          <w:lang w:val="es-MX"/>
        </w:rPr>
        <w:t>a liquidación de la UT Salud Integral PPL ni el cambio de operador</w:t>
      </w:r>
      <w:r w:rsidR="00B14C5E" w:rsidRPr="00E320CE">
        <w:rPr>
          <w:rFonts w:eastAsia="SimSun"/>
          <w:b/>
          <w:bCs/>
          <w:sz w:val="28"/>
          <w:szCs w:val="28"/>
          <w:lang w:val="es-MX"/>
        </w:rPr>
        <w:t xml:space="preserve"> con la UT </w:t>
      </w:r>
      <w:proofErr w:type="spellStart"/>
      <w:r w:rsidR="00B14C5E" w:rsidRPr="00E320CE">
        <w:rPr>
          <w:rFonts w:eastAsia="SimSun"/>
          <w:b/>
          <w:bCs/>
          <w:sz w:val="28"/>
          <w:szCs w:val="28"/>
          <w:lang w:val="es-MX"/>
        </w:rPr>
        <w:t>Norsalud</w:t>
      </w:r>
      <w:proofErr w:type="spellEnd"/>
      <w:r w:rsidR="00B14C5E" w:rsidRPr="00E320CE">
        <w:rPr>
          <w:rFonts w:eastAsia="SimSun"/>
          <w:b/>
          <w:bCs/>
          <w:sz w:val="28"/>
          <w:szCs w:val="28"/>
          <w:lang w:val="es-MX"/>
        </w:rPr>
        <w:t xml:space="preserve"> PPL</w:t>
      </w:r>
      <w:r w:rsidR="00F45F64" w:rsidRPr="00E320CE">
        <w:rPr>
          <w:rFonts w:eastAsia="SimSun"/>
          <w:b/>
          <w:bCs/>
          <w:sz w:val="28"/>
          <w:szCs w:val="28"/>
          <w:lang w:val="es-MX"/>
        </w:rPr>
        <w:t xml:space="preserve"> desvirtúan la presunción de despido discriminatorio</w:t>
      </w:r>
    </w:p>
    <w:p w14:paraId="08924FDC" w14:textId="77777777" w:rsidR="00E2775F" w:rsidRPr="00E320CE" w:rsidRDefault="00E2775F" w:rsidP="0075662D">
      <w:pPr>
        <w:jc w:val="both"/>
        <w:rPr>
          <w:sz w:val="28"/>
          <w:szCs w:val="28"/>
        </w:rPr>
      </w:pPr>
    </w:p>
    <w:p w14:paraId="638E2C60" w14:textId="0D08B032" w:rsidR="00067813" w:rsidRPr="00E320CE" w:rsidRDefault="009F1B4D" w:rsidP="009E2CE3">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rPr>
        <w:t>En es</w:t>
      </w:r>
      <w:r w:rsidR="00B74204" w:rsidRPr="00E320CE">
        <w:rPr>
          <w:sz w:val="28"/>
          <w:szCs w:val="28"/>
        </w:rPr>
        <w:t>te contexto</w:t>
      </w:r>
      <w:r w:rsidR="00BF167A" w:rsidRPr="00E320CE">
        <w:rPr>
          <w:sz w:val="28"/>
          <w:szCs w:val="28"/>
        </w:rPr>
        <w:t>, la</w:t>
      </w:r>
      <w:r w:rsidRPr="00E320CE">
        <w:rPr>
          <w:sz w:val="28"/>
          <w:szCs w:val="28"/>
        </w:rPr>
        <w:t xml:space="preserve"> </w:t>
      </w:r>
      <w:r w:rsidR="00154D96" w:rsidRPr="00E320CE">
        <w:rPr>
          <w:sz w:val="28"/>
          <w:szCs w:val="28"/>
        </w:rPr>
        <w:t>Unión Temporal Sa</w:t>
      </w:r>
      <w:r w:rsidR="00492CAB" w:rsidRPr="00E320CE">
        <w:rPr>
          <w:sz w:val="28"/>
          <w:szCs w:val="28"/>
        </w:rPr>
        <w:t>l</w:t>
      </w:r>
      <w:r w:rsidR="00154D96" w:rsidRPr="00E320CE">
        <w:rPr>
          <w:sz w:val="28"/>
          <w:szCs w:val="28"/>
        </w:rPr>
        <w:t xml:space="preserve">ud Integral PPL explicó que la </w:t>
      </w:r>
      <w:r w:rsidR="007A597B" w:rsidRPr="00E320CE">
        <w:rPr>
          <w:sz w:val="28"/>
          <w:szCs w:val="28"/>
        </w:rPr>
        <w:t>terminación</w:t>
      </w:r>
      <w:r w:rsidR="00154D96" w:rsidRPr="00E320CE">
        <w:rPr>
          <w:sz w:val="28"/>
          <w:szCs w:val="28"/>
        </w:rPr>
        <w:t xml:space="preserve"> de</w:t>
      </w:r>
      <w:r w:rsidR="009079CF" w:rsidRPr="00E320CE">
        <w:rPr>
          <w:sz w:val="28"/>
          <w:szCs w:val="28"/>
        </w:rPr>
        <w:t xml:space="preserve"> la vinculación de la accionante tuvo lugar dada la</w:t>
      </w:r>
      <w:r w:rsidR="00BD4EDB" w:rsidRPr="00E320CE">
        <w:rPr>
          <w:sz w:val="28"/>
          <w:szCs w:val="28"/>
        </w:rPr>
        <w:t xml:space="preserve"> </w:t>
      </w:r>
      <w:r w:rsidR="007A597B" w:rsidRPr="00E320CE">
        <w:rPr>
          <w:sz w:val="28"/>
          <w:szCs w:val="28"/>
        </w:rPr>
        <w:t xml:space="preserve">finalización del contrato </w:t>
      </w:r>
      <w:r w:rsidR="00164039" w:rsidRPr="00E320CE">
        <w:rPr>
          <w:sz w:val="28"/>
          <w:szCs w:val="28"/>
        </w:rPr>
        <w:t xml:space="preserve">que celebró con </w:t>
      </w:r>
      <w:r w:rsidR="00C47B19" w:rsidRPr="00E320CE">
        <w:rPr>
          <w:sz w:val="28"/>
          <w:szCs w:val="28"/>
        </w:rPr>
        <w:t xml:space="preserve">la fiducia mercantil para la atención en salud </w:t>
      </w:r>
      <w:r w:rsidR="0039655E" w:rsidRPr="00E320CE">
        <w:rPr>
          <w:sz w:val="28"/>
          <w:szCs w:val="28"/>
        </w:rPr>
        <w:t xml:space="preserve">en los establecimientos penitenciarios de la región norte del país (entre ellos </w:t>
      </w:r>
      <w:r w:rsidR="0039655E" w:rsidRPr="00E320CE">
        <w:rPr>
          <w:sz w:val="28"/>
          <w:szCs w:val="28"/>
          <w:lang w:val="es-CO"/>
        </w:rPr>
        <w:t xml:space="preserve">el </w:t>
      </w:r>
      <w:r w:rsidR="0039655E" w:rsidRPr="00E320CE">
        <w:rPr>
          <w:sz w:val="28"/>
          <w:szCs w:val="28"/>
        </w:rPr>
        <w:t>Establecimiento Penitenciario de Mediana Seguridad y Carcelario de Cartagena).</w:t>
      </w:r>
      <w:r w:rsidR="005E47B7" w:rsidRPr="00E320CE">
        <w:rPr>
          <w:sz w:val="28"/>
          <w:szCs w:val="28"/>
        </w:rPr>
        <w:t xml:space="preserve"> </w:t>
      </w:r>
      <w:r w:rsidR="006F5C56" w:rsidRPr="00E320CE">
        <w:rPr>
          <w:sz w:val="28"/>
          <w:szCs w:val="28"/>
        </w:rPr>
        <w:t>Debido a la finalización, el</w:t>
      </w:r>
      <w:r w:rsidR="00067813" w:rsidRPr="00E320CE">
        <w:rPr>
          <w:sz w:val="28"/>
          <w:szCs w:val="28"/>
        </w:rPr>
        <w:t xml:space="preserve"> 24 de julio de 2024</w:t>
      </w:r>
      <w:r w:rsidR="009E2CE3" w:rsidRPr="00E320CE">
        <w:rPr>
          <w:sz w:val="28"/>
          <w:szCs w:val="28"/>
        </w:rPr>
        <w:t>, la fiducia le adjudicó</w:t>
      </w:r>
      <w:r w:rsidR="00AE19C1" w:rsidRPr="00E320CE">
        <w:rPr>
          <w:sz w:val="28"/>
          <w:szCs w:val="28"/>
        </w:rPr>
        <w:t xml:space="preserve"> a la Unión Temporal </w:t>
      </w:r>
      <w:proofErr w:type="spellStart"/>
      <w:r w:rsidR="00AE19C1" w:rsidRPr="00E320CE">
        <w:rPr>
          <w:sz w:val="28"/>
          <w:szCs w:val="28"/>
        </w:rPr>
        <w:t>Norsalud</w:t>
      </w:r>
      <w:proofErr w:type="spellEnd"/>
      <w:r w:rsidR="00AE19C1" w:rsidRPr="00E320CE">
        <w:rPr>
          <w:sz w:val="28"/>
          <w:szCs w:val="28"/>
        </w:rPr>
        <w:t xml:space="preserve"> PPL</w:t>
      </w:r>
      <w:r w:rsidR="009E2CE3" w:rsidRPr="00E320CE">
        <w:rPr>
          <w:sz w:val="28"/>
          <w:szCs w:val="28"/>
        </w:rPr>
        <w:t xml:space="preserve"> el contrato</w:t>
      </w:r>
      <w:r w:rsidR="009E2CE3" w:rsidRPr="00E320CE">
        <w:rPr>
          <w:rFonts w:eastAsia="SimSun"/>
          <w:sz w:val="28"/>
          <w:szCs w:val="28"/>
          <w:lang w:val="es-MX"/>
        </w:rPr>
        <w:t xml:space="preserve"> </w:t>
      </w:r>
      <w:r w:rsidR="00067813" w:rsidRPr="00E320CE">
        <w:rPr>
          <w:sz w:val="28"/>
          <w:szCs w:val="28"/>
        </w:rPr>
        <w:t>de prestación de servicios de salud a la población privada de la libertad</w:t>
      </w:r>
      <w:r w:rsidR="001B779E" w:rsidRPr="00E320CE">
        <w:rPr>
          <w:sz w:val="28"/>
          <w:szCs w:val="28"/>
        </w:rPr>
        <w:t xml:space="preserve"> de las regionales oriente, norte y noroeste</w:t>
      </w:r>
      <w:r w:rsidR="00067813" w:rsidRPr="00E320CE">
        <w:rPr>
          <w:rStyle w:val="Refdenotaalpie"/>
          <w:sz w:val="28"/>
          <w:szCs w:val="28"/>
        </w:rPr>
        <w:footnoteReference w:id="186"/>
      </w:r>
      <w:r w:rsidR="00067813" w:rsidRPr="00E320CE">
        <w:rPr>
          <w:sz w:val="28"/>
          <w:szCs w:val="28"/>
        </w:rPr>
        <w:t xml:space="preserve">. </w:t>
      </w:r>
      <w:r w:rsidR="006F5C56" w:rsidRPr="00E320CE">
        <w:rPr>
          <w:sz w:val="28"/>
          <w:szCs w:val="28"/>
        </w:rPr>
        <w:t xml:space="preserve">De acuerdo con </w:t>
      </w:r>
      <w:proofErr w:type="spellStart"/>
      <w:r w:rsidR="006F5C56" w:rsidRPr="00E320CE">
        <w:rPr>
          <w:sz w:val="28"/>
          <w:szCs w:val="28"/>
        </w:rPr>
        <w:t>Norsalud</w:t>
      </w:r>
      <w:proofErr w:type="spellEnd"/>
      <w:r w:rsidR="006F5C56" w:rsidRPr="00E320CE">
        <w:rPr>
          <w:sz w:val="28"/>
          <w:szCs w:val="28"/>
        </w:rPr>
        <w:t xml:space="preserve"> PPL, </w:t>
      </w:r>
      <w:r w:rsidR="005C42BF" w:rsidRPr="00E320CE">
        <w:rPr>
          <w:sz w:val="28"/>
          <w:szCs w:val="28"/>
        </w:rPr>
        <w:t>al ser una nueva operadora, no tiene la obligación de recontratar el antiguo personal de Salud Integral.</w:t>
      </w:r>
    </w:p>
    <w:p w14:paraId="24AA2CB4" w14:textId="77777777" w:rsidR="00154D96" w:rsidRPr="00E320CE" w:rsidRDefault="00154D96" w:rsidP="0075662D">
      <w:pPr>
        <w:pStyle w:val="Prrafodelista"/>
        <w:autoSpaceDE/>
        <w:autoSpaceDN/>
        <w:ind w:left="0"/>
        <w:contextualSpacing w:val="0"/>
        <w:jc w:val="both"/>
        <w:rPr>
          <w:rFonts w:eastAsia="SimSun"/>
          <w:sz w:val="28"/>
          <w:szCs w:val="28"/>
          <w:lang w:val="es-MX"/>
        </w:rPr>
      </w:pPr>
    </w:p>
    <w:p w14:paraId="6A401A9A" w14:textId="6DF5E0AF" w:rsidR="00B50843" w:rsidRPr="00E320CE" w:rsidRDefault="00DE6343" w:rsidP="00BF167A">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rPr>
        <w:lastRenderedPageBreak/>
        <w:t xml:space="preserve">Sobre </w:t>
      </w:r>
      <w:r w:rsidR="00BF167A" w:rsidRPr="00E320CE">
        <w:rPr>
          <w:sz w:val="28"/>
          <w:szCs w:val="28"/>
        </w:rPr>
        <w:t>la</w:t>
      </w:r>
      <w:r w:rsidR="009F1B4D" w:rsidRPr="00E320CE">
        <w:rPr>
          <w:sz w:val="28"/>
          <w:szCs w:val="28"/>
        </w:rPr>
        <w:t xml:space="preserve"> </w:t>
      </w:r>
      <w:r w:rsidRPr="00E320CE">
        <w:rPr>
          <w:sz w:val="28"/>
          <w:szCs w:val="28"/>
        </w:rPr>
        <w:t xml:space="preserve">justificación que ofrecen las accionadas, </w:t>
      </w:r>
      <w:r w:rsidR="00BF167A" w:rsidRPr="00E320CE">
        <w:rPr>
          <w:sz w:val="28"/>
          <w:szCs w:val="28"/>
        </w:rPr>
        <w:t>la</w:t>
      </w:r>
      <w:r w:rsidR="009F1B4D" w:rsidRPr="00E320CE">
        <w:rPr>
          <w:sz w:val="28"/>
          <w:szCs w:val="28"/>
        </w:rPr>
        <w:t xml:space="preserve"> Corte</w:t>
      </w:r>
      <w:r w:rsidR="00BF167A" w:rsidRPr="00E320CE">
        <w:rPr>
          <w:sz w:val="28"/>
          <w:szCs w:val="28"/>
        </w:rPr>
        <w:t xml:space="preserve"> </w:t>
      </w:r>
      <w:r w:rsidR="00C13797" w:rsidRPr="00E320CE">
        <w:rPr>
          <w:sz w:val="28"/>
          <w:szCs w:val="28"/>
        </w:rPr>
        <w:t>considera</w:t>
      </w:r>
      <w:r w:rsidR="00BF167A" w:rsidRPr="00E320CE">
        <w:rPr>
          <w:sz w:val="28"/>
          <w:szCs w:val="28"/>
        </w:rPr>
        <w:t xml:space="preserve"> que </w:t>
      </w:r>
      <w:r w:rsidRPr="00E320CE">
        <w:rPr>
          <w:sz w:val="28"/>
          <w:szCs w:val="28"/>
        </w:rPr>
        <w:t>no logra</w:t>
      </w:r>
      <w:r w:rsidR="005C42BF" w:rsidRPr="00E320CE">
        <w:rPr>
          <w:sz w:val="28"/>
          <w:szCs w:val="28"/>
        </w:rPr>
        <w:t xml:space="preserve"> </w:t>
      </w:r>
      <w:r w:rsidR="00BF167A" w:rsidRPr="00E320CE">
        <w:rPr>
          <w:sz w:val="28"/>
          <w:szCs w:val="28"/>
        </w:rPr>
        <w:t>desvirtuar la presunción de despido discriminatorio</w:t>
      </w:r>
      <w:r w:rsidR="00C13797" w:rsidRPr="00E320CE">
        <w:rPr>
          <w:sz w:val="28"/>
          <w:szCs w:val="28"/>
        </w:rPr>
        <w:t xml:space="preserve">. </w:t>
      </w:r>
    </w:p>
    <w:p w14:paraId="38496FE5" w14:textId="77777777" w:rsidR="00B50843" w:rsidRPr="00E320CE" w:rsidRDefault="00B50843" w:rsidP="003F615A">
      <w:pPr>
        <w:pStyle w:val="Prrafodelista"/>
        <w:rPr>
          <w:sz w:val="28"/>
          <w:szCs w:val="28"/>
        </w:rPr>
      </w:pPr>
    </w:p>
    <w:p w14:paraId="77018A9F" w14:textId="14828BB5" w:rsidR="00BF167A" w:rsidRPr="00E320CE" w:rsidRDefault="00B50843" w:rsidP="00BF167A">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rPr>
        <w:t>Por un lado,</w:t>
      </w:r>
      <w:r w:rsidR="00B74204" w:rsidRPr="00E320CE">
        <w:rPr>
          <w:sz w:val="28"/>
          <w:szCs w:val="28"/>
        </w:rPr>
        <w:t xml:space="preserve"> </w:t>
      </w:r>
      <w:r w:rsidR="0083225D" w:rsidRPr="00E320CE">
        <w:rPr>
          <w:sz w:val="28"/>
          <w:szCs w:val="28"/>
        </w:rPr>
        <w:t>en este expediente</w:t>
      </w:r>
      <w:r w:rsidR="00BF167A" w:rsidRPr="00E320CE" w:rsidDel="00B74204">
        <w:rPr>
          <w:sz w:val="28"/>
          <w:szCs w:val="28"/>
        </w:rPr>
        <w:t xml:space="preserve"> </w:t>
      </w:r>
      <w:r w:rsidR="00BF167A" w:rsidRPr="00E320CE">
        <w:rPr>
          <w:sz w:val="28"/>
          <w:szCs w:val="28"/>
        </w:rPr>
        <w:t xml:space="preserve">no </w:t>
      </w:r>
      <w:r w:rsidR="00FB0CD7" w:rsidRPr="00E320CE">
        <w:rPr>
          <w:sz w:val="28"/>
          <w:szCs w:val="28"/>
        </w:rPr>
        <w:t xml:space="preserve">se </w:t>
      </w:r>
      <w:r w:rsidR="00BF167A" w:rsidRPr="00E320CE">
        <w:rPr>
          <w:sz w:val="28"/>
          <w:szCs w:val="28"/>
        </w:rPr>
        <w:t>probó</w:t>
      </w:r>
      <w:r w:rsidR="0083225D" w:rsidRPr="00E320CE">
        <w:rPr>
          <w:sz w:val="28"/>
          <w:szCs w:val="28"/>
        </w:rPr>
        <w:t xml:space="preserve"> la existencia de una</w:t>
      </w:r>
      <w:r w:rsidR="00BF167A" w:rsidRPr="00E320CE">
        <w:rPr>
          <w:sz w:val="28"/>
          <w:szCs w:val="28"/>
        </w:rPr>
        <w:t xml:space="preserve"> </w:t>
      </w:r>
      <w:r w:rsidR="00B74204" w:rsidRPr="00E320CE">
        <w:rPr>
          <w:sz w:val="28"/>
          <w:szCs w:val="28"/>
        </w:rPr>
        <w:t xml:space="preserve">justa causa </w:t>
      </w:r>
      <w:r w:rsidR="00BF167A" w:rsidRPr="00E320CE">
        <w:rPr>
          <w:sz w:val="28"/>
          <w:szCs w:val="28"/>
        </w:rPr>
        <w:t xml:space="preserve">ante el inspector de trabajo ni </w:t>
      </w:r>
      <w:r w:rsidR="00ED5307" w:rsidRPr="00E320CE">
        <w:rPr>
          <w:sz w:val="28"/>
          <w:szCs w:val="28"/>
        </w:rPr>
        <w:t>durante</w:t>
      </w:r>
      <w:r w:rsidR="00BF167A" w:rsidRPr="00E320CE">
        <w:rPr>
          <w:sz w:val="28"/>
          <w:szCs w:val="28"/>
        </w:rPr>
        <w:t xml:space="preserve"> </w:t>
      </w:r>
      <w:r w:rsidR="009455C3" w:rsidRPr="00E320CE">
        <w:rPr>
          <w:sz w:val="28"/>
          <w:szCs w:val="28"/>
        </w:rPr>
        <w:t>el trámite de la presente acción</w:t>
      </w:r>
      <w:r w:rsidR="00BF167A" w:rsidRPr="00E320CE">
        <w:rPr>
          <w:sz w:val="28"/>
          <w:szCs w:val="28"/>
        </w:rPr>
        <w:t xml:space="preserve">. </w:t>
      </w:r>
      <w:r w:rsidR="00A84214" w:rsidRPr="00E320CE">
        <w:rPr>
          <w:sz w:val="28"/>
          <w:szCs w:val="28"/>
        </w:rPr>
        <w:t xml:space="preserve">El hecho de que </w:t>
      </w:r>
      <w:r w:rsidR="00BF167A" w:rsidRPr="00E320CE">
        <w:rPr>
          <w:sz w:val="28"/>
          <w:szCs w:val="28"/>
        </w:rPr>
        <w:t xml:space="preserve">la </w:t>
      </w:r>
      <w:r w:rsidR="00ED5307" w:rsidRPr="00E320CE">
        <w:rPr>
          <w:sz w:val="28"/>
          <w:szCs w:val="28"/>
        </w:rPr>
        <w:t>UT Salud Integral</w:t>
      </w:r>
      <w:r w:rsidR="00BF167A" w:rsidRPr="00E320CE">
        <w:rPr>
          <w:sz w:val="28"/>
          <w:szCs w:val="28"/>
        </w:rPr>
        <w:t xml:space="preserve"> </w:t>
      </w:r>
      <w:r w:rsidR="006A616F" w:rsidRPr="00E320CE">
        <w:rPr>
          <w:sz w:val="28"/>
          <w:szCs w:val="28"/>
        </w:rPr>
        <w:t xml:space="preserve">haya entrado </w:t>
      </w:r>
      <w:r w:rsidR="00BF167A" w:rsidRPr="00E320CE">
        <w:rPr>
          <w:sz w:val="28"/>
          <w:szCs w:val="28"/>
        </w:rPr>
        <w:t xml:space="preserve">en proceso de liquidación debido a </w:t>
      </w:r>
      <w:r w:rsidR="004409E0" w:rsidRPr="00E320CE">
        <w:rPr>
          <w:sz w:val="28"/>
          <w:szCs w:val="28"/>
        </w:rPr>
        <w:t xml:space="preserve">la finalización de </w:t>
      </w:r>
      <w:r w:rsidR="00BF167A" w:rsidRPr="00E320CE">
        <w:rPr>
          <w:sz w:val="28"/>
          <w:szCs w:val="28"/>
        </w:rPr>
        <w:t xml:space="preserve">sus operaciones </w:t>
      </w:r>
      <w:r w:rsidR="004409E0" w:rsidRPr="00E320CE">
        <w:rPr>
          <w:sz w:val="28"/>
          <w:szCs w:val="28"/>
        </w:rPr>
        <w:t>por el contrato de</w:t>
      </w:r>
      <w:r w:rsidR="00BF167A" w:rsidRPr="00E320CE">
        <w:rPr>
          <w:sz w:val="28"/>
          <w:szCs w:val="28"/>
        </w:rPr>
        <w:t xml:space="preserve"> la fiducia</w:t>
      </w:r>
      <w:r w:rsidR="004409E0" w:rsidRPr="00E320CE">
        <w:rPr>
          <w:sz w:val="28"/>
          <w:szCs w:val="28"/>
        </w:rPr>
        <w:t xml:space="preserve">, no constituye </w:t>
      </w:r>
      <w:r w:rsidR="006832A8" w:rsidRPr="00E320CE">
        <w:rPr>
          <w:sz w:val="28"/>
          <w:szCs w:val="28"/>
        </w:rPr>
        <w:t>una justa causa para la terminación del vínculo laboral</w:t>
      </w:r>
      <w:r w:rsidR="00BF167A" w:rsidRPr="00E320CE">
        <w:rPr>
          <w:sz w:val="28"/>
          <w:szCs w:val="28"/>
        </w:rPr>
        <w:t xml:space="preserve">. </w:t>
      </w:r>
    </w:p>
    <w:p w14:paraId="112FED6D" w14:textId="77777777" w:rsidR="00BF167A" w:rsidRPr="00E320CE" w:rsidRDefault="00BF167A" w:rsidP="00BF167A">
      <w:pPr>
        <w:pStyle w:val="Prrafodelista"/>
        <w:rPr>
          <w:sz w:val="28"/>
          <w:szCs w:val="28"/>
        </w:rPr>
      </w:pPr>
    </w:p>
    <w:p w14:paraId="46AC2224" w14:textId="2B867B32" w:rsidR="00BF167A" w:rsidRPr="00E320CE" w:rsidRDefault="006832A8" w:rsidP="00BF167A">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rPr>
        <w:t>S</w:t>
      </w:r>
      <w:r w:rsidR="00292535" w:rsidRPr="00E320CE">
        <w:rPr>
          <w:sz w:val="28"/>
          <w:szCs w:val="28"/>
        </w:rPr>
        <w:t xml:space="preserve">i bien </w:t>
      </w:r>
      <w:r w:rsidR="00BF167A" w:rsidRPr="00E320CE">
        <w:rPr>
          <w:sz w:val="28"/>
          <w:szCs w:val="28"/>
        </w:rPr>
        <w:t>la liquidación de la empresa</w:t>
      </w:r>
      <w:r w:rsidR="00BF167A" w:rsidRPr="00E320CE">
        <w:rPr>
          <w:rFonts w:eastAsia="SimSun"/>
          <w:sz w:val="28"/>
          <w:szCs w:val="28"/>
          <w:lang w:val="es-MX"/>
        </w:rPr>
        <w:t xml:space="preserve"> </w:t>
      </w:r>
      <w:r w:rsidR="00292535" w:rsidRPr="00E320CE">
        <w:rPr>
          <w:rFonts w:eastAsia="SimSun"/>
          <w:sz w:val="28"/>
          <w:szCs w:val="28"/>
          <w:lang w:val="es-MX"/>
        </w:rPr>
        <w:t>puede ser</w:t>
      </w:r>
      <w:r w:rsidR="00BF167A" w:rsidRPr="00E320CE">
        <w:rPr>
          <w:rFonts w:eastAsia="SimSun"/>
          <w:sz w:val="28"/>
          <w:szCs w:val="28"/>
          <w:lang w:val="es-MX"/>
        </w:rPr>
        <w:t xml:space="preserve"> una causal objetiva de terminación, </w:t>
      </w:r>
      <w:r w:rsidR="00B162F7" w:rsidRPr="00E320CE">
        <w:rPr>
          <w:rFonts w:eastAsia="SimSun"/>
          <w:sz w:val="28"/>
          <w:szCs w:val="28"/>
          <w:lang w:val="es-MX"/>
        </w:rPr>
        <w:t xml:space="preserve">en este caso no se desvirtuó </w:t>
      </w:r>
      <w:r w:rsidR="00BF167A" w:rsidRPr="00E320CE">
        <w:rPr>
          <w:rFonts w:eastAsia="SimSun"/>
          <w:sz w:val="28"/>
          <w:szCs w:val="28"/>
          <w:lang w:val="es-MX"/>
        </w:rPr>
        <w:t>la presunción de despido discriminatorio</w:t>
      </w:r>
      <w:r w:rsidR="00BF167A" w:rsidRPr="00E320CE">
        <w:rPr>
          <w:rStyle w:val="Refdenotaalpie"/>
          <w:rFonts w:eastAsia="SimSun"/>
          <w:sz w:val="28"/>
          <w:szCs w:val="28"/>
          <w:lang w:val="es-MX"/>
        </w:rPr>
        <w:footnoteReference w:id="187"/>
      </w:r>
      <w:r w:rsidR="00BF167A" w:rsidRPr="00E320CE">
        <w:rPr>
          <w:rFonts w:eastAsia="SimSun"/>
          <w:sz w:val="28"/>
          <w:szCs w:val="28"/>
          <w:lang w:val="es-MX"/>
        </w:rPr>
        <w:t>.</w:t>
      </w:r>
      <w:r w:rsidR="00BF167A" w:rsidRPr="00E320CE">
        <w:rPr>
          <w:sz w:val="28"/>
          <w:szCs w:val="28"/>
        </w:rPr>
        <w:t xml:space="preserve"> Esto se debe a que es un escenario que </w:t>
      </w:r>
      <w:r w:rsidR="00BF167A" w:rsidRPr="00E320CE">
        <w:rPr>
          <w:rFonts w:eastAsia="SimSun"/>
          <w:sz w:val="28"/>
          <w:szCs w:val="28"/>
          <w:lang w:val="es-MX"/>
        </w:rPr>
        <w:t xml:space="preserve">no hace parte de los supuestos de terminación del contrato por justa causa, de </w:t>
      </w:r>
      <w:r w:rsidRPr="00E320CE">
        <w:rPr>
          <w:rFonts w:eastAsia="SimSun"/>
          <w:sz w:val="28"/>
          <w:szCs w:val="28"/>
          <w:lang w:val="es-MX"/>
        </w:rPr>
        <w:t xml:space="preserve">conformidad con lo establecido en </w:t>
      </w:r>
      <w:r w:rsidR="00BF167A" w:rsidRPr="00E320CE">
        <w:rPr>
          <w:rFonts w:eastAsia="SimSun"/>
          <w:sz w:val="28"/>
          <w:szCs w:val="28"/>
          <w:lang w:val="es-MX"/>
        </w:rPr>
        <w:t>el artículo 62 del Código Sustantivo del Trabajo</w:t>
      </w:r>
      <w:r w:rsidR="00BF167A" w:rsidRPr="00E320CE">
        <w:rPr>
          <w:rStyle w:val="Refdenotaalpie"/>
          <w:rFonts w:eastAsia="SimSun"/>
          <w:sz w:val="28"/>
          <w:szCs w:val="28"/>
          <w:lang w:val="es-MX"/>
        </w:rPr>
        <w:footnoteReference w:id="188"/>
      </w:r>
      <w:r w:rsidR="00BF167A" w:rsidRPr="00E320CE">
        <w:rPr>
          <w:rFonts w:eastAsia="SimSun"/>
          <w:sz w:val="28"/>
          <w:szCs w:val="28"/>
          <w:lang w:val="es-MX"/>
        </w:rPr>
        <w:t>. Por el contrario, de acuerdo con el numeral 2 del artículo 61, la liquidación de la empresa es una causal de terminación del contrato de trabajo que necesita la autorización previa del Ministerio de Trabajo y Seguridad Social</w:t>
      </w:r>
      <w:r w:rsidR="00E70D6B" w:rsidRPr="00E320CE">
        <w:rPr>
          <w:rFonts w:eastAsia="SimSun"/>
          <w:sz w:val="28"/>
          <w:szCs w:val="28"/>
          <w:lang w:val="es-MX"/>
        </w:rPr>
        <w:t>,</w:t>
      </w:r>
      <w:r w:rsidR="00BF167A" w:rsidRPr="00E320CE">
        <w:rPr>
          <w:rFonts w:eastAsia="SimSun"/>
          <w:sz w:val="28"/>
          <w:szCs w:val="28"/>
          <w:lang w:val="es-MX"/>
        </w:rPr>
        <w:t xml:space="preserve"> incluso en casos en los que no hay estabilidad laboral reforzada</w:t>
      </w:r>
      <w:r w:rsidR="00BF167A" w:rsidRPr="00E320CE">
        <w:rPr>
          <w:rStyle w:val="Refdenotaalpie"/>
          <w:rFonts w:eastAsia="SimSun"/>
          <w:sz w:val="28"/>
          <w:szCs w:val="28"/>
          <w:lang w:val="es-MX"/>
        </w:rPr>
        <w:footnoteReference w:id="189"/>
      </w:r>
      <w:r w:rsidR="00BF167A" w:rsidRPr="00E320CE">
        <w:rPr>
          <w:rFonts w:eastAsia="SimSun"/>
          <w:sz w:val="28"/>
          <w:szCs w:val="28"/>
          <w:lang w:val="es-MX"/>
        </w:rPr>
        <w:t xml:space="preserve">. Por ende, el hecho de que la empresa accionada se encuentre en liquidación no es suficiente para desvirtuar la presunción de despido discriminatorio, </w:t>
      </w:r>
      <w:r w:rsidR="00D56D2B" w:rsidRPr="00E320CE">
        <w:rPr>
          <w:rFonts w:eastAsia="SimSun"/>
          <w:sz w:val="28"/>
          <w:szCs w:val="28"/>
          <w:lang w:val="es-MX"/>
        </w:rPr>
        <w:t>por lo que</w:t>
      </w:r>
      <w:r w:rsidR="00BF167A" w:rsidRPr="00E320CE">
        <w:rPr>
          <w:rFonts w:eastAsia="SimSun"/>
          <w:sz w:val="28"/>
          <w:szCs w:val="28"/>
          <w:lang w:val="es-MX"/>
        </w:rPr>
        <w:t xml:space="preserve"> operan todas las garantías derivadas de ese derecho</w:t>
      </w:r>
      <w:r w:rsidR="00BF167A" w:rsidRPr="00E320CE">
        <w:rPr>
          <w:rStyle w:val="Refdenotaalpie"/>
          <w:rFonts w:eastAsia="SimSun"/>
          <w:sz w:val="28"/>
          <w:szCs w:val="28"/>
          <w:lang w:val="es-MX"/>
        </w:rPr>
        <w:footnoteReference w:id="190"/>
      </w:r>
      <w:r w:rsidR="00BF167A" w:rsidRPr="00E320CE">
        <w:rPr>
          <w:rFonts w:eastAsia="SimSun"/>
          <w:sz w:val="28"/>
          <w:szCs w:val="28"/>
          <w:lang w:val="es-MX"/>
        </w:rPr>
        <w:t xml:space="preserve">. </w:t>
      </w:r>
    </w:p>
    <w:p w14:paraId="2B8343ED" w14:textId="77777777" w:rsidR="00BF167A" w:rsidRPr="00E320CE" w:rsidRDefault="00BF167A" w:rsidP="00BF167A">
      <w:pPr>
        <w:pStyle w:val="Prrafodelista"/>
        <w:autoSpaceDE/>
        <w:autoSpaceDN/>
        <w:ind w:left="0"/>
        <w:contextualSpacing w:val="0"/>
        <w:jc w:val="both"/>
        <w:rPr>
          <w:rFonts w:eastAsia="SimSun"/>
          <w:sz w:val="28"/>
          <w:szCs w:val="28"/>
          <w:lang w:val="es-MX"/>
        </w:rPr>
      </w:pPr>
    </w:p>
    <w:p w14:paraId="3B84A45E" w14:textId="3C2C41A1" w:rsidR="008163AB" w:rsidRPr="00E320CE" w:rsidRDefault="00634180" w:rsidP="00872E75">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Ahora, </w:t>
      </w:r>
      <w:r w:rsidR="006D71D5" w:rsidRPr="00E320CE">
        <w:rPr>
          <w:rFonts w:eastAsia="SimSun"/>
          <w:sz w:val="28"/>
          <w:szCs w:val="28"/>
          <w:lang w:val="es-MX"/>
        </w:rPr>
        <w:t>el cambio de operador en la prestación de los servicios de salud en el establecimiento carcelario tampoco permite desvirtuar</w:t>
      </w:r>
      <w:r w:rsidRPr="00E320CE">
        <w:rPr>
          <w:rFonts w:eastAsia="SimSun"/>
          <w:sz w:val="28"/>
          <w:szCs w:val="28"/>
          <w:lang w:val="es-MX"/>
        </w:rPr>
        <w:t xml:space="preserve"> </w:t>
      </w:r>
      <w:r w:rsidR="00BF167A" w:rsidRPr="00E320CE">
        <w:rPr>
          <w:rFonts w:eastAsia="SimSun"/>
          <w:sz w:val="28"/>
          <w:szCs w:val="28"/>
          <w:lang w:val="es-MX"/>
        </w:rPr>
        <w:t>la presunción de discriminación</w:t>
      </w:r>
      <w:r w:rsidR="006D71D5" w:rsidRPr="00E320CE">
        <w:rPr>
          <w:rFonts w:eastAsia="SimSun"/>
          <w:sz w:val="28"/>
          <w:szCs w:val="28"/>
          <w:lang w:val="es-MX"/>
        </w:rPr>
        <w:t xml:space="preserve"> del despido</w:t>
      </w:r>
      <w:r w:rsidR="00BF167A" w:rsidRPr="00E320CE">
        <w:rPr>
          <w:rFonts w:eastAsia="SimSun"/>
          <w:sz w:val="28"/>
          <w:szCs w:val="28"/>
          <w:lang w:val="es-MX"/>
        </w:rPr>
        <w:t xml:space="preserve">. </w:t>
      </w:r>
      <w:r w:rsidR="006D71D5" w:rsidRPr="00E320CE">
        <w:rPr>
          <w:rFonts w:eastAsia="SimSun"/>
          <w:sz w:val="28"/>
          <w:szCs w:val="28"/>
          <w:lang w:val="es-MX"/>
        </w:rPr>
        <w:t>En este contexto, las pruebas aportadas en el expediente dan cuenta de que</w:t>
      </w:r>
      <w:r w:rsidR="00BF167A" w:rsidRPr="00E320CE">
        <w:rPr>
          <w:rFonts w:eastAsia="SimSun"/>
          <w:sz w:val="28"/>
          <w:szCs w:val="28"/>
          <w:lang w:val="es-MX"/>
        </w:rPr>
        <w:t xml:space="preserve"> </w:t>
      </w:r>
      <w:r w:rsidR="002F244F" w:rsidRPr="00E320CE">
        <w:rPr>
          <w:rFonts w:eastAsia="SimSun"/>
          <w:sz w:val="28"/>
          <w:szCs w:val="28"/>
          <w:lang w:val="es-MX"/>
        </w:rPr>
        <w:t xml:space="preserve">se produjo una sustitución patronal, </w:t>
      </w:r>
      <w:r w:rsidR="006D71D5" w:rsidRPr="00E320CE">
        <w:rPr>
          <w:rFonts w:eastAsia="SimSun"/>
          <w:sz w:val="28"/>
          <w:szCs w:val="28"/>
          <w:lang w:val="es-MX"/>
        </w:rPr>
        <w:t xml:space="preserve">ya que </w:t>
      </w:r>
      <w:r w:rsidR="002F244F" w:rsidRPr="00E320CE">
        <w:rPr>
          <w:rFonts w:eastAsia="SimSun"/>
          <w:sz w:val="28"/>
          <w:szCs w:val="28"/>
          <w:lang w:val="es-MX"/>
        </w:rPr>
        <w:t xml:space="preserve">la operación relacionada con la prestación </w:t>
      </w:r>
      <w:r w:rsidR="002F244F" w:rsidRPr="00E320CE">
        <w:rPr>
          <w:sz w:val="28"/>
          <w:szCs w:val="28"/>
        </w:rPr>
        <w:t xml:space="preserve">de servicios de salud de baja y mediana complejidad a la población privada de la libertad </w:t>
      </w:r>
      <w:r w:rsidR="00077B2F" w:rsidRPr="00E320CE">
        <w:rPr>
          <w:sz w:val="28"/>
          <w:szCs w:val="28"/>
        </w:rPr>
        <w:t xml:space="preserve">no finalizó, </w:t>
      </w:r>
      <w:r w:rsidR="00743483" w:rsidRPr="00E320CE">
        <w:rPr>
          <w:sz w:val="28"/>
          <w:szCs w:val="28"/>
        </w:rPr>
        <w:t xml:space="preserve">solo cambió el operador, quien no justificó las razones por las que no necesitaba los </w:t>
      </w:r>
      <w:r w:rsidR="000769FE" w:rsidRPr="00E320CE">
        <w:rPr>
          <w:sz w:val="28"/>
          <w:szCs w:val="28"/>
        </w:rPr>
        <w:t>servicios</w:t>
      </w:r>
      <w:r w:rsidR="00743483" w:rsidRPr="00E320CE">
        <w:rPr>
          <w:sz w:val="28"/>
          <w:szCs w:val="28"/>
        </w:rPr>
        <w:t xml:space="preserve"> de la accionante</w:t>
      </w:r>
      <w:r w:rsidR="002F244F" w:rsidRPr="00E320CE">
        <w:rPr>
          <w:sz w:val="28"/>
          <w:szCs w:val="28"/>
        </w:rPr>
        <w:t xml:space="preserve">. </w:t>
      </w:r>
    </w:p>
    <w:p w14:paraId="6AA27FF0" w14:textId="77777777" w:rsidR="008163AB" w:rsidRPr="00E320CE" w:rsidRDefault="008163AB" w:rsidP="000769FE">
      <w:pPr>
        <w:pStyle w:val="Prrafodelista"/>
        <w:rPr>
          <w:sz w:val="28"/>
          <w:szCs w:val="28"/>
        </w:rPr>
      </w:pPr>
    </w:p>
    <w:p w14:paraId="68BEF60E" w14:textId="08DE959C" w:rsidR="002F244F" w:rsidRPr="00E320CE" w:rsidRDefault="008163AB" w:rsidP="00872E75">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rPr>
        <w:t xml:space="preserve">Como se dijo, </w:t>
      </w:r>
      <w:r w:rsidR="002F244F" w:rsidRPr="00E320CE">
        <w:rPr>
          <w:sz w:val="28"/>
          <w:szCs w:val="28"/>
        </w:rPr>
        <w:t xml:space="preserve">con el fin de declarar la configuración de la sustitución patronal, debe acreditarse </w:t>
      </w:r>
      <w:r w:rsidR="002F244F" w:rsidRPr="00E320CE">
        <w:rPr>
          <w:sz w:val="28"/>
          <w:szCs w:val="28"/>
          <w:lang w:val="es-CO" w:eastAsia="es-MX"/>
        </w:rPr>
        <w:t>(</w:t>
      </w:r>
      <w:r w:rsidR="002F244F" w:rsidRPr="00E320CE">
        <w:rPr>
          <w:rFonts w:eastAsia="SimSun"/>
          <w:sz w:val="28"/>
          <w:szCs w:val="28"/>
          <w:lang w:val="es-MX"/>
        </w:rPr>
        <w:t>i) un cambio de empleador; (</w:t>
      </w:r>
      <w:proofErr w:type="spellStart"/>
      <w:r w:rsidR="002F244F" w:rsidRPr="00E320CE">
        <w:rPr>
          <w:rFonts w:eastAsia="SimSun"/>
          <w:sz w:val="28"/>
          <w:szCs w:val="28"/>
          <w:lang w:val="es-MX"/>
        </w:rPr>
        <w:t>ii</w:t>
      </w:r>
      <w:proofErr w:type="spellEnd"/>
      <w:r w:rsidR="002F244F" w:rsidRPr="00E320CE">
        <w:rPr>
          <w:rFonts w:eastAsia="SimSun"/>
          <w:sz w:val="28"/>
          <w:szCs w:val="28"/>
          <w:lang w:val="es-MX"/>
        </w:rPr>
        <w:t>) la continuidad de la empresa o afinidad en sus operaciones; y (</w:t>
      </w:r>
      <w:proofErr w:type="spellStart"/>
      <w:r w:rsidR="002F244F" w:rsidRPr="00E320CE">
        <w:rPr>
          <w:rFonts w:eastAsia="SimSun"/>
          <w:sz w:val="28"/>
          <w:szCs w:val="28"/>
          <w:lang w:val="es-MX"/>
        </w:rPr>
        <w:t>iii</w:t>
      </w:r>
      <w:proofErr w:type="spellEnd"/>
      <w:r w:rsidR="002F244F" w:rsidRPr="00E320CE">
        <w:rPr>
          <w:rFonts w:eastAsia="SimSun"/>
          <w:sz w:val="28"/>
          <w:szCs w:val="28"/>
          <w:lang w:val="es-MX"/>
        </w:rPr>
        <w:t>) la continuidad del trabajador.</w:t>
      </w:r>
    </w:p>
    <w:p w14:paraId="2573283E" w14:textId="77777777" w:rsidR="002F244F" w:rsidRPr="00E320CE" w:rsidRDefault="002F244F" w:rsidP="002F244F">
      <w:pPr>
        <w:pStyle w:val="Prrafodelista"/>
        <w:rPr>
          <w:rFonts w:eastAsia="SimSun"/>
          <w:sz w:val="28"/>
          <w:szCs w:val="28"/>
          <w:lang w:val="es-MX"/>
        </w:rPr>
      </w:pPr>
    </w:p>
    <w:p w14:paraId="3941871F" w14:textId="0CB71D8D" w:rsidR="00A6269A" w:rsidRPr="00E320CE" w:rsidRDefault="002F244F" w:rsidP="00A6269A">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En primer lugar, </w:t>
      </w:r>
      <w:r w:rsidR="00A6269A" w:rsidRPr="00E320CE">
        <w:rPr>
          <w:rFonts w:eastAsia="SimSun"/>
          <w:sz w:val="28"/>
          <w:szCs w:val="28"/>
          <w:lang w:val="es-MX"/>
        </w:rPr>
        <w:t>hubo un cambio de empleador y</w:t>
      </w:r>
      <w:r w:rsidR="0080273E" w:rsidRPr="00E320CE">
        <w:rPr>
          <w:rFonts w:eastAsia="SimSun"/>
          <w:sz w:val="28"/>
          <w:szCs w:val="28"/>
          <w:lang w:val="es-MX"/>
        </w:rPr>
        <w:t>,</w:t>
      </w:r>
      <w:r w:rsidR="00A6269A" w:rsidRPr="00E320CE">
        <w:rPr>
          <w:rFonts w:eastAsia="SimSun"/>
          <w:sz w:val="28"/>
          <w:szCs w:val="28"/>
          <w:lang w:val="es-MX"/>
        </w:rPr>
        <w:t xml:space="preserve"> entre ambas uniones temporales</w:t>
      </w:r>
      <w:r w:rsidR="0080273E" w:rsidRPr="00E320CE">
        <w:rPr>
          <w:rFonts w:eastAsia="SimSun"/>
          <w:sz w:val="28"/>
          <w:szCs w:val="28"/>
          <w:lang w:val="es-MX"/>
        </w:rPr>
        <w:t>,</w:t>
      </w:r>
      <w:r w:rsidR="00A6269A" w:rsidRPr="00E320CE">
        <w:rPr>
          <w:rFonts w:eastAsia="SimSun"/>
          <w:sz w:val="28"/>
          <w:szCs w:val="28"/>
          <w:lang w:val="es-MX"/>
        </w:rPr>
        <w:t xml:space="preserve"> existió continuidad de la empresa y de sus operaciones. </w:t>
      </w:r>
      <w:r w:rsidRPr="00E320CE">
        <w:rPr>
          <w:sz w:val="28"/>
          <w:szCs w:val="28"/>
        </w:rPr>
        <w:t xml:space="preserve">Es claro que, una vez cumplido el contrato celebrado entre la Unión Temporal Salud Integral PPL y el fideicomiso Fondo Nacional de Salud PPL, este último celebró un nuevo contrato con la Unión Temporal </w:t>
      </w:r>
      <w:proofErr w:type="spellStart"/>
      <w:r w:rsidRPr="00E320CE">
        <w:rPr>
          <w:sz w:val="28"/>
          <w:szCs w:val="28"/>
        </w:rPr>
        <w:t>Norsalud</w:t>
      </w:r>
      <w:proofErr w:type="spellEnd"/>
      <w:r w:rsidRPr="00E320CE">
        <w:rPr>
          <w:sz w:val="28"/>
          <w:szCs w:val="28"/>
        </w:rPr>
        <w:t xml:space="preserve"> PPL</w:t>
      </w:r>
      <w:r w:rsidR="00A6269A" w:rsidRPr="00E320CE">
        <w:rPr>
          <w:sz w:val="28"/>
          <w:szCs w:val="28"/>
        </w:rPr>
        <w:t xml:space="preserve"> con el fin de prestar servicios de salud de baja y mediana complejidad a la población privada de la libertad </w:t>
      </w:r>
      <w:r w:rsidR="0080273E" w:rsidRPr="00E320CE">
        <w:rPr>
          <w:sz w:val="28"/>
          <w:szCs w:val="28"/>
        </w:rPr>
        <w:t xml:space="preserve">en los </w:t>
      </w:r>
      <w:r w:rsidR="00A6269A" w:rsidRPr="00E320CE">
        <w:rPr>
          <w:sz w:val="28"/>
          <w:szCs w:val="28"/>
        </w:rPr>
        <w:t xml:space="preserve">establecimientos penitenciarios de la región norte del país (entre ellos </w:t>
      </w:r>
      <w:r w:rsidR="00A6269A" w:rsidRPr="00E320CE">
        <w:rPr>
          <w:sz w:val="28"/>
          <w:szCs w:val="28"/>
          <w:lang w:val="es-CO"/>
        </w:rPr>
        <w:t xml:space="preserve">el </w:t>
      </w:r>
      <w:r w:rsidR="00A6269A" w:rsidRPr="00E320CE">
        <w:rPr>
          <w:sz w:val="28"/>
          <w:szCs w:val="28"/>
        </w:rPr>
        <w:t>Establecimiento Penitenciario de Mediana Seguridad y Carcelario de Cartagena)</w:t>
      </w:r>
      <w:r w:rsidRPr="00E320CE">
        <w:rPr>
          <w:rStyle w:val="Refdenotaalpie"/>
          <w:sz w:val="28"/>
          <w:szCs w:val="28"/>
        </w:rPr>
        <w:footnoteReference w:id="191"/>
      </w:r>
      <w:r w:rsidRPr="00E320CE">
        <w:rPr>
          <w:sz w:val="28"/>
          <w:szCs w:val="28"/>
        </w:rPr>
        <w:t>.</w:t>
      </w:r>
      <w:r w:rsidR="00A6269A" w:rsidRPr="00E320CE">
        <w:rPr>
          <w:sz w:val="28"/>
          <w:szCs w:val="28"/>
        </w:rPr>
        <w:t xml:space="preserve"> Est</w:t>
      </w:r>
      <w:r w:rsidR="0080273E" w:rsidRPr="00E320CE">
        <w:rPr>
          <w:sz w:val="28"/>
          <w:szCs w:val="28"/>
        </w:rPr>
        <w:t>a</w:t>
      </w:r>
      <w:r w:rsidR="00A6269A" w:rsidRPr="00E320CE">
        <w:rPr>
          <w:sz w:val="28"/>
          <w:szCs w:val="28"/>
        </w:rPr>
        <w:t xml:space="preserve"> era la misma actividad que </w:t>
      </w:r>
      <w:r w:rsidR="0080273E" w:rsidRPr="00E320CE">
        <w:rPr>
          <w:sz w:val="28"/>
          <w:szCs w:val="28"/>
        </w:rPr>
        <w:t>asumió Salud Integral PPL</w:t>
      </w:r>
      <w:r w:rsidR="00A6269A" w:rsidRPr="00E320CE">
        <w:rPr>
          <w:sz w:val="28"/>
          <w:szCs w:val="28"/>
        </w:rPr>
        <w:t xml:space="preserve"> entre el 4 de enero de 2022 y el 31 de julio de 2024</w:t>
      </w:r>
      <w:r w:rsidR="00A6269A" w:rsidRPr="00E320CE">
        <w:rPr>
          <w:rStyle w:val="Refdenotaalpie"/>
          <w:sz w:val="28"/>
          <w:szCs w:val="28"/>
        </w:rPr>
        <w:footnoteReference w:id="192"/>
      </w:r>
      <w:r w:rsidR="00A418E4" w:rsidRPr="00E320CE">
        <w:rPr>
          <w:sz w:val="28"/>
          <w:szCs w:val="28"/>
        </w:rPr>
        <w:t xml:space="preserve">. </w:t>
      </w:r>
      <w:r w:rsidR="00221B18" w:rsidRPr="00E320CE">
        <w:rPr>
          <w:sz w:val="28"/>
          <w:szCs w:val="28"/>
        </w:rPr>
        <w:t>Además, la</w:t>
      </w:r>
      <w:r w:rsidR="00A418E4" w:rsidRPr="00E320CE">
        <w:rPr>
          <w:sz w:val="28"/>
          <w:szCs w:val="28"/>
        </w:rPr>
        <w:t xml:space="preserve"> afinidad en las operaciones </w:t>
      </w:r>
      <w:r w:rsidR="00BA3761" w:rsidRPr="00E320CE">
        <w:rPr>
          <w:sz w:val="28"/>
          <w:szCs w:val="28"/>
        </w:rPr>
        <w:t>de</w:t>
      </w:r>
      <w:r w:rsidR="00221B18" w:rsidRPr="00E320CE">
        <w:rPr>
          <w:sz w:val="28"/>
          <w:szCs w:val="28"/>
        </w:rPr>
        <w:t xml:space="preserve"> </w:t>
      </w:r>
      <w:r w:rsidR="00BA3761" w:rsidRPr="00E320CE">
        <w:rPr>
          <w:sz w:val="28"/>
          <w:szCs w:val="28"/>
        </w:rPr>
        <w:t>las</w:t>
      </w:r>
      <w:r w:rsidR="00221B18" w:rsidRPr="00E320CE">
        <w:rPr>
          <w:sz w:val="28"/>
          <w:szCs w:val="28"/>
        </w:rPr>
        <w:t xml:space="preserve"> uniones temporales se encuentra </w:t>
      </w:r>
      <w:r w:rsidR="00A418E4" w:rsidRPr="00E320CE">
        <w:rPr>
          <w:sz w:val="28"/>
          <w:szCs w:val="28"/>
        </w:rPr>
        <w:t xml:space="preserve">acreditada con los registros </w:t>
      </w:r>
      <w:proofErr w:type="gramStart"/>
      <w:r w:rsidR="00A418E4" w:rsidRPr="00E320CE">
        <w:rPr>
          <w:sz w:val="28"/>
          <w:szCs w:val="28"/>
        </w:rPr>
        <w:lastRenderedPageBreak/>
        <w:t>único tributarios</w:t>
      </w:r>
      <w:proofErr w:type="gramEnd"/>
      <w:r w:rsidR="00A418E4" w:rsidRPr="00E320CE">
        <w:rPr>
          <w:sz w:val="28"/>
          <w:szCs w:val="28"/>
        </w:rPr>
        <w:t xml:space="preserve">, </w:t>
      </w:r>
      <w:r w:rsidR="00BA3761" w:rsidRPr="00E320CE">
        <w:rPr>
          <w:sz w:val="28"/>
          <w:szCs w:val="28"/>
        </w:rPr>
        <w:t xml:space="preserve">según los cuales, </w:t>
      </w:r>
      <w:r w:rsidR="002C0EAA" w:rsidRPr="00E320CE">
        <w:rPr>
          <w:sz w:val="28"/>
          <w:szCs w:val="28"/>
        </w:rPr>
        <w:t xml:space="preserve">la actividad </w:t>
      </w:r>
      <w:r w:rsidR="00C85D40" w:rsidRPr="00E320CE">
        <w:rPr>
          <w:sz w:val="28"/>
          <w:szCs w:val="28"/>
        </w:rPr>
        <w:t xml:space="preserve">principal de </w:t>
      </w:r>
      <w:r w:rsidR="00A418E4" w:rsidRPr="00E320CE">
        <w:rPr>
          <w:sz w:val="28"/>
          <w:szCs w:val="28"/>
        </w:rPr>
        <w:t>ambas</w:t>
      </w:r>
      <w:r w:rsidR="00BA3761" w:rsidRPr="00E320CE">
        <w:rPr>
          <w:sz w:val="28"/>
          <w:szCs w:val="28"/>
        </w:rPr>
        <w:t xml:space="preserve"> UT</w:t>
      </w:r>
      <w:r w:rsidR="00A418E4" w:rsidRPr="00E320CE">
        <w:rPr>
          <w:sz w:val="28"/>
          <w:szCs w:val="28"/>
        </w:rPr>
        <w:t xml:space="preserve"> </w:t>
      </w:r>
      <w:r w:rsidR="00C85D40" w:rsidRPr="00E320CE">
        <w:rPr>
          <w:sz w:val="28"/>
          <w:szCs w:val="28"/>
        </w:rPr>
        <w:t>era</w:t>
      </w:r>
      <w:r w:rsidR="00A418E4" w:rsidRPr="00E320CE">
        <w:rPr>
          <w:sz w:val="28"/>
          <w:szCs w:val="28"/>
        </w:rPr>
        <w:t xml:space="preserve"> la práctica médica, sin internación</w:t>
      </w:r>
      <w:r w:rsidR="00A418E4" w:rsidRPr="00E320CE">
        <w:rPr>
          <w:rStyle w:val="Refdenotaalpie"/>
          <w:sz w:val="28"/>
          <w:szCs w:val="28"/>
        </w:rPr>
        <w:footnoteReference w:id="193"/>
      </w:r>
      <w:r w:rsidR="00A418E4" w:rsidRPr="00E320CE">
        <w:rPr>
          <w:sz w:val="28"/>
          <w:szCs w:val="28"/>
        </w:rPr>
        <w:t>.</w:t>
      </w:r>
    </w:p>
    <w:p w14:paraId="21E97EDD" w14:textId="77777777" w:rsidR="00A6269A" w:rsidRPr="00E320CE" w:rsidRDefault="00A6269A" w:rsidP="00A6269A">
      <w:pPr>
        <w:pStyle w:val="Prrafodelista"/>
        <w:rPr>
          <w:sz w:val="28"/>
          <w:szCs w:val="28"/>
        </w:rPr>
      </w:pPr>
    </w:p>
    <w:p w14:paraId="06ECA2C4" w14:textId="1DF07B42" w:rsidR="000647DF" w:rsidRPr="00E320CE" w:rsidRDefault="006919D3" w:rsidP="00A6269A">
      <w:pPr>
        <w:pStyle w:val="Prrafodelista"/>
        <w:numPr>
          <w:ilvl w:val="0"/>
          <w:numId w:val="1"/>
        </w:numPr>
        <w:autoSpaceDE/>
        <w:autoSpaceDN/>
        <w:ind w:left="0" w:firstLine="0"/>
        <w:contextualSpacing w:val="0"/>
        <w:jc w:val="both"/>
        <w:rPr>
          <w:rFonts w:eastAsia="SimSun"/>
          <w:sz w:val="28"/>
          <w:szCs w:val="28"/>
          <w:lang w:val="es-MX"/>
        </w:rPr>
      </w:pPr>
      <w:r w:rsidRPr="00E320CE">
        <w:rPr>
          <w:sz w:val="28"/>
          <w:szCs w:val="28"/>
        </w:rPr>
        <w:t>En segundo lugar</w:t>
      </w:r>
      <w:r w:rsidR="00A418E4" w:rsidRPr="00E320CE">
        <w:rPr>
          <w:sz w:val="28"/>
          <w:szCs w:val="28"/>
        </w:rPr>
        <w:t xml:space="preserve">, existió continuidad de la trabajadora por dos razones. En primer lugar, la Unión Temporal </w:t>
      </w:r>
      <w:proofErr w:type="spellStart"/>
      <w:r w:rsidR="00A418E4" w:rsidRPr="00E320CE">
        <w:rPr>
          <w:sz w:val="28"/>
          <w:szCs w:val="28"/>
        </w:rPr>
        <w:t>Norsalud</w:t>
      </w:r>
      <w:proofErr w:type="spellEnd"/>
      <w:r w:rsidR="00A418E4" w:rsidRPr="00E320CE">
        <w:rPr>
          <w:sz w:val="28"/>
          <w:szCs w:val="28"/>
        </w:rPr>
        <w:t xml:space="preserve"> PPL </w:t>
      </w:r>
      <w:r w:rsidR="003D2A81" w:rsidRPr="00E320CE">
        <w:rPr>
          <w:sz w:val="28"/>
          <w:szCs w:val="28"/>
        </w:rPr>
        <w:t xml:space="preserve">inició operaciones </w:t>
      </w:r>
      <w:r w:rsidR="00A418E4" w:rsidRPr="00E320CE">
        <w:rPr>
          <w:sz w:val="28"/>
          <w:szCs w:val="28"/>
        </w:rPr>
        <w:t xml:space="preserve">antes de </w:t>
      </w:r>
      <w:r w:rsidR="003D2A81" w:rsidRPr="00E320CE">
        <w:rPr>
          <w:sz w:val="28"/>
          <w:szCs w:val="28"/>
        </w:rPr>
        <w:t>la terminación d</w:t>
      </w:r>
      <w:r w:rsidR="00A418E4" w:rsidRPr="00E320CE">
        <w:rPr>
          <w:sz w:val="28"/>
          <w:szCs w:val="28"/>
        </w:rPr>
        <w:t xml:space="preserve">el contrato de prestación de servicios de la accionante. Específicamente, de acuerdo con </w:t>
      </w:r>
      <w:r w:rsidR="00F12D1A" w:rsidRPr="00E320CE">
        <w:rPr>
          <w:sz w:val="28"/>
          <w:szCs w:val="28"/>
        </w:rPr>
        <w:t xml:space="preserve">la información </w:t>
      </w:r>
      <w:proofErr w:type="spellStart"/>
      <w:r w:rsidR="00F12D1A" w:rsidRPr="00E320CE">
        <w:rPr>
          <w:sz w:val="28"/>
          <w:szCs w:val="28"/>
        </w:rPr>
        <w:t>consiganda</w:t>
      </w:r>
      <w:proofErr w:type="spellEnd"/>
      <w:r w:rsidR="00F12D1A" w:rsidRPr="00E320CE">
        <w:rPr>
          <w:sz w:val="28"/>
          <w:szCs w:val="28"/>
        </w:rPr>
        <w:t xml:space="preserve"> en el</w:t>
      </w:r>
      <w:r w:rsidR="00A418E4" w:rsidRPr="00E320CE">
        <w:rPr>
          <w:sz w:val="28"/>
          <w:szCs w:val="28"/>
        </w:rPr>
        <w:t xml:space="preserve"> RUT de </w:t>
      </w:r>
      <w:proofErr w:type="spellStart"/>
      <w:r w:rsidR="00A418E4" w:rsidRPr="00E320CE">
        <w:rPr>
          <w:sz w:val="28"/>
          <w:szCs w:val="28"/>
        </w:rPr>
        <w:t>Norsalud</w:t>
      </w:r>
      <w:proofErr w:type="spellEnd"/>
      <w:r w:rsidR="00F12D1A" w:rsidRPr="00E320CE">
        <w:rPr>
          <w:sz w:val="28"/>
          <w:szCs w:val="28"/>
        </w:rPr>
        <w:t xml:space="preserve"> y la información suministrada por la</w:t>
      </w:r>
      <w:r w:rsidR="003D2A81" w:rsidRPr="00E320CE">
        <w:rPr>
          <w:sz w:val="28"/>
          <w:szCs w:val="28"/>
        </w:rPr>
        <w:t xml:space="preserve"> propia</w:t>
      </w:r>
      <w:r w:rsidR="00F12D1A" w:rsidRPr="00E320CE">
        <w:rPr>
          <w:sz w:val="28"/>
          <w:szCs w:val="28"/>
        </w:rPr>
        <w:t xml:space="preserve"> unión temporal</w:t>
      </w:r>
      <w:r w:rsidR="00A418E4" w:rsidRPr="00E320CE">
        <w:rPr>
          <w:sz w:val="28"/>
          <w:szCs w:val="28"/>
        </w:rPr>
        <w:t xml:space="preserve">, </w:t>
      </w:r>
      <w:r w:rsidR="00B14AED" w:rsidRPr="00E320CE">
        <w:rPr>
          <w:sz w:val="28"/>
          <w:szCs w:val="28"/>
        </w:rPr>
        <w:t xml:space="preserve">el contrato </w:t>
      </w:r>
      <w:r w:rsidR="003D2A81" w:rsidRPr="00E320CE">
        <w:rPr>
          <w:sz w:val="28"/>
          <w:szCs w:val="28"/>
        </w:rPr>
        <w:t xml:space="preserve">fue adjudicado </w:t>
      </w:r>
      <w:r w:rsidR="00B14AED" w:rsidRPr="00E320CE">
        <w:rPr>
          <w:sz w:val="28"/>
          <w:szCs w:val="28"/>
        </w:rPr>
        <w:t xml:space="preserve">el 24 de julio, </w:t>
      </w:r>
      <w:r w:rsidR="003D2A81" w:rsidRPr="00E320CE">
        <w:rPr>
          <w:sz w:val="28"/>
          <w:szCs w:val="28"/>
        </w:rPr>
        <w:t xml:space="preserve">suscrito </w:t>
      </w:r>
      <w:r w:rsidR="00B14AED" w:rsidRPr="00E320CE">
        <w:rPr>
          <w:sz w:val="28"/>
          <w:szCs w:val="28"/>
        </w:rPr>
        <w:t xml:space="preserve">el </w:t>
      </w:r>
      <w:r w:rsidR="009F0C67" w:rsidRPr="00E320CE">
        <w:rPr>
          <w:sz w:val="28"/>
          <w:szCs w:val="28"/>
        </w:rPr>
        <w:t>25 de julio y</w:t>
      </w:r>
      <w:r w:rsidR="00A418E4" w:rsidRPr="00E320CE">
        <w:rPr>
          <w:sz w:val="28"/>
          <w:szCs w:val="28"/>
        </w:rPr>
        <w:t xml:space="preserve"> su actividad</w:t>
      </w:r>
      <w:r w:rsidR="003D2A81" w:rsidRPr="00E320CE">
        <w:rPr>
          <w:sz w:val="28"/>
          <w:szCs w:val="28"/>
        </w:rPr>
        <w:t xml:space="preserve"> inició</w:t>
      </w:r>
      <w:r w:rsidR="00A418E4" w:rsidRPr="00E320CE">
        <w:rPr>
          <w:sz w:val="28"/>
          <w:szCs w:val="28"/>
        </w:rPr>
        <w:t xml:space="preserve"> el 29 de julio de 2024</w:t>
      </w:r>
      <w:r w:rsidR="00A418E4" w:rsidRPr="00E320CE">
        <w:rPr>
          <w:rStyle w:val="Refdenotaalpie"/>
          <w:sz w:val="28"/>
          <w:szCs w:val="28"/>
        </w:rPr>
        <w:footnoteReference w:id="194"/>
      </w:r>
      <w:r w:rsidR="009F0C67" w:rsidRPr="00E320CE">
        <w:rPr>
          <w:sz w:val="28"/>
          <w:szCs w:val="28"/>
        </w:rPr>
        <w:t xml:space="preserve">. En contraste, </w:t>
      </w:r>
      <w:r w:rsidR="00A418E4" w:rsidRPr="00E320CE">
        <w:rPr>
          <w:sz w:val="28"/>
          <w:szCs w:val="28"/>
        </w:rPr>
        <w:t xml:space="preserve">la carta de terminación del contrato de prestación de servicios fue </w:t>
      </w:r>
      <w:r w:rsidR="00B82E0C" w:rsidRPr="00E320CE">
        <w:rPr>
          <w:sz w:val="28"/>
          <w:szCs w:val="28"/>
        </w:rPr>
        <w:t>enviada a la actora</w:t>
      </w:r>
      <w:r w:rsidR="00A418E4" w:rsidRPr="00E320CE">
        <w:rPr>
          <w:sz w:val="28"/>
          <w:szCs w:val="28"/>
        </w:rPr>
        <w:t xml:space="preserve"> el 31 de julio de 2024. En esos términos, es necesario aplicar </w:t>
      </w:r>
      <w:r w:rsidR="009F0C67" w:rsidRPr="00E320CE">
        <w:rPr>
          <w:sz w:val="28"/>
          <w:szCs w:val="28"/>
        </w:rPr>
        <w:t>las consecuencias d</w:t>
      </w:r>
      <w:r w:rsidR="00A418E4" w:rsidRPr="00E320CE">
        <w:rPr>
          <w:sz w:val="28"/>
          <w:szCs w:val="28"/>
        </w:rPr>
        <w:t xml:space="preserve">el </w:t>
      </w:r>
      <w:r w:rsidR="00A418E4" w:rsidRPr="00E320CE">
        <w:rPr>
          <w:rFonts w:eastAsia="SimSun"/>
          <w:sz w:val="28"/>
          <w:szCs w:val="28"/>
          <w:lang w:val="es-MX"/>
        </w:rPr>
        <w:t xml:space="preserve">artículo 69 del Código Sustantivo del Trabajo, </w:t>
      </w:r>
      <w:r w:rsidR="009F0C67" w:rsidRPr="00E320CE">
        <w:rPr>
          <w:rFonts w:eastAsia="SimSun"/>
          <w:sz w:val="28"/>
          <w:szCs w:val="28"/>
          <w:lang w:val="es-MX"/>
        </w:rPr>
        <w:t xml:space="preserve">según el cual, </w:t>
      </w:r>
      <w:r w:rsidR="00A418E4" w:rsidRPr="00E320CE">
        <w:rPr>
          <w:rFonts w:eastAsia="SimSun"/>
          <w:sz w:val="28"/>
          <w:szCs w:val="28"/>
          <w:lang w:val="es-MX"/>
        </w:rPr>
        <w:t>el cambio de patrono “no extingue, suspende ni modifica por sí mismo los contratos de trabajo existentes”. Es</w:t>
      </w:r>
      <w:r w:rsidR="003D2A81" w:rsidRPr="00E320CE">
        <w:rPr>
          <w:rFonts w:eastAsia="SimSun"/>
          <w:sz w:val="28"/>
          <w:szCs w:val="28"/>
          <w:lang w:val="es-MX"/>
        </w:rPr>
        <w:t>t</w:t>
      </w:r>
      <w:r w:rsidR="00A418E4" w:rsidRPr="00E320CE">
        <w:rPr>
          <w:rFonts w:eastAsia="SimSun"/>
          <w:sz w:val="28"/>
          <w:szCs w:val="28"/>
          <w:lang w:val="es-MX"/>
        </w:rPr>
        <w:t xml:space="preserve">o significa que, si </w:t>
      </w:r>
      <w:r w:rsidR="005C16C7" w:rsidRPr="00E320CE">
        <w:rPr>
          <w:rFonts w:eastAsia="SimSun"/>
          <w:sz w:val="28"/>
          <w:szCs w:val="28"/>
          <w:lang w:val="es-MX"/>
        </w:rPr>
        <w:t>la relación laboral que se venía ejecutando entre</w:t>
      </w:r>
      <w:r w:rsidR="00A418E4" w:rsidRPr="00E320CE">
        <w:rPr>
          <w:rFonts w:eastAsia="SimSun"/>
          <w:sz w:val="28"/>
          <w:szCs w:val="28"/>
          <w:lang w:val="es-MX"/>
        </w:rPr>
        <w:t xml:space="preserve"> la actora y la antigua empleadora continuó surtiendo efectos con el nuevo patrono (al no</w:t>
      </w:r>
      <w:r w:rsidR="003D2A81" w:rsidRPr="00E320CE">
        <w:rPr>
          <w:rFonts w:eastAsia="SimSun"/>
          <w:sz w:val="28"/>
          <w:szCs w:val="28"/>
          <w:lang w:val="es-MX"/>
        </w:rPr>
        <w:t xml:space="preserve"> haber sido </w:t>
      </w:r>
      <w:r w:rsidR="00A418E4" w:rsidRPr="00E320CE">
        <w:rPr>
          <w:rFonts w:eastAsia="SimSun"/>
          <w:sz w:val="28"/>
          <w:szCs w:val="28"/>
          <w:lang w:val="es-MX"/>
        </w:rPr>
        <w:t>terminad</w:t>
      </w:r>
      <w:r w:rsidR="003D2A81" w:rsidRPr="00E320CE">
        <w:rPr>
          <w:rFonts w:eastAsia="SimSun"/>
          <w:sz w:val="28"/>
          <w:szCs w:val="28"/>
          <w:lang w:val="es-MX"/>
        </w:rPr>
        <w:t>a</w:t>
      </w:r>
      <w:r w:rsidR="00A418E4" w:rsidRPr="00E320CE">
        <w:rPr>
          <w:rFonts w:eastAsia="SimSun"/>
          <w:sz w:val="28"/>
          <w:szCs w:val="28"/>
          <w:lang w:val="es-MX"/>
        </w:rPr>
        <w:t xml:space="preserve"> previamente), </w:t>
      </w:r>
      <w:r w:rsidR="0015497D" w:rsidRPr="00E320CE">
        <w:rPr>
          <w:rFonts w:eastAsia="SimSun"/>
          <w:sz w:val="28"/>
          <w:szCs w:val="28"/>
          <w:lang w:val="es-MX"/>
        </w:rPr>
        <w:t xml:space="preserve">se cumple el presupuesto de </w:t>
      </w:r>
      <w:r w:rsidR="00A418E4" w:rsidRPr="00E320CE">
        <w:rPr>
          <w:rFonts w:eastAsia="SimSun"/>
          <w:sz w:val="28"/>
          <w:szCs w:val="28"/>
          <w:lang w:val="es-MX"/>
        </w:rPr>
        <w:t xml:space="preserve">continuidad de la trabajadora. </w:t>
      </w:r>
    </w:p>
    <w:p w14:paraId="63F91EE6" w14:textId="77777777" w:rsidR="00A418E4" w:rsidRPr="00E320CE" w:rsidRDefault="00A418E4" w:rsidP="00A418E4">
      <w:pPr>
        <w:pStyle w:val="Prrafodelista"/>
        <w:rPr>
          <w:rFonts w:eastAsia="SimSun"/>
          <w:sz w:val="28"/>
          <w:szCs w:val="28"/>
          <w:lang w:val="es-MX"/>
        </w:rPr>
      </w:pPr>
    </w:p>
    <w:p w14:paraId="12A1CB18" w14:textId="56AA4A41" w:rsidR="00A418E4" w:rsidRPr="00E320CE" w:rsidRDefault="00166B0C" w:rsidP="00A6269A">
      <w:pPr>
        <w:pStyle w:val="Prrafodelista"/>
        <w:numPr>
          <w:ilvl w:val="0"/>
          <w:numId w:val="1"/>
        </w:numPr>
        <w:autoSpaceDE/>
        <w:autoSpaceDN/>
        <w:ind w:left="0" w:firstLine="0"/>
        <w:contextualSpacing w:val="0"/>
        <w:jc w:val="both"/>
        <w:rPr>
          <w:rFonts w:eastAsia="SimSun"/>
          <w:sz w:val="28"/>
          <w:szCs w:val="28"/>
          <w:lang w:val="es-MX"/>
        </w:rPr>
      </w:pPr>
      <w:r w:rsidRPr="00E320CE">
        <w:rPr>
          <w:rFonts w:eastAsia="SimSun"/>
          <w:sz w:val="28"/>
          <w:szCs w:val="28"/>
          <w:lang w:val="es-MX"/>
        </w:rPr>
        <w:t xml:space="preserve">Adicionalmente, es importante tener en cuenta que, en la acción de tutela, </w:t>
      </w:r>
      <w:r w:rsidR="00E320CE" w:rsidRPr="00E320CE">
        <w:rPr>
          <w:i/>
          <w:iCs/>
          <w:sz w:val="28"/>
          <w:szCs w:val="28"/>
          <w:lang w:val="es-CO"/>
        </w:rPr>
        <w:t>Greta</w:t>
      </w:r>
      <w:r w:rsidR="00E320CE" w:rsidRPr="00E320CE" w:rsidDel="006E6781">
        <w:rPr>
          <w:sz w:val="28"/>
          <w:szCs w:val="28"/>
          <w:lang w:val="es-CO"/>
        </w:rPr>
        <w:t xml:space="preserve"> </w:t>
      </w:r>
      <w:r w:rsidRPr="00E320CE">
        <w:rPr>
          <w:rFonts w:eastAsia="SimSun"/>
          <w:sz w:val="28"/>
          <w:szCs w:val="28"/>
          <w:lang w:val="es-MX"/>
        </w:rPr>
        <w:t xml:space="preserve">sostuvo que </w:t>
      </w:r>
      <w:proofErr w:type="spellStart"/>
      <w:r w:rsidR="00E174BC" w:rsidRPr="00E320CE">
        <w:rPr>
          <w:rFonts w:eastAsia="SimSun"/>
          <w:sz w:val="28"/>
          <w:szCs w:val="28"/>
          <w:lang w:val="es-MX"/>
        </w:rPr>
        <w:t>Norsalud</w:t>
      </w:r>
      <w:proofErr w:type="spellEnd"/>
      <w:r w:rsidR="00E174BC" w:rsidRPr="00E320CE">
        <w:rPr>
          <w:rFonts w:eastAsia="SimSun"/>
          <w:sz w:val="28"/>
          <w:szCs w:val="28"/>
          <w:lang w:val="es-MX"/>
        </w:rPr>
        <w:t xml:space="preserve"> PPL </w:t>
      </w:r>
      <w:r w:rsidR="00E174BC" w:rsidRPr="00E320CE">
        <w:rPr>
          <w:sz w:val="28"/>
          <w:szCs w:val="28"/>
        </w:rPr>
        <w:t>contrató a todas las personas que estaban vinculadas anteriormente a Salud Integral menos a ella</w:t>
      </w:r>
      <w:r w:rsidR="00E174BC" w:rsidRPr="00E320CE">
        <w:rPr>
          <w:rStyle w:val="Refdenotaalpie"/>
          <w:sz w:val="28"/>
          <w:szCs w:val="28"/>
        </w:rPr>
        <w:footnoteReference w:id="195"/>
      </w:r>
      <w:r w:rsidR="00E174BC" w:rsidRPr="00E320CE">
        <w:rPr>
          <w:sz w:val="28"/>
          <w:szCs w:val="28"/>
        </w:rPr>
        <w:t xml:space="preserve">. Con el fin de acreditar esta afirmación, la magistrada sustanciadora le pidió en dos ocasiones a la Unión Temporal Salud Integral PPL </w:t>
      </w:r>
      <w:r w:rsidR="00B5422C" w:rsidRPr="00E320CE">
        <w:rPr>
          <w:sz w:val="28"/>
          <w:szCs w:val="28"/>
        </w:rPr>
        <w:t xml:space="preserve">información relacionada con </w:t>
      </w:r>
      <w:r w:rsidR="00E174BC" w:rsidRPr="00E320CE">
        <w:rPr>
          <w:sz w:val="28"/>
          <w:szCs w:val="28"/>
          <w:lang w:val="es-CO"/>
        </w:rPr>
        <w:t xml:space="preserve">la planta de personal que tenía en el </w:t>
      </w:r>
      <w:r w:rsidR="00E174BC" w:rsidRPr="00E320CE">
        <w:rPr>
          <w:sz w:val="28"/>
          <w:szCs w:val="28"/>
        </w:rPr>
        <w:t>Establecimiento Penitenciario de Mediana Seguridad y Carcelario de Cartagena</w:t>
      </w:r>
      <w:r w:rsidR="00B82E0C" w:rsidRPr="00E320CE">
        <w:rPr>
          <w:sz w:val="28"/>
          <w:szCs w:val="28"/>
        </w:rPr>
        <w:t xml:space="preserve"> para </w:t>
      </w:r>
      <w:r w:rsidR="00E174BC" w:rsidRPr="00E320CE">
        <w:rPr>
          <w:sz w:val="28"/>
          <w:szCs w:val="28"/>
        </w:rPr>
        <w:t xml:space="preserve">contrastarla con la planta de personal que la Unión Temporal </w:t>
      </w:r>
      <w:proofErr w:type="spellStart"/>
      <w:r w:rsidR="00E174BC" w:rsidRPr="00E320CE">
        <w:rPr>
          <w:sz w:val="28"/>
          <w:szCs w:val="28"/>
        </w:rPr>
        <w:t>Norsalud</w:t>
      </w:r>
      <w:proofErr w:type="spellEnd"/>
      <w:r w:rsidR="00E174BC" w:rsidRPr="00E320CE">
        <w:rPr>
          <w:sz w:val="28"/>
          <w:szCs w:val="28"/>
        </w:rPr>
        <w:t xml:space="preserve"> PPL informó </w:t>
      </w:r>
      <w:r w:rsidR="00AD43D2" w:rsidRPr="00E320CE">
        <w:rPr>
          <w:sz w:val="28"/>
          <w:szCs w:val="28"/>
        </w:rPr>
        <w:t>ante la Corte</w:t>
      </w:r>
      <w:r w:rsidR="00E174BC" w:rsidRPr="00E320CE">
        <w:rPr>
          <w:sz w:val="28"/>
          <w:szCs w:val="28"/>
        </w:rPr>
        <w:t xml:space="preserve">. Sin embargo, Salud Integral PPL </w:t>
      </w:r>
      <w:r w:rsidR="00AD43D2" w:rsidRPr="00E320CE">
        <w:rPr>
          <w:sz w:val="28"/>
          <w:szCs w:val="28"/>
        </w:rPr>
        <w:t>guardó silencio</w:t>
      </w:r>
      <w:r w:rsidR="00E174BC" w:rsidRPr="00E320CE">
        <w:rPr>
          <w:sz w:val="28"/>
          <w:szCs w:val="28"/>
        </w:rPr>
        <w:t xml:space="preserve"> sobre ese asunto.</w:t>
      </w:r>
    </w:p>
    <w:p w14:paraId="136C8B9E" w14:textId="77777777" w:rsidR="00E174BC" w:rsidRPr="00E320CE" w:rsidRDefault="00E174BC" w:rsidP="00E174BC">
      <w:pPr>
        <w:pStyle w:val="Prrafodelista"/>
        <w:rPr>
          <w:rFonts w:eastAsia="SimSun"/>
          <w:sz w:val="28"/>
          <w:szCs w:val="28"/>
          <w:lang w:val="es-MX"/>
        </w:rPr>
      </w:pPr>
    </w:p>
    <w:p w14:paraId="3DAC9680" w14:textId="42E36A25" w:rsidR="00DF3927" w:rsidRPr="00E320CE" w:rsidRDefault="00E174BC" w:rsidP="00DF3927">
      <w:pPr>
        <w:pStyle w:val="Prrafodelista"/>
        <w:numPr>
          <w:ilvl w:val="0"/>
          <w:numId w:val="1"/>
        </w:numPr>
        <w:autoSpaceDE/>
        <w:autoSpaceDN/>
        <w:ind w:left="0" w:firstLine="0"/>
        <w:contextualSpacing w:val="0"/>
        <w:jc w:val="both"/>
        <w:rPr>
          <w:bCs/>
          <w:sz w:val="28"/>
          <w:szCs w:val="28"/>
          <w:lang w:val="es-ES"/>
        </w:rPr>
      </w:pPr>
      <w:r w:rsidRPr="00E320CE">
        <w:rPr>
          <w:rFonts w:eastAsia="SimSun"/>
          <w:sz w:val="28"/>
          <w:szCs w:val="28"/>
          <w:lang w:val="es-MX"/>
        </w:rPr>
        <w:t xml:space="preserve">En esos términos, </w:t>
      </w:r>
      <w:r w:rsidRPr="00E320CE">
        <w:rPr>
          <w:bCs/>
          <w:sz w:val="28"/>
          <w:szCs w:val="28"/>
          <w:lang w:val="es-ES"/>
        </w:rPr>
        <w:t xml:space="preserve">se </w:t>
      </w:r>
      <w:r w:rsidR="008C038F" w:rsidRPr="00E320CE">
        <w:rPr>
          <w:bCs/>
          <w:sz w:val="28"/>
          <w:szCs w:val="28"/>
          <w:lang w:val="es-ES"/>
        </w:rPr>
        <w:t>aplicará</w:t>
      </w:r>
      <w:r w:rsidRPr="00E320CE">
        <w:rPr>
          <w:bCs/>
          <w:sz w:val="28"/>
          <w:szCs w:val="28"/>
          <w:lang w:val="es-ES"/>
        </w:rPr>
        <w:t xml:space="preserve"> </w:t>
      </w:r>
      <w:r w:rsidRPr="00E320CE">
        <w:rPr>
          <w:rFonts w:eastAsia="SimSun"/>
          <w:sz w:val="28"/>
          <w:szCs w:val="28"/>
          <w:lang w:val="es-ES"/>
        </w:rPr>
        <w:t xml:space="preserve">la presunción de veracidad </w:t>
      </w:r>
      <w:r w:rsidR="008C038F" w:rsidRPr="00E320CE">
        <w:rPr>
          <w:rFonts w:eastAsia="SimSun"/>
          <w:sz w:val="28"/>
          <w:szCs w:val="28"/>
          <w:lang w:val="es-ES"/>
        </w:rPr>
        <w:t>establecida</w:t>
      </w:r>
      <w:r w:rsidRPr="00E320CE">
        <w:rPr>
          <w:rFonts w:eastAsia="SimSun"/>
          <w:sz w:val="28"/>
          <w:szCs w:val="28"/>
          <w:lang w:val="es-ES"/>
        </w:rPr>
        <w:t xml:space="preserve"> en el artículo 20 del Decreto 2591 de 1991, </w:t>
      </w:r>
      <w:r w:rsidR="00101D1B" w:rsidRPr="00E320CE">
        <w:rPr>
          <w:rFonts w:eastAsia="SimSun"/>
          <w:sz w:val="28"/>
          <w:szCs w:val="28"/>
          <w:lang w:val="es-ES"/>
        </w:rPr>
        <w:t>norma que permite tener</w:t>
      </w:r>
      <w:r w:rsidRPr="00E320CE">
        <w:rPr>
          <w:rFonts w:eastAsia="SimSun"/>
          <w:sz w:val="28"/>
          <w:szCs w:val="28"/>
          <w:lang w:val="es-ES"/>
        </w:rPr>
        <w:t xml:space="preserve"> como </w:t>
      </w:r>
      <w:r w:rsidR="00DB0795" w:rsidRPr="00E320CE">
        <w:rPr>
          <w:rFonts w:eastAsia="SimSun"/>
          <w:sz w:val="28"/>
          <w:szCs w:val="28"/>
          <w:lang w:val="es-ES"/>
        </w:rPr>
        <w:t xml:space="preserve">ciertas las afirmaciones de la parte accionante si los accionados omiten total o parcialmente </w:t>
      </w:r>
      <w:r w:rsidR="008C038F" w:rsidRPr="00E320CE">
        <w:rPr>
          <w:rFonts w:eastAsia="SimSun"/>
          <w:sz w:val="28"/>
          <w:szCs w:val="28"/>
          <w:lang w:val="es-ES"/>
        </w:rPr>
        <w:t xml:space="preserve">responder </w:t>
      </w:r>
      <w:r w:rsidR="00DB0795" w:rsidRPr="00E320CE">
        <w:rPr>
          <w:rFonts w:eastAsia="SimSun"/>
          <w:sz w:val="28"/>
          <w:szCs w:val="28"/>
          <w:lang w:val="es-ES"/>
        </w:rPr>
        <w:t xml:space="preserve">a los requerimientos </w:t>
      </w:r>
      <w:r w:rsidR="008C038F" w:rsidRPr="00E320CE">
        <w:rPr>
          <w:rFonts w:eastAsia="SimSun"/>
          <w:sz w:val="28"/>
          <w:szCs w:val="28"/>
          <w:lang w:val="es-ES"/>
        </w:rPr>
        <w:t>d</w:t>
      </w:r>
      <w:r w:rsidR="00DB0795" w:rsidRPr="00E320CE">
        <w:rPr>
          <w:rFonts w:eastAsia="SimSun"/>
          <w:sz w:val="28"/>
          <w:szCs w:val="28"/>
          <w:lang w:val="es-ES"/>
        </w:rPr>
        <w:t>el juez constitucional</w:t>
      </w:r>
      <w:r w:rsidR="00DB0795" w:rsidRPr="00E320CE">
        <w:rPr>
          <w:rStyle w:val="Refdenotaalpie"/>
          <w:rFonts w:eastAsia="SimSun"/>
          <w:sz w:val="28"/>
          <w:szCs w:val="28"/>
          <w:lang w:val="es-ES"/>
        </w:rPr>
        <w:footnoteReference w:id="196"/>
      </w:r>
      <w:r w:rsidR="00DB0795" w:rsidRPr="00E320CE">
        <w:rPr>
          <w:rFonts w:eastAsia="SimSun"/>
          <w:sz w:val="28"/>
          <w:szCs w:val="28"/>
          <w:lang w:val="es-ES"/>
        </w:rPr>
        <w:t xml:space="preserve">. Esta presunción </w:t>
      </w:r>
      <w:r w:rsidR="008C038F" w:rsidRPr="00E320CE">
        <w:rPr>
          <w:rFonts w:eastAsia="SimSun"/>
          <w:sz w:val="28"/>
          <w:szCs w:val="28"/>
          <w:lang w:val="es-ES"/>
        </w:rPr>
        <w:t xml:space="preserve">sanciona </w:t>
      </w:r>
      <w:r w:rsidR="00082E99" w:rsidRPr="00E320CE">
        <w:rPr>
          <w:rFonts w:eastAsia="SimSun"/>
          <w:sz w:val="28"/>
          <w:szCs w:val="28"/>
          <w:lang w:val="es-ES"/>
        </w:rPr>
        <w:t xml:space="preserve">la negligencia de las entidades demandadas </w:t>
      </w:r>
      <w:r w:rsidR="008C038F" w:rsidRPr="00E320CE">
        <w:rPr>
          <w:rFonts w:eastAsia="SimSun"/>
          <w:sz w:val="28"/>
          <w:szCs w:val="28"/>
          <w:lang w:val="es-ES"/>
        </w:rPr>
        <w:t xml:space="preserve">cuando presentan </w:t>
      </w:r>
      <w:r w:rsidR="00082E99" w:rsidRPr="00E320CE">
        <w:rPr>
          <w:rFonts w:eastAsia="SimSun"/>
          <w:sz w:val="28"/>
          <w:szCs w:val="28"/>
          <w:lang w:val="es-ES"/>
        </w:rPr>
        <w:t xml:space="preserve">respuestas meramente formales que no </w:t>
      </w:r>
      <w:r w:rsidR="008C038F" w:rsidRPr="00E320CE">
        <w:rPr>
          <w:rFonts w:eastAsia="SimSun"/>
          <w:sz w:val="28"/>
          <w:szCs w:val="28"/>
          <w:lang w:val="es-ES"/>
        </w:rPr>
        <w:t xml:space="preserve">abordan </w:t>
      </w:r>
      <w:r w:rsidR="00082E99" w:rsidRPr="00E320CE">
        <w:rPr>
          <w:rFonts w:eastAsia="SimSun"/>
          <w:sz w:val="28"/>
          <w:szCs w:val="28"/>
          <w:lang w:val="es-ES"/>
        </w:rPr>
        <w:t xml:space="preserve"> </w:t>
      </w:r>
      <w:r w:rsidR="008C038F" w:rsidRPr="00E320CE">
        <w:rPr>
          <w:rFonts w:eastAsia="SimSun"/>
          <w:sz w:val="28"/>
          <w:szCs w:val="28"/>
          <w:lang w:val="es-ES"/>
        </w:rPr>
        <w:t xml:space="preserve">de manera completa y de </w:t>
      </w:r>
      <w:r w:rsidR="00082E99" w:rsidRPr="00E320CE">
        <w:rPr>
          <w:rFonts w:eastAsia="SimSun"/>
          <w:sz w:val="28"/>
          <w:szCs w:val="28"/>
          <w:lang w:val="es-ES"/>
        </w:rPr>
        <w:t>fondo l</w:t>
      </w:r>
      <w:r w:rsidR="008C038F" w:rsidRPr="00E320CE">
        <w:rPr>
          <w:rFonts w:eastAsia="SimSun"/>
          <w:sz w:val="28"/>
          <w:szCs w:val="28"/>
          <w:lang w:val="es-ES"/>
        </w:rPr>
        <w:t>o</w:t>
      </w:r>
      <w:r w:rsidR="00082E99" w:rsidRPr="00E320CE">
        <w:rPr>
          <w:rFonts w:eastAsia="SimSun"/>
          <w:sz w:val="28"/>
          <w:szCs w:val="28"/>
          <w:lang w:val="es-ES"/>
        </w:rPr>
        <w:t>s interrogantes plantead</w:t>
      </w:r>
      <w:r w:rsidR="008C038F" w:rsidRPr="00E320CE">
        <w:rPr>
          <w:rFonts w:eastAsia="SimSun"/>
          <w:sz w:val="28"/>
          <w:szCs w:val="28"/>
          <w:lang w:val="es-ES"/>
        </w:rPr>
        <w:t>o</w:t>
      </w:r>
      <w:r w:rsidR="00082E99" w:rsidRPr="00E320CE">
        <w:rPr>
          <w:rFonts w:eastAsia="SimSun"/>
          <w:sz w:val="28"/>
          <w:szCs w:val="28"/>
          <w:lang w:val="es-ES"/>
        </w:rPr>
        <w:t>s por el juez</w:t>
      </w:r>
      <w:r w:rsidR="00082E99" w:rsidRPr="00E320CE">
        <w:rPr>
          <w:rStyle w:val="Refdenotaalpie"/>
          <w:rFonts w:eastAsia="SimSun"/>
          <w:sz w:val="28"/>
          <w:szCs w:val="28"/>
          <w:lang w:val="es-ES"/>
        </w:rPr>
        <w:footnoteReference w:id="197"/>
      </w:r>
      <w:r w:rsidR="00082E99" w:rsidRPr="00E320CE">
        <w:rPr>
          <w:rFonts w:eastAsia="SimSun"/>
          <w:sz w:val="28"/>
          <w:szCs w:val="28"/>
          <w:lang w:val="es-ES"/>
        </w:rPr>
        <w:t xml:space="preserve">. </w:t>
      </w:r>
    </w:p>
    <w:p w14:paraId="13D0E608" w14:textId="77777777" w:rsidR="00DF3927" w:rsidRPr="00E320CE" w:rsidRDefault="00DF3927" w:rsidP="00DF3927">
      <w:pPr>
        <w:pStyle w:val="Prrafodelista"/>
        <w:rPr>
          <w:bCs/>
          <w:sz w:val="28"/>
          <w:szCs w:val="28"/>
          <w:lang w:val="es-ES"/>
        </w:rPr>
      </w:pPr>
    </w:p>
    <w:p w14:paraId="337E0CBA" w14:textId="79BB371C" w:rsidR="00DF3927" w:rsidRPr="00E320CE" w:rsidRDefault="00DF3927" w:rsidP="00DF3927">
      <w:pPr>
        <w:pStyle w:val="Prrafodelista"/>
        <w:numPr>
          <w:ilvl w:val="0"/>
          <w:numId w:val="1"/>
        </w:numPr>
        <w:autoSpaceDE/>
        <w:autoSpaceDN/>
        <w:ind w:left="0" w:firstLine="0"/>
        <w:contextualSpacing w:val="0"/>
        <w:jc w:val="both"/>
        <w:rPr>
          <w:bCs/>
          <w:sz w:val="28"/>
          <w:szCs w:val="28"/>
          <w:lang w:val="es-ES"/>
        </w:rPr>
      </w:pPr>
      <w:r w:rsidRPr="00E320CE">
        <w:rPr>
          <w:bCs/>
          <w:sz w:val="28"/>
          <w:szCs w:val="28"/>
          <w:lang w:val="es-ES"/>
        </w:rPr>
        <w:t xml:space="preserve">La aplicación de esta presunción es más </w:t>
      </w:r>
      <w:r w:rsidR="003C6204" w:rsidRPr="00E320CE">
        <w:rPr>
          <w:bCs/>
          <w:sz w:val="28"/>
          <w:szCs w:val="28"/>
          <w:lang w:val="es-ES"/>
        </w:rPr>
        <w:t xml:space="preserve">rigurosa </w:t>
      </w:r>
      <w:r w:rsidRPr="00E320CE">
        <w:rPr>
          <w:bCs/>
          <w:sz w:val="28"/>
          <w:szCs w:val="28"/>
          <w:lang w:val="es-ES"/>
        </w:rPr>
        <w:t xml:space="preserve">cuando el accionante es un sujeto de especial protección constitucional o </w:t>
      </w:r>
      <w:r w:rsidR="003C6204" w:rsidRPr="00E320CE">
        <w:rPr>
          <w:bCs/>
          <w:sz w:val="28"/>
          <w:szCs w:val="28"/>
          <w:lang w:val="es-ES"/>
        </w:rPr>
        <w:t xml:space="preserve">se encuentra en situación </w:t>
      </w:r>
      <w:r w:rsidRPr="00E320CE">
        <w:rPr>
          <w:bCs/>
          <w:sz w:val="28"/>
          <w:szCs w:val="28"/>
          <w:lang w:val="es-ES"/>
        </w:rPr>
        <w:t>de vulnerabilidad</w:t>
      </w:r>
      <w:r w:rsidRPr="00E320CE">
        <w:rPr>
          <w:rStyle w:val="Refdenotaalpie"/>
          <w:bCs/>
          <w:sz w:val="28"/>
          <w:szCs w:val="28"/>
          <w:lang w:val="es-ES"/>
        </w:rPr>
        <w:footnoteReference w:id="198"/>
      </w:r>
      <w:r w:rsidRPr="00E320CE">
        <w:rPr>
          <w:bCs/>
          <w:sz w:val="28"/>
          <w:szCs w:val="28"/>
          <w:lang w:val="es-ES"/>
        </w:rPr>
        <w:t>. Esto se debe a que</w:t>
      </w:r>
      <w:r w:rsidR="00BA03F3" w:rsidRPr="00E320CE">
        <w:rPr>
          <w:bCs/>
          <w:sz w:val="28"/>
          <w:szCs w:val="28"/>
          <w:lang w:val="es-ES"/>
        </w:rPr>
        <w:t>, en much</w:t>
      </w:r>
      <w:r w:rsidR="003C6204" w:rsidRPr="00E320CE">
        <w:rPr>
          <w:bCs/>
          <w:sz w:val="28"/>
          <w:szCs w:val="28"/>
          <w:lang w:val="es-ES"/>
        </w:rPr>
        <w:t>o</w:t>
      </w:r>
      <w:r w:rsidR="00BA03F3" w:rsidRPr="00E320CE">
        <w:rPr>
          <w:bCs/>
          <w:sz w:val="28"/>
          <w:szCs w:val="28"/>
          <w:lang w:val="es-ES"/>
        </w:rPr>
        <w:t xml:space="preserve">s </w:t>
      </w:r>
      <w:r w:rsidR="003C6204" w:rsidRPr="00E320CE">
        <w:rPr>
          <w:bCs/>
          <w:sz w:val="28"/>
          <w:szCs w:val="28"/>
          <w:lang w:val="es-ES"/>
        </w:rPr>
        <w:t>casos, estas personas enfrentan mayores</w:t>
      </w:r>
      <w:r w:rsidR="00BA03F3" w:rsidRPr="00E320CE">
        <w:rPr>
          <w:bCs/>
          <w:sz w:val="28"/>
          <w:szCs w:val="28"/>
          <w:lang w:val="es-ES"/>
        </w:rPr>
        <w:t xml:space="preserve"> dificultades para </w:t>
      </w:r>
      <w:r w:rsidR="003C6204" w:rsidRPr="00E320CE">
        <w:rPr>
          <w:bCs/>
          <w:sz w:val="28"/>
          <w:szCs w:val="28"/>
          <w:lang w:val="es-ES"/>
        </w:rPr>
        <w:t xml:space="preserve">acreditar </w:t>
      </w:r>
      <w:r w:rsidR="00BA03F3" w:rsidRPr="00E320CE">
        <w:rPr>
          <w:bCs/>
          <w:sz w:val="28"/>
          <w:szCs w:val="28"/>
          <w:lang w:val="es-ES"/>
        </w:rPr>
        <w:t xml:space="preserve">ciertos hechos, mientras que las entidades accionadas suelen </w:t>
      </w:r>
      <w:r w:rsidR="003C6204" w:rsidRPr="00E320CE">
        <w:rPr>
          <w:bCs/>
          <w:sz w:val="28"/>
          <w:szCs w:val="28"/>
          <w:lang w:val="es-ES"/>
        </w:rPr>
        <w:t>contar con mayor</w:t>
      </w:r>
      <w:r w:rsidR="00BA03F3" w:rsidRPr="00E320CE">
        <w:rPr>
          <w:bCs/>
          <w:sz w:val="28"/>
          <w:szCs w:val="28"/>
          <w:lang w:val="es-ES"/>
        </w:rPr>
        <w:t xml:space="preserve"> facilidad de aportar el material probatorio necesario</w:t>
      </w:r>
      <w:r w:rsidR="00BA03F3" w:rsidRPr="00E320CE">
        <w:rPr>
          <w:rStyle w:val="Refdenotaalpie"/>
          <w:bCs/>
          <w:sz w:val="28"/>
          <w:szCs w:val="28"/>
          <w:lang w:val="es-ES"/>
        </w:rPr>
        <w:footnoteReference w:id="199"/>
      </w:r>
      <w:r w:rsidR="00BA03F3" w:rsidRPr="00E320CE">
        <w:rPr>
          <w:bCs/>
          <w:sz w:val="28"/>
          <w:szCs w:val="28"/>
          <w:lang w:val="es-ES"/>
        </w:rPr>
        <w:t>. Así, en palabras de la Corte, “</w:t>
      </w:r>
      <w:r w:rsidR="00BA03F3" w:rsidRPr="00404DF4">
        <w:rPr>
          <w:bCs/>
          <w:sz w:val="28"/>
          <w:szCs w:val="28"/>
          <w:lang w:val="es-ES"/>
        </w:rPr>
        <w:t xml:space="preserve">resulta </w:t>
      </w:r>
      <w:r w:rsidR="00BA03F3" w:rsidRPr="00404DF4">
        <w:rPr>
          <w:bCs/>
          <w:sz w:val="28"/>
          <w:szCs w:val="28"/>
        </w:rPr>
        <w:t>'de elemental justicia que sea la parte privilegiada y fuerte, por su fácil acceso a los materiales probatorios en cuestión, quien deba asumir dicha carga procesal'”</w:t>
      </w:r>
      <w:r w:rsidR="00BA03F3" w:rsidRPr="00404DF4">
        <w:rPr>
          <w:rStyle w:val="Refdenotaalpie"/>
          <w:bCs/>
          <w:sz w:val="28"/>
          <w:szCs w:val="28"/>
        </w:rPr>
        <w:footnoteReference w:id="200"/>
      </w:r>
      <w:r w:rsidR="00BA03F3" w:rsidRPr="00404DF4">
        <w:rPr>
          <w:bCs/>
          <w:sz w:val="28"/>
          <w:szCs w:val="28"/>
        </w:rPr>
        <w:t xml:space="preserve"> de entregar totalmente la información requerida.</w:t>
      </w:r>
    </w:p>
    <w:p w14:paraId="7784D2BF" w14:textId="77777777" w:rsidR="00BA03F3" w:rsidRPr="00E320CE" w:rsidRDefault="00BA03F3" w:rsidP="00BA03F3">
      <w:pPr>
        <w:pStyle w:val="Prrafodelista"/>
        <w:autoSpaceDE/>
        <w:autoSpaceDN/>
        <w:ind w:left="0"/>
        <w:contextualSpacing w:val="0"/>
        <w:jc w:val="both"/>
        <w:rPr>
          <w:bCs/>
          <w:sz w:val="28"/>
          <w:szCs w:val="28"/>
          <w:lang w:val="es-ES"/>
        </w:rPr>
      </w:pPr>
    </w:p>
    <w:p w14:paraId="10CC9493" w14:textId="1F1F9D63" w:rsidR="00E174BC" w:rsidRPr="00E320CE" w:rsidRDefault="00141996" w:rsidP="00E174BC">
      <w:pPr>
        <w:pStyle w:val="Prrafodelista"/>
        <w:numPr>
          <w:ilvl w:val="0"/>
          <w:numId w:val="1"/>
        </w:numPr>
        <w:autoSpaceDE/>
        <w:autoSpaceDN/>
        <w:ind w:left="0" w:firstLine="0"/>
        <w:contextualSpacing w:val="0"/>
        <w:jc w:val="both"/>
        <w:rPr>
          <w:bCs/>
          <w:sz w:val="28"/>
          <w:szCs w:val="28"/>
          <w:lang w:val="es-ES"/>
        </w:rPr>
      </w:pPr>
      <w:r w:rsidRPr="00E320CE">
        <w:rPr>
          <w:rFonts w:eastAsia="SimSun"/>
          <w:sz w:val="28"/>
          <w:szCs w:val="28"/>
          <w:lang w:val="es-ES"/>
        </w:rPr>
        <w:lastRenderedPageBreak/>
        <w:t xml:space="preserve">Así, se dará por cierto que </w:t>
      </w:r>
      <w:proofErr w:type="spellStart"/>
      <w:r w:rsidRPr="00E320CE">
        <w:rPr>
          <w:rFonts w:eastAsia="SimSun"/>
          <w:sz w:val="28"/>
          <w:szCs w:val="28"/>
          <w:lang w:val="es-MX"/>
        </w:rPr>
        <w:t>Norsalud</w:t>
      </w:r>
      <w:proofErr w:type="spellEnd"/>
      <w:r w:rsidRPr="00E320CE">
        <w:rPr>
          <w:rFonts w:eastAsia="SimSun"/>
          <w:sz w:val="28"/>
          <w:szCs w:val="28"/>
          <w:lang w:val="es-MX"/>
        </w:rPr>
        <w:t xml:space="preserve"> PPL </w:t>
      </w:r>
      <w:r w:rsidRPr="00E320CE">
        <w:rPr>
          <w:sz w:val="28"/>
          <w:szCs w:val="28"/>
        </w:rPr>
        <w:t>contrató a todas las personas que estaban vinculadas anteriormente a Salud Integral</w:t>
      </w:r>
      <w:r w:rsidR="00101D1B" w:rsidRPr="00E320CE">
        <w:rPr>
          <w:sz w:val="28"/>
          <w:szCs w:val="28"/>
        </w:rPr>
        <w:t xml:space="preserve">, con excepción de </w:t>
      </w:r>
      <w:r w:rsidRPr="00E320CE">
        <w:rPr>
          <w:sz w:val="28"/>
          <w:szCs w:val="28"/>
        </w:rPr>
        <w:t xml:space="preserve">la demandante. </w:t>
      </w:r>
      <w:r w:rsidR="00197CB6" w:rsidRPr="00E320CE">
        <w:rPr>
          <w:sz w:val="28"/>
          <w:szCs w:val="28"/>
        </w:rPr>
        <w:t xml:space="preserve">Sobre el particular, se debe advertir que </w:t>
      </w:r>
      <w:r w:rsidRPr="00E320CE">
        <w:rPr>
          <w:sz w:val="28"/>
          <w:szCs w:val="28"/>
        </w:rPr>
        <w:t xml:space="preserve">ambas uniones temporales comparten </w:t>
      </w:r>
      <w:r w:rsidR="00197CB6" w:rsidRPr="00E320CE">
        <w:rPr>
          <w:sz w:val="28"/>
          <w:szCs w:val="28"/>
        </w:rPr>
        <w:t xml:space="preserve">el socio </w:t>
      </w:r>
      <w:r w:rsidRPr="00E320CE">
        <w:rPr>
          <w:sz w:val="28"/>
          <w:szCs w:val="28"/>
        </w:rPr>
        <w:t xml:space="preserve">mayoritario, pues Salud Plus IPS S.A.S. </w:t>
      </w:r>
      <w:r w:rsidR="0018404E" w:rsidRPr="00E320CE">
        <w:rPr>
          <w:sz w:val="28"/>
          <w:szCs w:val="28"/>
        </w:rPr>
        <w:t>tenía un 98% de participación en Salud Integral PPL</w:t>
      </w:r>
      <w:r w:rsidR="0018404E" w:rsidRPr="00E320CE">
        <w:rPr>
          <w:rStyle w:val="Refdenotaalpie"/>
          <w:sz w:val="28"/>
          <w:szCs w:val="28"/>
        </w:rPr>
        <w:footnoteReference w:id="201"/>
      </w:r>
      <w:r w:rsidR="0018404E" w:rsidRPr="00E320CE">
        <w:rPr>
          <w:sz w:val="28"/>
          <w:szCs w:val="28"/>
        </w:rPr>
        <w:t xml:space="preserve"> y </w:t>
      </w:r>
      <w:r w:rsidR="00197CB6" w:rsidRPr="00E320CE">
        <w:rPr>
          <w:sz w:val="28"/>
          <w:szCs w:val="28"/>
        </w:rPr>
        <w:t xml:space="preserve">ahora </w:t>
      </w:r>
      <w:r w:rsidR="0018404E" w:rsidRPr="00E320CE">
        <w:rPr>
          <w:sz w:val="28"/>
          <w:szCs w:val="28"/>
        </w:rPr>
        <w:t xml:space="preserve">tiene un 45% de participación en </w:t>
      </w:r>
      <w:proofErr w:type="spellStart"/>
      <w:r w:rsidR="0018404E" w:rsidRPr="00E320CE">
        <w:rPr>
          <w:sz w:val="28"/>
          <w:szCs w:val="28"/>
        </w:rPr>
        <w:t>Norsalud</w:t>
      </w:r>
      <w:proofErr w:type="spellEnd"/>
      <w:r w:rsidR="0018404E" w:rsidRPr="00E320CE">
        <w:rPr>
          <w:sz w:val="28"/>
          <w:szCs w:val="28"/>
        </w:rPr>
        <w:t xml:space="preserve"> PPL</w:t>
      </w:r>
      <w:r w:rsidR="0018404E" w:rsidRPr="00E320CE">
        <w:rPr>
          <w:rStyle w:val="Refdenotaalpie"/>
          <w:sz w:val="28"/>
          <w:szCs w:val="28"/>
        </w:rPr>
        <w:footnoteReference w:id="202"/>
      </w:r>
      <w:r w:rsidR="0018404E" w:rsidRPr="00E320CE">
        <w:rPr>
          <w:sz w:val="28"/>
          <w:szCs w:val="28"/>
        </w:rPr>
        <w:t xml:space="preserve">. </w:t>
      </w:r>
    </w:p>
    <w:p w14:paraId="3BF792EE" w14:textId="77777777" w:rsidR="00D015D1" w:rsidRPr="00E320CE" w:rsidRDefault="00D015D1" w:rsidP="00D015D1">
      <w:pPr>
        <w:pStyle w:val="Prrafodelista"/>
        <w:rPr>
          <w:bCs/>
          <w:sz w:val="28"/>
          <w:szCs w:val="28"/>
          <w:lang w:val="es-ES"/>
        </w:rPr>
      </w:pPr>
    </w:p>
    <w:p w14:paraId="67D848BE" w14:textId="00B988BE" w:rsidR="00D015D1" w:rsidRPr="00E320CE" w:rsidRDefault="00D015D1" w:rsidP="00D015D1">
      <w:pPr>
        <w:pStyle w:val="Prrafodelista"/>
        <w:numPr>
          <w:ilvl w:val="0"/>
          <w:numId w:val="1"/>
        </w:numPr>
        <w:autoSpaceDE/>
        <w:autoSpaceDN/>
        <w:ind w:left="0" w:firstLine="0"/>
        <w:contextualSpacing w:val="0"/>
        <w:jc w:val="both"/>
        <w:rPr>
          <w:rFonts w:eastAsia="SimSun"/>
          <w:sz w:val="28"/>
          <w:szCs w:val="28"/>
          <w:lang w:val="es-MX"/>
        </w:rPr>
      </w:pPr>
      <w:r w:rsidRPr="00E320CE">
        <w:rPr>
          <w:bCs/>
          <w:sz w:val="28"/>
          <w:szCs w:val="28"/>
          <w:lang w:val="es-ES"/>
        </w:rPr>
        <w:t xml:space="preserve">En esos términos, la Corte Constitucional debe reiterar que, como se concluyó en la </w:t>
      </w:r>
      <w:r w:rsidRPr="00E320CE">
        <w:rPr>
          <w:rFonts w:eastAsia="SimSun"/>
          <w:sz w:val="28"/>
          <w:szCs w:val="28"/>
          <w:lang w:val="es-MX"/>
        </w:rPr>
        <w:t>Sentencia T-395 de 2001, no es posible sostener que la sustitución patronal “vale para todos los  trabajadores y pensionados pero no vale para tres”. Por esa razón, el hecho de que toda</w:t>
      </w:r>
      <w:r w:rsidR="00B82E0C" w:rsidRPr="00E320CE">
        <w:rPr>
          <w:rFonts w:eastAsia="SimSun"/>
          <w:sz w:val="28"/>
          <w:szCs w:val="28"/>
          <w:lang w:val="es-MX"/>
        </w:rPr>
        <w:t xml:space="preserve"> (o la mayoría</w:t>
      </w:r>
      <w:r w:rsidR="00F0503F" w:rsidRPr="00E320CE">
        <w:rPr>
          <w:rFonts w:eastAsia="SimSun"/>
          <w:sz w:val="28"/>
          <w:szCs w:val="28"/>
          <w:lang w:val="es-MX"/>
        </w:rPr>
        <w:t xml:space="preserve"> de</w:t>
      </w:r>
      <w:r w:rsidR="00B82E0C" w:rsidRPr="00E320CE">
        <w:rPr>
          <w:rFonts w:eastAsia="SimSun"/>
          <w:sz w:val="28"/>
          <w:szCs w:val="28"/>
          <w:lang w:val="es-MX"/>
        </w:rPr>
        <w:t>)</w:t>
      </w:r>
      <w:r w:rsidRPr="00E320CE">
        <w:rPr>
          <w:rFonts w:eastAsia="SimSun"/>
          <w:sz w:val="28"/>
          <w:szCs w:val="28"/>
          <w:lang w:val="es-MX"/>
        </w:rPr>
        <w:t xml:space="preserve"> la planta de personal de Salud Integral PPL menos la accionante hubiera </w:t>
      </w:r>
      <w:r w:rsidR="00197CB6" w:rsidRPr="00E320CE">
        <w:rPr>
          <w:rFonts w:eastAsia="SimSun"/>
          <w:sz w:val="28"/>
          <w:szCs w:val="28"/>
          <w:lang w:val="es-MX"/>
        </w:rPr>
        <w:t xml:space="preserve">continuado </w:t>
      </w:r>
      <w:r w:rsidRPr="00E320CE">
        <w:rPr>
          <w:rFonts w:eastAsia="SimSun"/>
          <w:sz w:val="28"/>
          <w:szCs w:val="28"/>
          <w:lang w:val="es-MX"/>
        </w:rPr>
        <w:t xml:space="preserve">trabajando para </w:t>
      </w:r>
      <w:proofErr w:type="spellStart"/>
      <w:r w:rsidRPr="00E320CE">
        <w:rPr>
          <w:rFonts w:eastAsia="SimSun"/>
          <w:sz w:val="28"/>
          <w:szCs w:val="28"/>
          <w:lang w:val="es-MX"/>
        </w:rPr>
        <w:t>Norsalud</w:t>
      </w:r>
      <w:proofErr w:type="spellEnd"/>
      <w:r w:rsidRPr="00E320CE">
        <w:rPr>
          <w:rFonts w:eastAsia="SimSun"/>
          <w:sz w:val="28"/>
          <w:szCs w:val="28"/>
          <w:lang w:val="es-MX"/>
        </w:rPr>
        <w:t xml:space="preserve"> PPL</w:t>
      </w:r>
      <w:r w:rsidR="001A774F" w:rsidRPr="00E320CE">
        <w:rPr>
          <w:rFonts w:eastAsia="SimSun"/>
          <w:sz w:val="28"/>
          <w:szCs w:val="28"/>
          <w:lang w:val="es-MX"/>
        </w:rPr>
        <w:t xml:space="preserve">, no solo permite concluir </w:t>
      </w:r>
      <w:r w:rsidR="00A05457" w:rsidRPr="00E320CE">
        <w:rPr>
          <w:rFonts w:eastAsia="SimSun"/>
          <w:sz w:val="28"/>
          <w:szCs w:val="28"/>
          <w:lang w:val="es-MX"/>
        </w:rPr>
        <w:t xml:space="preserve">que </w:t>
      </w:r>
      <w:r w:rsidR="007F3A32" w:rsidRPr="00E320CE">
        <w:rPr>
          <w:rFonts w:eastAsia="SimSun"/>
          <w:sz w:val="28"/>
          <w:szCs w:val="28"/>
          <w:lang w:val="es-MX"/>
        </w:rPr>
        <w:t xml:space="preserve">la sustitución patronal que se configuró frente a ese grupo debe ser extensible </w:t>
      </w:r>
      <w:r w:rsidRPr="00E320CE">
        <w:rPr>
          <w:rFonts w:eastAsia="SimSun"/>
          <w:sz w:val="28"/>
          <w:szCs w:val="28"/>
          <w:lang w:val="es-MX"/>
        </w:rPr>
        <w:t xml:space="preserve">a </w:t>
      </w:r>
      <w:r w:rsidR="007F3A32" w:rsidRPr="00E320CE">
        <w:rPr>
          <w:rFonts w:eastAsia="SimSun"/>
          <w:sz w:val="28"/>
          <w:szCs w:val="28"/>
          <w:lang w:val="es-MX"/>
        </w:rPr>
        <w:t>la trabajadora</w:t>
      </w:r>
      <w:r w:rsidRPr="00E320CE">
        <w:rPr>
          <w:rFonts w:eastAsia="SimSun"/>
          <w:sz w:val="28"/>
          <w:szCs w:val="28"/>
          <w:lang w:val="es-MX"/>
        </w:rPr>
        <w:t xml:space="preserve"> </w:t>
      </w:r>
      <w:r w:rsidR="00E320CE" w:rsidRPr="00E320CE">
        <w:rPr>
          <w:i/>
          <w:iCs/>
          <w:sz w:val="28"/>
          <w:szCs w:val="28"/>
          <w:lang w:val="es-CO"/>
        </w:rPr>
        <w:t>Greta</w:t>
      </w:r>
      <w:r w:rsidRPr="00E320CE">
        <w:rPr>
          <w:rFonts w:eastAsia="SimSun"/>
          <w:sz w:val="28"/>
          <w:szCs w:val="28"/>
          <w:lang w:val="es-MX"/>
        </w:rPr>
        <w:t xml:space="preserve">, </w:t>
      </w:r>
      <w:r w:rsidR="007F3A32" w:rsidRPr="00E320CE">
        <w:rPr>
          <w:rFonts w:eastAsia="SimSun"/>
          <w:sz w:val="28"/>
          <w:szCs w:val="28"/>
          <w:lang w:val="es-MX"/>
        </w:rPr>
        <w:t>sino que</w:t>
      </w:r>
      <w:r w:rsidRPr="00E320CE" w:rsidDel="007F3A32">
        <w:rPr>
          <w:rFonts w:eastAsia="SimSun"/>
          <w:sz w:val="28"/>
          <w:szCs w:val="28"/>
          <w:lang w:val="es-MX"/>
        </w:rPr>
        <w:t xml:space="preserve"> </w:t>
      </w:r>
      <w:r w:rsidR="00C84A7C" w:rsidRPr="00E320CE">
        <w:rPr>
          <w:rFonts w:eastAsia="SimSun"/>
          <w:sz w:val="28"/>
          <w:szCs w:val="28"/>
          <w:lang w:val="es-MX"/>
        </w:rPr>
        <w:t xml:space="preserve">refuerza la presunción de discriminación del despido, pues no hay ninguna justificación admisible para que no se haya </w:t>
      </w:r>
      <w:r w:rsidR="00254958" w:rsidRPr="00E320CE">
        <w:rPr>
          <w:rFonts w:eastAsia="SimSun"/>
          <w:sz w:val="28"/>
          <w:szCs w:val="28"/>
          <w:lang w:val="es-MX"/>
        </w:rPr>
        <w:t>mantenido su vinculación en estas circunstancias</w:t>
      </w:r>
      <w:r w:rsidRPr="00E320CE">
        <w:rPr>
          <w:rFonts w:eastAsia="SimSun"/>
          <w:sz w:val="28"/>
          <w:szCs w:val="28"/>
          <w:lang w:val="es-MX"/>
        </w:rPr>
        <w:t>.</w:t>
      </w:r>
    </w:p>
    <w:p w14:paraId="6F6B9B61" w14:textId="77777777" w:rsidR="00D015D1" w:rsidRPr="00E320CE" w:rsidRDefault="00D015D1" w:rsidP="00D015D1">
      <w:pPr>
        <w:rPr>
          <w:rFonts w:eastAsia="SimSun"/>
          <w:sz w:val="28"/>
          <w:szCs w:val="28"/>
          <w:lang w:val="es-MX"/>
        </w:rPr>
      </w:pPr>
    </w:p>
    <w:p w14:paraId="621ADF5B" w14:textId="24CECF33" w:rsidR="00D015D1" w:rsidRPr="00E320CE" w:rsidRDefault="00E46FEE" w:rsidP="00E174BC">
      <w:pPr>
        <w:pStyle w:val="Prrafodelista"/>
        <w:numPr>
          <w:ilvl w:val="0"/>
          <w:numId w:val="1"/>
        </w:numPr>
        <w:autoSpaceDE/>
        <w:autoSpaceDN/>
        <w:ind w:left="0" w:firstLine="0"/>
        <w:contextualSpacing w:val="0"/>
        <w:jc w:val="both"/>
        <w:rPr>
          <w:sz w:val="28"/>
          <w:szCs w:val="28"/>
          <w:lang w:val="es-ES"/>
        </w:rPr>
      </w:pPr>
      <w:r w:rsidRPr="00E320CE">
        <w:rPr>
          <w:bCs/>
          <w:sz w:val="28"/>
          <w:szCs w:val="28"/>
          <w:lang w:val="es-MX"/>
        </w:rPr>
        <w:t>Así las cosas</w:t>
      </w:r>
      <w:r w:rsidR="00842AB6" w:rsidRPr="00E320CE">
        <w:rPr>
          <w:bCs/>
          <w:sz w:val="28"/>
          <w:szCs w:val="28"/>
          <w:lang w:val="es-MX"/>
        </w:rPr>
        <w:t xml:space="preserve">, la Unión Temporal Salud Integral PPL no logró desvirtuar la presunción de discriminación por la terminación del contrato de prestación de servicios de </w:t>
      </w:r>
      <w:r w:rsidR="00E320CE" w:rsidRPr="00E320CE">
        <w:rPr>
          <w:i/>
          <w:iCs/>
          <w:sz w:val="28"/>
          <w:szCs w:val="28"/>
          <w:lang w:val="es-CO"/>
        </w:rPr>
        <w:t>Greta</w:t>
      </w:r>
      <w:r w:rsidR="00842AB6" w:rsidRPr="00E320CE">
        <w:rPr>
          <w:bCs/>
          <w:sz w:val="28"/>
          <w:szCs w:val="28"/>
          <w:lang w:val="es-MX"/>
        </w:rPr>
        <w:t xml:space="preserve">. A pesar de que conocía del trastorno mixto de ansiedad y depresión de la accionante, la unión temporal no acudió al Ministerio del Trabajo con el fin de obtener su autorización para llevar a cabo la terminación y, por el contrario, se limitó a invocar la finalización de sus operaciones como causa objetiva </w:t>
      </w:r>
      <w:r w:rsidR="00467588" w:rsidRPr="00E320CE">
        <w:rPr>
          <w:bCs/>
          <w:sz w:val="28"/>
          <w:szCs w:val="28"/>
          <w:lang w:val="es-MX"/>
        </w:rPr>
        <w:t>para justificar</w:t>
      </w:r>
      <w:r w:rsidR="00842AB6" w:rsidRPr="00E320CE">
        <w:rPr>
          <w:bCs/>
          <w:sz w:val="28"/>
          <w:szCs w:val="28"/>
          <w:lang w:val="es-MX"/>
        </w:rPr>
        <w:t xml:space="preserve"> la desvinculación de la demandante, lo que </w:t>
      </w:r>
      <w:r w:rsidR="00842AB6" w:rsidRPr="00E320CE">
        <w:rPr>
          <w:rFonts w:eastAsia="SimSun"/>
          <w:sz w:val="28"/>
          <w:szCs w:val="28"/>
          <w:lang w:val="es-MX"/>
        </w:rPr>
        <w:t>no es suficiente para desvirtuar la presunción de discriminación</w:t>
      </w:r>
      <w:r w:rsidR="00842AB6" w:rsidRPr="00E320CE">
        <w:rPr>
          <w:bCs/>
          <w:sz w:val="28"/>
          <w:szCs w:val="28"/>
          <w:lang w:val="es-MX"/>
        </w:rPr>
        <w:t>. La justificación ofrecida por Salud Integral pierde aún más su sustento si se tiene</w:t>
      </w:r>
      <w:r w:rsidR="00467588" w:rsidRPr="00E320CE">
        <w:rPr>
          <w:bCs/>
          <w:sz w:val="28"/>
          <w:szCs w:val="28"/>
          <w:lang w:val="es-MX"/>
        </w:rPr>
        <w:t xml:space="preserve"> en cuenta</w:t>
      </w:r>
      <w:r w:rsidR="00842AB6" w:rsidRPr="00E320CE">
        <w:rPr>
          <w:bCs/>
          <w:sz w:val="28"/>
          <w:szCs w:val="28"/>
          <w:lang w:val="es-MX"/>
        </w:rPr>
        <w:t xml:space="preserve"> que entre ella y </w:t>
      </w:r>
      <w:proofErr w:type="spellStart"/>
      <w:r w:rsidR="00842AB6" w:rsidRPr="00E320CE">
        <w:rPr>
          <w:bCs/>
          <w:sz w:val="28"/>
          <w:szCs w:val="28"/>
          <w:lang w:val="es-MX"/>
        </w:rPr>
        <w:t>Norsalud</w:t>
      </w:r>
      <w:proofErr w:type="spellEnd"/>
      <w:r w:rsidR="00842AB6" w:rsidRPr="00E320CE">
        <w:rPr>
          <w:bCs/>
          <w:sz w:val="28"/>
          <w:szCs w:val="28"/>
          <w:lang w:val="es-MX"/>
        </w:rPr>
        <w:t xml:space="preserve"> PPL existió una sustitución patronal que cubre a </w:t>
      </w:r>
      <w:r w:rsidR="00E320CE" w:rsidRPr="00E320CE">
        <w:rPr>
          <w:i/>
          <w:iCs/>
          <w:sz w:val="28"/>
          <w:szCs w:val="28"/>
          <w:lang w:val="es-CO"/>
        </w:rPr>
        <w:t>Greta</w:t>
      </w:r>
      <w:r w:rsidR="00842AB6" w:rsidRPr="00E320CE">
        <w:rPr>
          <w:bCs/>
          <w:sz w:val="28"/>
          <w:szCs w:val="28"/>
          <w:lang w:val="es-MX"/>
        </w:rPr>
        <w:t>.</w:t>
      </w:r>
    </w:p>
    <w:p w14:paraId="1B4741F2" w14:textId="77777777" w:rsidR="00E46FEE" w:rsidRPr="00E320CE" w:rsidRDefault="00E46FEE" w:rsidP="00BE6DDC">
      <w:pPr>
        <w:pStyle w:val="Prrafodelista"/>
        <w:rPr>
          <w:bCs/>
          <w:sz w:val="28"/>
          <w:szCs w:val="28"/>
          <w:lang w:val="es-ES"/>
        </w:rPr>
      </w:pPr>
    </w:p>
    <w:p w14:paraId="5A78A9B8" w14:textId="50509223" w:rsidR="00E46FEE" w:rsidRPr="00E320CE" w:rsidRDefault="00E46FEE" w:rsidP="00E46FEE">
      <w:pPr>
        <w:pStyle w:val="Prrafodelista"/>
        <w:numPr>
          <w:ilvl w:val="0"/>
          <w:numId w:val="1"/>
        </w:numPr>
        <w:autoSpaceDE/>
        <w:autoSpaceDN/>
        <w:ind w:left="0" w:firstLine="0"/>
        <w:contextualSpacing w:val="0"/>
        <w:jc w:val="both"/>
        <w:rPr>
          <w:rFonts w:eastAsia="SimSun"/>
          <w:sz w:val="28"/>
          <w:szCs w:val="28"/>
          <w:lang w:val="es-MX"/>
        </w:rPr>
      </w:pPr>
      <w:r w:rsidRPr="00E320CE">
        <w:rPr>
          <w:bCs/>
          <w:sz w:val="28"/>
          <w:szCs w:val="28"/>
          <w:lang w:val="es-ES"/>
        </w:rPr>
        <w:t xml:space="preserve">Por todo lo dicho, </w:t>
      </w:r>
      <w:r w:rsidRPr="00E320CE">
        <w:rPr>
          <w:rFonts w:eastAsia="SimSun"/>
          <w:sz w:val="28"/>
          <w:szCs w:val="28"/>
          <w:lang w:val="es-MX"/>
        </w:rPr>
        <w:t xml:space="preserve">la Corte Constitucional observa que la Unión Temporal Salud Integral PPL desconoció los derechos </w:t>
      </w:r>
      <w:r w:rsidRPr="00E320CE">
        <w:rPr>
          <w:sz w:val="28"/>
          <w:szCs w:val="28"/>
        </w:rPr>
        <w:t>fundamentales al trabajo, al mínimo vital, a la seguridad social y a la estabilidad laboral reforzada</w:t>
      </w:r>
      <w:r w:rsidRPr="00E320CE">
        <w:rPr>
          <w:rFonts w:eastAsia="SimSun"/>
          <w:sz w:val="28"/>
          <w:szCs w:val="28"/>
          <w:lang w:val="es-MX"/>
        </w:rPr>
        <w:t xml:space="preserve"> de </w:t>
      </w:r>
      <w:r w:rsidR="00E320CE" w:rsidRPr="00E320CE">
        <w:rPr>
          <w:i/>
          <w:iCs/>
          <w:sz w:val="28"/>
          <w:szCs w:val="28"/>
          <w:lang w:val="es-CO"/>
        </w:rPr>
        <w:t>Greta</w:t>
      </w:r>
      <w:r w:rsidRPr="00E320CE">
        <w:rPr>
          <w:sz w:val="28"/>
          <w:szCs w:val="28"/>
        </w:rPr>
        <w:t xml:space="preserve">. En primer lugar, la entidad accionada encubrió la existencia de una relación laboral con la accionante por medio de sucesivos contratos de prestación de servicios. En segundo lugar, Salud Integral PPL desvinculó laboralmente a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rPr>
        <w:t xml:space="preserve">sin la autorización del inspector del trabajo, pese a que sabía que por sus condiciones de salud tenía dificultades para desempeñar regularmente sus funciones. De esa forma, en el presente caso, no se desvirtuó la presunción de despido discriminatorio. </w:t>
      </w:r>
      <w:r w:rsidR="006D322D" w:rsidRPr="00E320CE">
        <w:rPr>
          <w:sz w:val="28"/>
          <w:szCs w:val="28"/>
        </w:rPr>
        <w:t>Finalmente, la liquidación de la UT Salud Integral PPL</w:t>
      </w:r>
      <w:r w:rsidR="00701255" w:rsidRPr="00E320CE">
        <w:rPr>
          <w:sz w:val="28"/>
          <w:szCs w:val="28"/>
        </w:rPr>
        <w:t xml:space="preserve"> y el cambio de operador con </w:t>
      </w:r>
      <w:r w:rsidR="00266A0C" w:rsidRPr="00E320CE">
        <w:rPr>
          <w:sz w:val="28"/>
          <w:szCs w:val="28"/>
        </w:rPr>
        <w:t xml:space="preserve">la UT </w:t>
      </w:r>
      <w:proofErr w:type="spellStart"/>
      <w:r w:rsidR="00266A0C" w:rsidRPr="00E320CE">
        <w:rPr>
          <w:sz w:val="28"/>
          <w:szCs w:val="28"/>
        </w:rPr>
        <w:t>Norsalud</w:t>
      </w:r>
      <w:proofErr w:type="spellEnd"/>
      <w:r w:rsidR="00266A0C" w:rsidRPr="00E320CE">
        <w:rPr>
          <w:sz w:val="28"/>
          <w:szCs w:val="28"/>
        </w:rPr>
        <w:t xml:space="preserve"> PPL, no justifican </w:t>
      </w:r>
      <w:r w:rsidR="001F7B5A" w:rsidRPr="00E320CE">
        <w:rPr>
          <w:sz w:val="28"/>
          <w:szCs w:val="28"/>
        </w:rPr>
        <w:t>que la finalización de la vinculación laboral de la demandante obedezcan a una causa objetiva, ya que operó la figura de</w:t>
      </w:r>
      <w:r w:rsidR="006D322D" w:rsidRPr="00E320CE">
        <w:rPr>
          <w:sz w:val="28"/>
          <w:szCs w:val="28"/>
        </w:rPr>
        <w:t xml:space="preserve"> </w:t>
      </w:r>
      <w:r w:rsidRPr="00E320CE">
        <w:rPr>
          <w:sz w:val="28"/>
          <w:szCs w:val="28"/>
        </w:rPr>
        <w:t xml:space="preserve"> sustitución patronal entre la UT </w:t>
      </w:r>
      <w:r w:rsidRPr="00E320CE">
        <w:rPr>
          <w:rFonts w:eastAsia="SimSun"/>
          <w:sz w:val="28"/>
          <w:szCs w:val="28"/>
          <w:lang w:val="es-MX"/>
        </w:rPr>
        <w:t xml:space="preserve">Salud Integral PPL y la UT </w:t>
      </w:r>
      <w:proofErr w:type="spellStart"/>
      <w:r w:rsidRPr="00E320CE">
        <w:rPr>
          <w:rFonts w:eastAsia="SimSun"/>
          <w:sz w:val="28"/>
          <w:szCs w:val="28"/>
          <w:lang w:val="es-MX"/>
        </w:rPr>
        <w:t>Norsalud</w:t>
      </w:r>
      <w:proofErr w:type="spellEnd"/>
      <w:r w:rsidRPr="00E320CE">
        <w:rPr>
          <w:rFonts w:eastAsia="SimSun"/>
          <w:sz w:val="28"/>
          <w:szCs w:val="28"/>
          <w:lang w:val="es-MX"/>
        </w:rPr>
        <w:t xml:space="preserve"> PPL</w:t>
      </w:r>
      <w:r w:rsidR="001F7B5A" w:rsidRPr="00E320CE">
        <w:rPr>
          <w:rFonts w:eastAsia="SimSun"/>
          <w:sz w:val="28"/>
          <w:szCs w:val="28"/>
          <w:lang w:val="es-MX"/>
        </w:rPr>
        <w:t>,</w:t>
      </w:r>
      <w:r w:rsidRPr="00E320CE">
        <w:rPr>
          <w:rFonts w:eastAsia="SimSun"/>
          <w:sz w:val="28"/>
          <w:szCs w:val="28"/>
          <w:lang w:val="es-MX"/>
        </w:rPr>
        <w:t xml:space="preserve"> que le </w:t>
      </w:r>
      <w:r w:rsidR="001F7B5A" w:rsidRPr="00E320CE">
        <w:rPr>
          <w:rFonts w:eastAsia="SimSun"/>
          <w:sz w:val="28"/>
          <w:szCs w:val="28"/>
          <w:lang w:val="es-MX"/>
        </w:rPr>
        <w:t xml:space="preserve">exigía a las accionadas permitir </w:t>
      </w:r>
      <w:r w:rsidRPr="00E320CE">
        <w:rPr>
          <w:rFonts w:eastAsia="SimSun"/>
          <w:sz w:val="28"/>
          <w:szCs w:val="28"/>
          <w:lang w:val="es-MX"/>
        </w:rPr>
        <w:t>a la accionante continuar desempeñando sus labores.</w:t>
      </w:r>
    </w:p>
    <w:p w14:paraId="3AB4B697" w14:textId="77777777" w:rsidR="00842AB6" w:rsidRPr="00E320CE" w:rsidRDefault="00842AB6" w:rsidP="00842AB6">
      <w:pPr>
        <w:rPr>
          <w:bCs/>
          <w:sz w:val="28"/>
          <w:szCs w:val="28"/>
          <w:lang w:val="es-ES"/>
        </w:rPr>
      </w:pPr>
    </w:p>
    <w:p w14:paraId="5CA28E85" w14:textId="36C3B6E1" w:rsidR="00842AB6" w:rsidRPr="00E320CE" w:rsidRDefault="00842AB6" w:rsidP="00842AB6">
      <w:pPr>
        <w:rPr>
          <w:b/>
          <w:sz w:val="28"/>
          <w:szCs w:val="28"/>
          <w:lang w:val="es-ES"/>
        </w:rPr>
      </w:pPr>
      <w:r w:rsidRPr="00E320CE">
        <w:rPr>
          <w:b/>
          <w:sz w:val="28"/>
          <w:szCs w:val="28"/>
          <w:lang w:val="es-ES"/>
        </w:rPr>
        <w:t>Remedios judiciales</w:t>
      </w:r>
    </w:p>
    <w:p w14:paraId="088123E6" w14:textId="77777777" w:rsidR="00842AB6" w:rsidRPr="00E320CE" w:rsidRDefault="00842AB6" w:rsidP="00842AB6">
      <w:pPr>
        <w:rPr>
          <w:bCs/>
          <w:sz w:val="28"/>
          <w:szCs w:val="28"/>
          <w:lang w:val="es-ES"/>
        </w:rPr>
      </w:pPr>
    </w:p>
    <w:p w14:paraId="7CD62A61" w14:textId="77777777" w:rsidR="00372901" w:rsidRPr="00E320CE" w:rsidRDefault="00842AB6" w:rsidP="00E174BC">
      <w:pPr>
        <w:pStyle w:val="Prrafodelista"/>
        <w:numPr>
          <w:ilvl w:val="0"/>
          <w:numId w:val="1"/>
        </w:numPr>
        <w:autoSpaceDE/>
        <w:autoSpaceDN/>
        <w:ind w:left="0" w:firstLine="0"/>
        <w:contextualSpacing w:val="0"/>
        <w:jc w:val="both"/>
        <w:rPr>
          <w:bCs/>
          <w:sz w:val="28"/>
          <w:szCs w:val="28"/>
          <w:lang w:val="es-ES"/>
        </w:rPr>
      </w:pPr>
      <w:r w:rsidRPr="00E320CE">
        <w:rPr>
          <w:bCs/>
          <w:sz w:val="28"/>
          <w:szCs w:val="28"/>
          <w:lang w:val="es-ES"/>
        </w:rPr>
        <w:t xml:space="preserve">Así las cosas, la Corte Constitucional revocará el fallo de única instancia proferido el </w:t>
      </w:r>
      <w:r w:rsidRPr="00E320CE">
        <w:rPr>
          <w:sz w:val="28"/>
          <w:szCs w:val="28"/>
        </w:rPr>
        <w:t xml:space="preserve">23 de septiembre de 2024 por el Juzgado Primero Penal del Circuito de Cartagena y concederá el amparo de </w:t>
      </w:r>
      <w:r w:rsidRPr="00E320CE">
        <w:rPr>
          <w:rFonts w:eastAsia="SimSun"/>
          <w:sz w:val="28"/>
          <w:szCs w:val="28"/>
          <w:lang w:val="es-MX"/>
        </w:rPr>
        <w:t xml:space="preserve">los derechos </w:t>
      </w:r>
      <w:r w:rsidRPr="00E320CE">
        <w:rPr>
          <w:sz w:val="28"/>
          <w:szCs w:val="28"/>
        </w:rPr>
        <w:t>fundamentales al trabajo, al mínimo vital, a la seguridad social y a la estabilidad laboral reforzada de la accionante.</w:t>
      </w:r>
    </w:p>
    <w:p w14:paraId="718EC20F" w14:textId="0CB7A8DF" w:rsidR="00372901" w:rsidRPr="00E320CE" w:rsidRDefault="00842AB6" w:rsidP="00372901">
      <w:pPr>
        <w:pStyle w:val="Prrafodelista"/>
        <w:autoSpaceDE/>
        <w:autoSpaceDN/>
        <w:ind w:left="0"/>
        <w:contextualSpacing w:val="0"/>
        <w:jc w:val="both"/>
        <w:rPr>
          <w:bCs/>
          <w:sz w:val="28"/>
          <w:szCs w:val="28"/>
          <w:lang w:val="es-ES"/>
        </w:rPr>
      </w:pPr>
      <w:r w:rsidRPr="00E320CE">
        <w:rPr>
          <w:sz w:val="28"/>
          <w:szCs w:val="28"/>
        </w:rPr>
        <w:lastRenderedPageBreak/>
        <w:t xml:space="preserve"> </w:t>
      </w:r>
    </w:p>
    <w:p w14:paraId="72BC3E73" w14:textId="5D9BBDA6" w:rsidR="00842AB6" w:rsidRPr="00E320CE" w:rsidRDefault="00842AB6" w:rsidP="00E174BC">
      <w:pPr>
        <w:pStyle w:val="Prrafodelista"/>
        <w:numPr>
          <w:ilvl w:val="0"/>
          <w:numId w:val="1"/>
        </w:numPr>
        <w:autoSpaceDE/>
        <w:autoSpaceDN/>
        <w:ind w:left="0" w:firstLine="0"/>
        <w:contextualSpacing w:val="0"/>
        <w:jc w:val="both"/>
        <w:rPr>
          <w:sz w:val="28"/>
          <w:szCs w:val="28"/>
          <w:lang w:val="es-ES"/>
        </w:rPr>
      </w:pPr>
      <w:r w:rsidRPr="00E320CE">
        <w:rPr>
          <w:sz w:val="28"/>
          <w:szCs w:val="28"/>
        </w:rPr>
        <w:t xml:space="preserve">En consecuencia, </w:t>
      </w:r>
      <w:r w:rsidR="00514A36" w:rsidRPr="00E320CE">
        <w:rPr>
          <w:sz w:val="28"/>
          <w:szCs w:val="28"/>
        </w:rPr>
        <w:t xml:space="preserve">declarará </w:t>
      </w:r>
      <w:r w:rsidR="00467588" w:rsidRPr="00E320CE">
        <w:rPr>
          <w:sz w:val="28"/>
          <w:szCs w:val="28"/>
        </w:rPr>
        <w:t xml:space="preserve">(i) </w:t>
      </w:r>
      <w:r w:rsidR="00514A36" w:rsidRPr="00E320CE">
        <w:rPr>
          <w:sz w:val="28"/>
          <w:szCs w:val="28"/>
        </w:rPr>
        <w:t xml:space="preserve">la existencia de un contrato </w:t>
      </w:r>
      <w:r w:rsidR="00BA03F3" w:rsidRPr="00E320CE">
        <w:rPr>
          <w:sz w:val="28"/>
          <w:szCs w:val="28"/>
        </w:rPr>
        <w:t>realidad</w:t>
      </w:r>
      <w:r w:rsidR="00514A36" w:rsidRPr="00E320CE">
        <w:rPr>
          <w:sz w:val="28"/>
          <w:szCs w:val="28"/>
        </w:rPr>
        <w:t xml:space="preserve"> a término indefinido entre la Unión Temporal </w:t>
      </w:r>
      <w:r w:rsidR="000E07C6" w:rsidRPr="00E320CE">
        <w:rPr>
          <w:sz w:val="28"/>
          <w:szCs w:val="28"/>
        </w:rPr>
        <w:t>Salud Integral PPL</w:t>
      </w:r>
      <w:r w:rsidR="00514A36" w:rsidRPr="00E320CE">
        <w:rPr>
          <w:sz w:val="28"/>
          <w:szCs w:val="28"/>
        </w:rPr>
        <w:t xml:space="preserve"> y la señora </w:t>
      </w:r>
      <w:r w:rsidR="00E320CE" w:rsidRPr="00E320CE">
        <w:rPr>
          <w:i/>
          <w:iCs/>
          <w:sz w:val="28"/>
          <w:szCs w:val="28"/>
          <w:lang w:val="es-CO"/>
        </w:rPr>
        <w:t>Greta</w:t>
      </w:r>
      <w:r w:rsidR="00514A36" w:rsidRPr="00E320CE">
        <w:rPr>
          <w:sz w:val="28"/>
          <w:szCs w:val="28"/>
        </w:rPr>
        <w:t>, el cual inició el 4 de enero de 202</w:t>
      </w:r>
      <w:r w:rsidR="008402BE" w:rsidRPr="00E320CE">
        <w:rPr>
          <w:sz w:val="28"/>
          <w:szCs w:val="28"/>
        </w:rPr>
        <w:t>2</w:t>
      </w:r>
      <w:r w:rsidR="00514A36" w:rsidRPr="00E320CE">
        <w:rPr>
          <w:sz w:val="28"/>
          <w:szCs w:val="28"/>
        </w:rPr>
        <w:t>,</w:t>
      </w:r>
      <w:r w:rsidR="008402BE" w:rsidRPr="00E320CE">
        <w:rPr>
          <w:sz w:val="28"/>
          <w:szCs w:val="28"/>
        </w:rPr>
        <w:t xml:space="preserve"> frente al cual operó la sustitución patronal con el empleado</w:t>
      </w:r>
      <w:r w:rsidR="00467588" w:rsidRPr="00E320CE">
        <w:rPr>
          <w:sz w:val="28"/>
          <w:szCs w:val="28"/>
        </w:rPr>
        <w:t>r</w:t>
      </w:r>
      <w:r w:rsidR="008402BE" w:rsidRPr="00E320CE">
        <w:rPr>
          <w:sz w:val="28"/>
          <w:szCs w:val="28"/>
        </w:rPr>
        <w:t xml:space="preserve">, Unión Temporal </w:t>
      </w:r>
      <w:proofErr w:type="spellStart"/>
      <w:r w:rsidR="008402BE" w:rsidRPr="00E320CE">
        <w:rPr>
          <w:sz w:val="28"/>
          <w:szCs w:val="28"/>
        </w:rPr>
        <w:t>Norsalud</w:t>
      </w:r>
      <w:proofErr w:type="spellEnd"/>
      <w:r w:rsidR="008402BE" w:rsidRPr="00E320CE">
        <w:rPr>
          <w:sz w:val="28"/>
          <w:szCs w:val="28"/>
        </w:rPr>
        <w:t xml:space="preserve"> PPL</w:t>
      </w:r>
      <w:r w:rsidR="00375FA1" w:rsidRPr="00E320CE">
        <w:rPr>
          <w:sz w:val="28"/>
          <w:szCs w:val="28"/>
        </w:rPr>
        <w:t>,</w:t>
      </w:r>
      <w:r w:rsidR="00514A36" w:rsidRPr="00E320CE">
        <w:rPr>
          <w:sz w:val="28"/>
          <w:szCs w:val="28"/>
        </w:rPr>
        <w:t xml:space="preserve"> y</w:t>
      </w:r>
      <w:r w:rsidR="00467588" w:rsidRPr="00E320CE">
        <w:rPr>
          <w:sz w:val="28"/>
          <w:szCs w:val="28"/>
        </w:rPr>
        <w:t xml:space="preserve"> (</w:t>
      </w:r>
      <w:proofErr w:type="spellStart"/>
      <w:r w:rsidR="00467588" w:rsidRPr="00E320CE">
        <w:rPr>
          <w:sz w:val="28"/>
          <w:szCs w:val="28"/>
        </w:rPr>
        <w:t>ii</w:t>
      </w:r>
      <w:proofErr w:type="spellEnd"/>
      <w:r w:rsidR="00467588" w:rsidRPr="00E320CE">
        <w:rPr>
          <w:sz w:val="28"/>
          <w:szCs w:val="28"/>
        </w:rPr>
        <w:t>)</w:t>
      </w:r>
      <w:r w:rsidR="00514A36" w:rsidRPr="00E320CE">
        <w:rPr>
          <w:sz w:val="28"/>
          <w:szCs w:val="28"/>
        </w:rPr>
        <w:t xml:space="preserve"> la ineficacia de la terminación</w:t>
      </w:r>
      <w:r w:rsidR="00F0503F" w:rsidRPr="00E320CE">
        <w:rPr>
          <w:sz w:val="28"/>
          <w:szCs w:val="28"/>
        </w:rPr>
        <w:t xml:space="preserve"> de la relación</w:t>
      </w:r>
      <w:r w:rsidR="00514A36" w:rsidRPr="00E320CE">
        <w:rPr>
          <w:sz w:val="28"/>
          <w:szCs w:val="28"/>
        </w:rPr>
        <w:t xml:space="preserve"> laboral existente entre </w:t>
      </w:r>
      <w:r w:rsidR="00372901" w:rsidRPr="00E320CE">
        <w:rPr>
          <w:sz w:val="28"/>
          <w:szCs w:val="28"/>
        </w:rPr>
        <w:t xml:space="preserve">ambos. Asimismo, ordenará a la Unión Temporal </w:t>
      </w:r>
      <w:proofErr w:type="spellStart"/>
      <w:r w:rsidR="00372901" w:rsidRPr="00E320CE">
        <w:rPr>
          <w:sz w:val="28"/>
          <w:szCs w:val="28"/>
        </w:rPr>
        <w:t>Norsalud</w:t>
      </w:r>
      <w:proofErr w:type="spellEnd"/>
      <w:r w:rsidR="00372901" w:rsidRPr="00E320CE">
        <w:rPr>
          <w:sz w:val="28"/>
          <w:szCs w:val="28"/>
        </w:rPr>
        <w:t xml:space="preserve"> PPL que, en el término de diez (10) días hábiles</w:t>
      </w:r>
      <w:r w:rsidR="00467588" w:rsidRPr="00E320CE">
        <w:rPr>
          <w:sz w:val="28"/>
          <w:szCs w:val="28"/>
        </w:rPr>
        <w:t>,</w:t>
      </w:r>
      <w:r w:rsidR="00372901" w:rsidRPr="00E320CE">
        <w:rPr>
          <w:sz w:val="28"/>
          <w:szCs w:val="28"/>
        </w:rPr>
        <w:t xml:space="preserve"> contados a partir de la notificación de la presente sentencia, proceda a reintegr</w:t>
      </w:r>
      <w:r w:rsidR="00467588" w:rsidRPr="00E320CE">
        <w:rPr>
          <w:sz w:val="28"/>
          <w:szCs w:val="28"/>
        </w:rPr>
        <w:t>ar</w:t>
      </w:r>
      <w:r w:rsidR="00372901" w:rsidRPr="00E320CE">
        <w:rPr>
          <w:sz w:val="28"/>
          <w:szCs w:val="28"/>
        </w:rPr>
        <w:t xml:space="preserve"> </w:t>
      </w:r>
      <w:r w:rsidR="00467588" w:rsidRPr="00E320CE">
        <w:rPr>
          <w:sz w:val="28"/>
          <w:szCs w:val="28"/>
        </w:rPr>
        <w:t>a</w:t>
      </w:r>
      <w:r w:rsidR="00372901" w:rsidRPr="00E320CE">
        <w:rPr>
          <w:sz w:val="28"/>
          <w:szCs w:val="28"/>
        </w:rPr>
        <w:t xml:space="preserve"> la accionante a sus labores, en un puesto igual o mejor al que venía desempeñando, atendiendo a su situación de salud y </w:t>
      </w:r>
      <w:r w:rsidR="00467588" w:rsidRPr="00E320CE">
        <w:rPr>
          <w:sz w:val="28"/>
          <w:szCs w:val="28"/>
        </w:rPr>
        <w:t xml:space="preserve">mediante </w:t>
      </w:r>
      <w:r w:rsidR="00372901" w:rsidRPr="00E320CE">
        <w:rPr>
          <w:sz w:val="28"/>
          <w:szCs w:val="28"/>
        </w:rPr>
        <w:t xml:space="preserve">un contrato laboral. Por último, ordenará </w:t>
      </w:r>
      <w:r w:rsidR="00504DDA" w:rsidRPr="00E320CE">
        <w:rPr>
          <w:sz w:val="28"/>
          <w:szCs w:val="28"/>
        </w:rPr>
        <w:t xml:space="preserve">a </w:t>
      </w:r>
      <w:r w:rsidR="008145DF" w:rsidRPr="00E320CE">
        <w:rPr>
          <w:sz w:val="28"/>
          <w:szCs w:val="28"/>
        </w:rPr>
        <w:t xml:space="preserve">la UT </w:t>
      </w:r>
      <w:proofErr w:type="spellStart"/>
      <w:r w:rsidR="00504DDA" w:rsidRPr="00E320CE">
        <w:rPr>
          <w:sz w:val="28"/>
          <w:szCs w:val="28"/>
        </w:rPr>
        <w:t>Norsalud</w:t>
      </w:r>
      <w:proofErr w:type="spellEnd"/>
      <w:r w:rsidR="00504DDA" w:rsidRPr="00E320CE">
        <w:rPr>
          <w:sz w:val="28"/>
          <w:szCs w:val="28"/>
        </w:rPr>
        <w:t xml:space="preserve"> </w:t>
      </w:r>
      <w:r w:rsidR="008145DF" w:rsidRPr="00E320CE">
        <w:rPr>
          <w:sz w:val="28"/>
          <w:szCs w:val="28"/>
        </w:rPr>
        <w:t xml:space="preserve">PPL a pagar </w:t>
      </w:r>
      <w:r w:rsidR="00372901" w:rsidRPr="00E320CE">
        <w:rPr>
          <w:sz w:val="28"/>
          <w:szCs w:val="28"/>
        </w:rPr>
        <w:t xml:space="preserve">los salarios y prestaciones sociales dejadas de pagar a </w:t>
      </w:r>
      <w:r w:rsidR="00E320CE" w:rsidRPr="00E320CE">
        <w:rPr>
          <w:i/>
          <w:iCs/>
          <w:sz w:val="28"/>
          <w:szCs w:val="28"/>
          <w:lang w:val="es-CO"/>
        </w:rPr>
        <w:t>Greta</w:t>
      </w:r>
      <w:r w:rsidR="00E320CE" w:rsidRPr="00E320CE" w:rsidDel="006E6781">
        <w:rPr>
          <w:sz w:val="28"/>
          <w:szCs w:val="28"/>
          <w:lang w:val="es-CO"/>
        </w:rPr>
        <w:t xml:space="preserve"> </w:t>
      </w:r>
      <w:r w:rsidR="00372901" w:rsidRPr="00E320CE">
        <w:rPr>
          <w:sz w:val="28"/>
          <w:szCs w:val="28"/>
        </w:rPr>
        <w:t xml:space="preserve">desde la terminación de su contrato laboral hasta que se haga efectivo el reintegro, </w:t>
      </w:r>
      <w:r w:rsidR="008145DF" w:rsidRPr="00E320CE">
        <w:rPr>
          <w:sz w:val="28"/>
          <w:szCs w:val="28"/>
        </w:rPr>
        <w:t xml:space="preserve">y a ambas </w:t>
      </w:r>
      <w:r w:rsidR="006C38EC" w:rsidRPr="00E320CE">
        <w:rPr>
          <w:sz w:val="28"/>
          <w:szCs w:val="28"/>
        </w:rPr>
        <w:t>uniones temporales</w:t>
      </w:r>
      <w:r w:rsidR="006F7602" w:rsidRPr="00E320CE">
        <w:rPr>
          <w:sz w:val="28"/>
          <w:szCs w:val="28"/>
        </w:rPr>
        <w:t>, de manera solidaria,</w:t>
      </w:r>
      <w:r w:rsidR="008145DF" w:rsidRPr="00E320CE">
        <w:rPr>
          <w:sz w:val="28"/>
          <w:szCs w:val="28"/>
        </w:rPr>
        <w:t xml:space="preserve"> </w:t>
      </w:r>
      <w:r w:rsidR="00C1606D" w:rsidRPr="00E320CE">
        <w:rPr>
          <w:sz w:val="28"/>
          <w:szCs w:val="28"/>
        </w:rPr>
        <w:t>a</w:t>
      </w:r>
      <w:r w:rsidR="000C3670" w:rsidRPr="00E320CE">
        <w:rPr>
          <w:sz w:val="28"/>
          <w:szCs w:val="28"/>
        </w:rPr>
        <w:t>l</w:t>
      </w:r>
      <w:r w:rsidR="00372901" w:rsidRPr="00E320CE">
        <w:rPr>
          <w:sz w:val="28"/>
          <w:szCs w:val="28"/>
        </w:rPr>
        <w:t xml:space="preserve"> pago</w:t>
      </w:r>
      <w:r w:rsidR="006B43E2" w:rsidRPr="00E320CE">
        <w:rPr>
          <w:sz w:val="28"/>
          <w:szCs w:val="28"/>
        </w:rPr>
        <w:t xml:space="preserve"> </w:t>
      </w:r>
      <w:r w:rsidR="00372901" w:rsidRPr="00E320CE">
        <w:rPr>
          <w:sz w:val="28"/>
          <w:szCs w:val="28"/>
        </w:rPr>
        <w:t>de la sanción establecida por el inciso segundo del artículo 26 de la Ley 361 de 1997 consistente en 180 días de salario.</w:t>
      </w:r>
    </w:p>
    <w:p w14:paraId="43617DAB" w14:textId="77777777" w:rsidR="00810AC0" w:rsidRPr="00E320CE" w:rsidRDefault="00810AC0" w:rsidP="007270E5">
      <w:pPr>
        <w:pStyle w:val="Prrafodelista"/>
        <w:autoSpaceDE/>
        <w:autoSpaceDN/>
        <w:ind w:left="0"/>
        <w:contextualSpacing w:val="0"/>
        <w:jc w:val="both"/>
        <w:rPr>
          <w:rFonts w:eastAsia="SimSun"/>
          <w:sz w:val="28"/>
          <w:szCs w:val="28"/>
          <w:lang w:val="es-MX"/>
        </w:rPr>
      </w:pPr>
    </w:p>
    <w:p w14:paraId="5B7E8BBE" w14:textId="7717E954" w:rsidR="0099734A" w:rsidRPr="00E320CE" w:rsidRDefault="0099734A" w:rsidP="0099734A">
      <w:pPr>
        <w:pStyle w:val="Prrafodelista"/>
        <w:widowControl w:val="0"/>
        <w:numPr>
          <w:ilvl w:val="0"/>
          <w:numId w:val="14"/>
        </w:numPr>
        <w:overflowPunct w:val="0"/>
        <w:adjustRightInd w:val="0"/>
        <w:ind w:left="567" w:hanging="567"/>
        <w:jc w:val="both"/>
        <w:textAlignment w:val="baseline"/>
        <w:rPr>
          <w:b/>
          <w:sz w:val="28"/>
          <w:szCs w:val="28"/>
          <w:lang w:val="es-ES_tradnl"/>
        </w:rPr>
      </w:pPr>
      <w:r w:rsidRPr="00E320CE">
        <w:rPr>
          <w:b/>
          <w:sz w:val="28"/>
          <w:szCs w:val="28"/>
          <w:lang w:val="es-ES_tradnl"/>
        </w:rPr>
        <w:t>DECISIÓN</w:t>
      </w:r>
    </w:p>
    <w:p w14:paraId="20C3DCCE" w14:textId="528F6680" w:rsidR="0099734A" w:rsidRPr="00E320CE" w:rsidRDefault="0099734A" w:rsidP="0099734A">
      <w:pPr>
        <w:widowControl w:val="0"/>
        <w:overflowPunct w:val="0"/>
        <w:adjustRightInd w:val="0"/>
        <w:contextualSpacing/>
        <w:jc w:val="both"/>
        <w:textAlignment w:val="baseline"/>
        <w:rPr>
          <w:b/>
          <w:sz w:val="28"/>
          <w:szCs w:val="28"/>
          <w:lang w:val="es-ES_tradnl"/>
        </w:rPr>
      </w:pPr>
    </w:p>
    <w:p w14:paraId="14FA8A14" w14:textId="77777777" w:rsidR="0099734A" w:rsidRPr="00E320CE" w:rsidRDefault="0099734A" w:rsidP="0099734A">
      <w:pPr>
        <w:widowControl w:val="0"/>
        <w:tabs>
          <w:tab w:val="left" w:pos="284"/>
        </w:tabs>
        <w:overflowPunct w:val="0"/>
        <w:adjustRightInd w:val="0"/>
        <w:jc w:val="both"/>
        <w:textAlignment w:val="baseline"/>
        <w:rPr>
          <w:sz w:val="28"/>
          <w:szCs w:val="28"/>
          <w:lang w:val="es-ES_tradnl"/>
        </w:rPr>
      </w:pPr>
      <w:r w:rsidRPr="00E320CE">
        <w:rPr>
          <w:sz w:val="28"/>
          <w:szCs w:val="28"/>
          <w:lang w:val="es-ES_tradnl"/>
        </w:rPr>
        <w:t xml:space="preserve">En mérito de lo expuesto, la Sala </w:t>
      </w:r>
      <w:r w:rsidRPr="00E320CE">
        <w:rPr>
          <w:sz w:val="28"/>
          <w:szCs w:val="28"/>
        </w:rPr>
        <w:t xml:space="preserve">Primera </w:t>
      </w:r>
      <w:r w:rsidRPr="00E320CE">
        <w:rPr>
          <w:sz w:val="28"/>
          <w:szCs w:val="28"/>
          <w:lang w:val="es-ES_tradnl"/>
        </w:rPr>
        <w:t>de Revisión de la Corte Constitucional, administrando justicia en nombre del pueblo y por mandato de la Constitución Política,</w:t>
      </w:r>
    </w:p>
    <w:p w14:paraId="7807BA2F" w14:textId="77777777" w:rsidR="0099734A" w:rsidRPr="00E320CE" w:rsidRDefault="0099734A" w:rsidP="0099734A">
      <w:pPr>
        <w:autoSpaceDE/>
        <w:autoSpaceDN/>
        <w:jc w:val="both"/>
        <w:rPr>
          <w:rFonts w:eastAsia="SimSun"/>
          <w:b/>
          <w:bCs/>
          <w:sz w:val="28"/>
          <w:szCs w:val="28"/>
          <w:lang w:val="es-ES_tradnl"/>
        </w:rPr>
      </w:pPr>
    </w:p>
    <w:p w14:paraId="423ECB15" w14:textId="1A0772C9" w:rsidR="00EB75DB" w:rsidRPr="00E320CE" w:rsidRDefault="00703A1F" w:rsidP="00BE0F70">
      <w:pPr>
        <w:jc w:val="center"/>
        <w:rPr>
          <w:b/>
          <w:bCs/>
          <w:sz w:val="28"/>
          <w:szCs w:val="28"/>
          <w:lang w:val="es-ES"/>
        </w:rPr>
      </w:pPr>
      <w:r w:rsidRPr="00E320CE">
        <w:rPr>
          <w:b/>
          <w:bCs/>
          <w:sz w:val="28"/>
          <w:szCs w:val="28"/>
          <w:lang w:val="es-ES"/>
        </w:rPr>
        <w:t>RESUELVE:</w:t>
      </w:r>
    </w:p>
    <w:p w14:paraId="29BE1384" w14:textId="77777777" w:rsidR="00153AEA" w:rsidRPr="00E320CE" w:rsidRDefault="00153AEA" w:rsidP="00703A1F">
      <w:pPr>
        <w:jc w:val="both"/>
        <w:rPr>
          <w:sz w:val="28"/>
          <w:szCs w:val="28"/>
          <w:lang w:val="es-ES"/>
        </w:rPr>
      </w:pPr>
    </w:p>
    <w:p w14:paraId="0A3B998F" w14:textId="7AADCC6D" w:rsidR="00372901" w:rsidRPr="00E320CE" w:rsidRDefault="00E00531" w:rsidP="00372901">
      <w:pPr>
        <w:pStyle w:val="Prrafodelista"/>
        <w:autoSpaceDE/>
        <w:autoSpaceDN/>
        <w:ind w:left="0"/>
        <w:contextualSpacing w:val="0"/>
        <w:jc w:val="both"/>
        <w:rPr>
          <w:bCs/>
          <w:sz w:val="28"/>
          <w:szCs w:val="28"/>
          <w:lang w:val="es-ES"/>
        </w:rPr>
      </w:pPr>
      <w:r w:rsidRPr="00E320CE">
        <w:rPr>
          <w:b/>
          <w:bCs/>
          <w:sz w:val="28"/>
          <w:szCs w:val="28"/>
          <w:lang w:val="es-ES"/>
        </w:rPr>
        <w:t xml:space="preserve">Primero. </w:t>
      </w:r>
      <w:r w:rsidR="009934BF" w:rsidRPr="00E320CE">
        <w:rPr>
          <w:b/>
          <w:bCs/>
          <w:sz w:val="28"/>
          <w:szCs w:val="28"/>
          <w:lang w:val="es-ES"/>
        </w:rPr>
        <w:t>REVOCAR</w:t>
      </w:r>
      <w:r w:rsidRPr="00E320CE">
        <w:rPr>
          <w:b/>
          <w:bCs/>
          <w:sz w:val="28"/>
          <w:szCs w:val="28"/>
          <w:lang w:val="es-ES"/>
        </w:rPr>
        <w:t xml:space="preserve"> </w:t>
      </w:r>
      <w:r w:rsidR="00275A6E" w:rsidRPr="00E320CE">
        <w:rPr>
          <w:sz w:val="28"/>
          <w:szCs w:val="28"/>
        </w:rPr>
        <w:t xml:space="preserve">la sentencia </w:t>
      </w:r>
      <w:r w:rsidR="00372901" w:rsidRPr="00E320CE">
        <w:rPr>
          <w:sz w:val="28"/>
          <w:szCs w:val="28"/>
        </w:rPr>
        <w:t>del 23 de septiembre de 2024, proferida por el Juzgado Primero Penal del Circuito de Cartagena</w:t>
      </w:r>
      <w:r w:rsidR="00275A6E" w:rsidRPr="00E320CE">
        <w:rPr>
          <w:sz w:val="28"/>
          <w:szCs w:val="28"/>
        </w:rPr>
        <w:t xml:space="preserve">, que declaró </w:t>
      </w:r>
      <w:r w:rsidR="00372901" w:rsidRPr="00E320CE">
        <w:rPr>
          <w:sz w:val="28"/>
          <w:szCs w:val="28"/>
        </w:rPr>
        <w:t>la configuración de cosa juzgada constitucional</w:t>
      </w:r>
      <w:r w:rsidR="00275A6E" w:rsidRPr="00E320CE">
        <w:rPr>
          <w:sz w:val="28"/>
          <w:szCs w:val="28"/>
        </w:rPr>
        <w:t xml:space="preserve">. En su lugar, </w:t>
      </w:r>
      <w:r w:rsidR="00275A6E" w:rsidRPr="00E320CE">
        <w:rPr>
          <w:b/>
          <w:bCs/>
          <w:sz w:val="28"/>
          <w:szCs w:val="28"/>
        </w:rPr>
        <w:t xml:space="preserve">CONCEDER </w:t>
      </w:r>
      <w:r w:rsidR="00275A6E" w:rsidRPr="00E320CE">
        <w:rPr>
          <w:sz w:val="28"/>
          <w:szCs w:val="28"/>
        </w:rPr>
        <w:t xml:space="preserve">el amparo de </w:t>
      </w:r>
      <w:r w:rsidR="00372901" w:rsidRPr="00E320CE">
        <w:rPr>
          <w:rFonts w:eastAsia="SimSun"/>
          <w:sz w:val="28"/>
          <w:szCs w:val="28"/>
          <w:lang w:val="es-MX"/>
        </w:rPr>
        <w:t xml:space="preserve">los derechos </w:t>
      </w:r>
      <w:r w:rsidR="00372901" w:rsidRPr="00E320CE">
        <w:rPr>
          <w:sz w:val="28"/>
          <w:szCs w:val="28"/>
        </w:rPr>
        <w:t>fundamentales al trabajo, al mínimo vital, a la seguridad social y a la estabilidad laboral reforzada de la accionante.</w:t>
      </w:r>
    </w:p>
    <w:p w14:paraId="112AD772" w14:textId="77777777" w:rsidR="00E00531" w:rsidRPr="00E320CE" w:rsidRDefault="00E00531" w:rsidP="00E00531">
      <w:pPr>
        <w:jc w:val="both"/>
        <w:rPr>
          <w:b/>
          <w:bCs/>
          <w:sz w:val="28"/>
          <w:szCs w:val="28"/>
          <w:lang w:val="es-ES"/>
        </w:rPr>
      </w:pPr>
    </w:p>
    <w:p w14:paraId="43C8346B" w14:textId="3A330B40" w:rsidR="00C520C3" w:rsidRPr="00E320CE" w:rsidRDefault="00E00531" w:rsidP="007270E5">
      <w:pPr>
        <w:jc w:val="both"/>
        <w:rPr>
          <w:sz w:val="28"/>
          <w:szCs w:val="28"/>
          <w:lang w:val="es-ES"/>
        </w:rPr>
      </w:pPr>
      <w:r w:rsidRPr="00E320CE">
        <w:rPr>
          <w:b/>
          <w:bCs/>
          <w:sz w:val="28"/>
          <w:szCs w:val="28"/>
          <w:lang w:val="es-ES"/>
        </w:rPr>
        <w:t xml:space="preserve">Segundo. </w:t>
      </w:r>
      <w:r w:rsidR="00372901" w:rsidRPr="00E320CE">
        <w:rPr>
          <w:b/>
          <w:bCs/>
          <w:sz w:val="28"/>
          <w:szCs w:val="28"/>
          <w:lang w:val="es-ES"/>
        </w:rPr>
        <w:t xml:space="preserve">DECLARAR </w:t>
      </w:r>
      <w:r w:rsidR="00372901" w:rsidRPr="00E320CE">
        <w:rPr>
          <w:sz w:val="28"/>
          <w:szCs w:val="28"/>
        </w:rPr>
        <w:t xml:space="preserve">la existencia de un contrato </w:t>
      </w:r>
      <w:r w:rsidR="00C24905" w:rsidRPr="00E320CE">
        <w:rPr>
          <w:sz w:val="28"/>
          <w:szCs w:val="28"/>
        </w:rPr>
        <w:t>realidad</w:t>
      </w:r>
      <w:r w:rsidR="00372901" w:rsidRPr="00E320CE">
        <w:rPr>
          <w:sz w:val="28"/>
          <w:szCs w:val="28"/>
        </w:rPr>
        <w:t xml:space="preserve"> a término indefinido entre la Unión Temporal </w:t>
      </w:r>
      <w:r w:rsidR="00932014" w:rsidRPr="00E320CE">
        <w:rPr>
          <w:sz w:val="28"/>
          <w:szCs w:val="28"/>
        </w:rPr>
        <w:t>Salud Integral PPL</w:t>
      </w:r>
      <w:r w:rsidR="00372901" w:rsidRPr="00E320CE">
        <w:rPr>
          <w:sz w:val="28"/>
          <w:szCs w:val="28"/>
        </w:rPr>
        <w:t xml:space="preserve"> y </w:t>
      </w:r>
      <w:r w:rsidR="00E320CE" w:rsidRPr="00E320CE">
        <w:rPr>
          <w:i/>
          <w:iCs/>
          <w:sz w:val="28"/>
          <w:szCs w:val="28"/>
          <w:lang w:val="es-CO"/>
        </w:rPr>
        <w:t>Greta</w:t>
      </w:r>
      <w:r w:rsidR="00372901" w:rsidRPr="00E320CE">
        <w:rPr>
          <w:sz w:val="28"/>
          <w:szCs w:val="28"/>
        </w:rPr>
        <w:t>, con fecha de inicio del 4 de enero de 2022</w:t>
      </w:r>
      <w:r w:rsidR="00F0503F" w:rsidRPr="00E320CE">
        <w:rPr>
          <w:sz w:val="28"/>
          <w:szCs w:val="28"/>
        </w:rPr>
        <w:t>,</w:t>
      </w:r>
      <w:r w:rsidR="00372901" w:rsidRPr="00E320CE">
        <w:rPr>
          <w:sz w:val="28"/>
          <w:szCs w:val="28"/>
        </w:rPr>
        <w:t xml:space="preserve"> </w:t>
      </w:r>
      <w:r w:rsidR="006B4CE0" w:rsidRPr="00E320CE">
        <w:rPr>
          <w:sz w:val="28"/>
          <w:szCs w:val="28"/>
        </w:rPr>
        <w:t>frente a</w:t>
      </w:r>
      <w:r w:rsidR="0088100A" w:rsidRPr="00E320CE">
        <w:rPr>
          <w:sz w:val="28"/>
          <w:szCs w:val="28"/>
        </w:rPr>
        <w:t>l</w:t>
      </w:r>
      <w:r w:rsidR="006B4CE0" w:rsidRPr="00E320CE">
        <w:rPr>
          <w:sz w:val="28"/>
          <w:szCs w:val="28"/>
        </w:rPr>
        <w:t xml:space="preserve"> cual </w:t>
      </w:r>
      <w:r w:rsidR="00EF060E" w:rsidRPr="00E320CE">
        <w:rPr>
          <w:sz w:val="28"/>
          <w:szCs w:val="28"/>
        </w:rPr>
        <w:t>operó la sustitución patronal</w:t>
      </w:r>
      <w:r w:rsidR="006B4CE0" w:rsidRPr="00E320CE">
        <w:rPr>
          <w:sz w:val="28"/>
          <w:szCs w:val="28"/>
        </w:rPr>
        <w:t xml:space="preserve"> </w:t>
      </w:r>
      <w:r w:rsidR="0015190A" w:rsidRPr="00E320CE">
        <w:rPr>
          <w:sz w:val="28"/>
          <w:szCs w:val="28"/>
        </w:rPr>
        <w:t>con el emplead</w:t>
      </w:r>
      <w:r w:rsidR="00601CE8" w:rsidRPr="00E320CE">
        <w:rPr>
          <w:sz w:val="28"/>
          <w:szCs w:val="28"/>
        </w:rPr>
        <w:t>o</w:t>
      </w:r>
      <w:r w:rsidR="0015190A" w:rsidRPr="00E320CE">
        <w:rPr>
          <w:sz w:val="28"/>
          <w:szCs w:val="28"/>
        </w:rPr>
        <w:t>,</w:t>
      </w:r>
      <w:r w:rsidR="006B4CE0" w:rsidRPr="00E320CE">
        <w:rPr>
          <w:sz w:val="28"/>
          <w:szCs w:val="28"/>
        </w:rPr>
        <w:t xml:space="preserve"> Unión Temporal </w:t>
      </w:r>
      <w:proofErr w:type="spellStart"/>
      <w:r w:rsidR="006B4CE0" w:rsidRPr="00E320CE">
        <w:rPr>
          <w:sz w:val="28"/>
          <w:szCs w:val="28"/>
        </w:rPr>
        <w:t>Norsalud</w:t>
      </w:r>
      <w:proofErr w:type="spellEnd"/>
      <w:r w:rsidR="0015190A" w:rsidRPr="00E320CE">
        <w:rPr>
          <w:sz w:val="28"/>
          <w:szCs w:val="28"/>
        </w:rPr>
        <w:t xml:space="preserve"> PPL</w:t>
      </w:r>
      <w:r w:rsidR="009002A9" w:rsidRPr="00E320CE">
        <w:rPr>
          <w:sz w:val="28"/>
          <w:szCs w:val="28"/>
        </w:rPr>
        <w:t xml:space="preserve">. En consecuencia, </w:t>
      </w:r>
      <w:r w:rsidR="00372901" w:rsidRPr="00E320CE">
        <w:rPr>
          <w:b/>
          <w:bCs/>
          <w:sz w:val="28"/>
          <w:szCs w:val="28"/>
          <w:lang w:val="es-ES"/>
        </w:rPr>
        <w:t xml:space="preserve">DECLARAR </w:t>
      </w:r>
      <w:r w:rsidR="00372901" w:rsidRPr="00E320CE">
        <w:rPr>
          <w:sz w:val="28"/>
          <w:szCs w:val="28"/>
          <w:lang w:val="es-ES"/>
        </w:rPr>
        <w:t>la ineficacia de</w:t>
      </w:r>
      <w:r w:rsidR="009002A9" w:rsidRPr="00E320CE">
        <w:rPr>
          <w:sz w:val="28"/>
          <w:szCs w:val="28"/>
          <w:lang w:val="es-ES"/>
        </w:rPr>
        <w:t xml:space="preserve"> </w:t>
      </w:r>
      <w:r w:rsidR="00372901" w:rsidRPr="00E320CE">
        <w:rPr>
          <w:sz w:val="28"/>
          <w:szCs w:val="28"/>
          <w:lang w:val="es-ES"/>
        </w:rPr>
        <w:t>l</w:t>
      </w:r>
      <w:r w:rsidR="009002A9" w:rsidRPr="00E320CE">
        <w:rPr>
          <w:sz w:val="28"/>
          <w:szCs w:val="28"/>
          <w:lang w:val="es-ES"/>
        </w:rPr>
        <w:t xml:space="preserve">a terminación de la relación laboral </w:t>
      </w:r>
      <w:r w:rsidR="00372901" w:rsidRPr="00E320CE">
        <w:rPr>
          <w:sz w:val="28"/>
          <w:szCs w:val="28"/>
          <w:lang w:val="es-ES"/>
        </w:rPr>
        <w:t xml:space="preserve">de </w:t>
      </w:r>
      <w:r w:rsidR="00E320CE" w:rsidRPr="00E320CE">
        <w:rPr>
          <w:i/>
          <w:iCs/>
          <w:sz w:val="28"/>
          <w:szCs w:val="28"/>
          <w:lang w:val="es-CO"/>
        </w:rPr>
        <w:t>Greta</w:t>
      </w:r>
      <w:r w:rsidR="0015190A" w:rsidRPr="00E320CE">
        <w:rPr>
          <w:sz w:val="28"/>
          <w:szCs w:val="28"/>
          <w:lang w:val="es-ES"/>
        </w:rPr>
        <w:t xml:space="preserve"> el 31 de julio de 2024</w:t>
      </w:r>
      <w:r w:rsidR="00372901" w:rsidRPr="00E320CE">
        <w:rPr>
          <w:sz w:val="28"/>
          <w:szCs w:val="28"/>
          <w:lang w:val="es-ES"/>
        </w:rPr>
        <w:t>.</w:t>
      </w:r>
    </w:p>
    <w:p w14:paraId="2921061D" w14:textId="77777777" w:rsidR="00372901" w:rsidRPr="00E320CE" w:rsidRDefault="00372901" w:rsidP="007270E5">
      <w:pPr>
        <w:jc w:val="both"/>
        <w:rPr>
          <w:sz w:val="28"/>
          <w:szCs w:val="28"/>
          <w:lang w:val="es-ES"/>
        </w:rPr>
      </w:pPr>
    </w:p>
    <w:p w14:paraId="785EECA0" w14:textId="5C0AC138" w:rsidR="00372901" w:rsidRPr="00E320CE" w:rsidRDefault="00372901" w:rsidP="007270E5">
      <w:pPr>
        <w:jc w:val="both"/>
        <w:rPr>
          <w:sz w:val="28"/>
          <w:szCs w:val="28"/>
        </w:rPr>
      </w:pPr>
      <w:r w:rsidRPr="00E320CE">
        <w:rPr>
          <w:b/>
          <w:bCs/>
          <w:sz w:val="28"/>
          <w:szCs w:val="28"/>
          <w:lang w:val="es-ES"/>
        </w:rPr>
        <w:t xml:space="preserve">Tercero. ORDENAR </w:t>
      </w:r>
      <w:r w:rsidRPr="00E320CE">
        <w:rPr>
          <w:sz w:val="28"/>
          <w:szCs w:val="28"/>
          <w:lang w:val="es-ES"/>
        </w:rPr>
        <w:t xml:space="preserve">a la Unión Temporal </w:t>
      </w:r>
      <w:proofErr w:type="spellStart"/>
      <w:r w:rsidRPr="00E320CE">
        <w:rPr>
          <w:sz w:val="28"/>
          <w:szCs w:val="28"/>
          <w:lang w:val="es-ES"/>
        </w:rPr>
        <w:t>Norsalud</w:t>
      </w:r>
      <w:proofErr w:type="spellEnd"/>
      <w:r w:rsidRPr="00E320CE">
        <w:rPr>
          <w:sz w:val="28"/>
          <w:szCs w:val="28"/>
          <w:lang w:val="es-ES"/>
        </w:rPr>
        <w:t xml:space="preserve"> PPL que, </w:t>
      </w:r>
      <w:r w:rsidRPr="00E320CE">
        <w:rPr>
          <w:sz w:val="28"/>
          <w:szCs w:val="28"/>
        </w:rPr>
        <w:t xml:space="preserve">en el término de 5 días hábiles contados a partir de la notificación de esta providencia, reintegre a </w:t>
      </w:r>
      <w:r w:rsidR="00E320CE" w:rsidRPr="00E320CE">
        <w:rPr>
          <w:i/>
          <w:iCs/>
          <w:sz w:val="28"/>
          <w:szCs w:val="28"/>
          <w:lang w:val="es-CO"/>
        </w:rPr>
        <w:t>Greta</w:t>
      </w:r>
      <w:r w:rsidR="00E320CE" w:rsidRPr="00E320CE" w:rsidDel="006E6781">
        <w:rPr>
          <w:sz w:val="28"/>
          <w:szCs w:val="28"/>
          <w:lang w:val="es-CO"/>
        </w:rPr>
        <w:t xml:space="preserve"> </w:t>
      </w:r>
      <w:r w:rsidRPr="00E320CE">
        <w:rPr>
          <w:sz w:val="28"/>
          <w:szCs w:val="28"/>
        </w:rPr>
        <w:t>a sus labores, en un puesto igual o mejor al que venía desempeñando, atendiendo a su situación de salud y por medio de un contrato laboral.</w:t>
      </w:r>
    </w:p>
    <w:p w14:paraId="760F734A" w14:textId="77777777" w:rsidR="00372901" w:rsidRPr="00E320CE" w:rsidRDefault="00372901" w:rsidP="007270E5">
      <w:pPr>
        <w:jc w:val="both"/>
        <w:rPr>
          <w:color w:val="2D2D2D"/>
          <w:sz w:val="28"/>
          <w:szCs w:val="28"/>
        </w:rPr>
      </w:pPr>
    </w:p>
    <w:p w14:paraId="6D066661" w14:textId="4C9D6F5E" w:rsidR="00372901" w:rsidRPr="00E320CE" w:rsidRDefault="00372901" w:rsidP="007270E5">
      <w:pPr>
        <w:jc w:val="both"/>
        <w:rPr>
          <w:rFonts w:eastAsia="SimSun"/>
          <w:sz w:val="28"/>
          <w:szCs w:val="28"/>
          <w:lang w:val="es-MX"/>
        </w:rPr>
      </w:pPr>
      <w:r w:rsidRPr="00E320CE">
        <w:rPr>
          <w:b/>
          <w:sz w:val="28"/>
          <w:szCs w:val="28"/>
        </w:rPr>
        <w:t xml:space="preserve">Cuarto. ORDENAR </w:t>
      </w:r>
      <w:r w:rsidRPr="00E320CE">
        <w:rPr>
          <w:sz w:val="28"/>
          <w:szCs w:val="28"/>
        </w:rPr>
        <w:t xml:space="preserve">a la </w:t>
      </w:r>
      <w:r w:rsidRPr="00E320CE">
        <w:rPr>
          <w:sz w:val="28"/>
          <w:szCs w:val="28"/>
          <w:lang w:val="es-ES"/>
        </w:rPr>
        <w:t xml:space="preserve">Unión Temporal </w:t>
      </w:r>
      <w:proofErr w:type="spellStart"/>
      <w:r w:rsidRPr="00E320CE">
        <w:rPr>
          <w:sz w:val="28"/>
          <w:szCs w:val="28"/>
          <w:lang w:val="es-ES"/>
        </w:rPr>
        <w:t>Norsalud</w:t>
      </w:r>
      <w:proofErr w:type="spellEnd"/>
      <w:r w:rsidRPr="00E320CE">
        <w:rPr>
          <w:sz w:val="28"/>
          <w:szCs w:val="28"/>
          <w:lang w:val="es-ES"/>
        </w:rPr>
        <w:t xml:space="preserve"> PPL que, </w:t>
      </w:r>
      <w:r w:rsidRPr="00E320CE">
        <w:rPr>
          <w:sz w:val="28"/>
          <w:szCs w:val="28"/>
        </w:rPr>
        <w:t xml:space="preserve">dentro de los 15 días hábiles siguientes a la notificación de esta sentencia, </w:t>
      </w:r>
      <w:r w:rsidR="00F62108" w:rsidRPr="00E320CE">
        <w:rPr>
          <w:sz w:val="28"/>
          <w:szCs w:val="28"/>
        </w:rPr>
        <w:t>cancele</w:t>
      </w:r>
      <w:r w:rsidRPr="00E320CE">
        <w:rPr>
          <w:sz w:val="28"/>
          <w:szCs w:val="28"/>
        </w:rPr>
        <w:t xml:space="preserve"> a favor de </w:t>
      </w:r>
      <w:r w:rsidR="00E320CE" w:rsidRPr="00E320CE">
        <w:rPr>
          <w:i/>
          <w:iCs/>
          <w:sz w:val="28"/>
          <w:szCs w:val="28"/>
          <w:lang w:val="es-CO"/>
        </w:rPr>
        <w:t>Greta</w:t>
      </w:r>
      <w:r w:rsidRPr="00E320CE">
        <w:rPr>
          <w:sz w:val="28"/>
          <w:szCs w:val="28"/>
        </w:rPr>
        <w:t xml:space="preserve"> los salarios y prestaciones sociales que legalmente correspondan, así como los aportes al Sistema General de Seguridad Social, desde cuando se produjo la terminación de su contrato laboral hasta que se haga efectivo el reintegro. Así mismo,</w:t>
      </w:r>
      <w:r w:rsidR="00787028" w:rsidRPr="00E320CE">
        <w:rPr>
          <w:sz w:val="28"/>
          <w:szCs w:val="28"/>
        </w:rPr>
        <w:t xml:space="preserve"> la Unión Temporal Salud Integral PPL y </w:t>
      </w:r>
      <w:r w:rsidR="00D8557C" w:rsidRPr="00E320CE">
        <w:rPr>
          <w:sz w:val="28"/>
          <w:szCs w:val="28"/>
        </w:rPr>
        <w:t xml:space="preserve">la Unión Temporal </w:t>
      </w:r>
      <w:proofErr w:type="spellStart"/>
      <w:r w:rsidR="00D8557C" w:rsidRPr="00E320CE">
        <w:rPr>
          <w:sz w:val="28"/>
          <w:szCs w:val="28"/>
        </w:rPr>
        <w:t>Norsalud</w:t>
      </w:r>
      <w:proofErr w:type="spellEnd"/>
      <w:r w:rsidR="00D8557C" w:rsidRPr="00E320CE">
        <w:rPr>
          <w:sz w:val="28"/>
          <w:szCs w:val="28"/>
        </w:rPr>
        <w:t xml:space="preserve"> PPL,</w:t>
      </w:r>
      <w:r w:rsidR="00601CE8" w:rsidRPr="00E320CE">
        <w:rPr>
          <w:sz w:val="28"/>
          <w:szCs w:val="28"/>
        </w:rPr>
        <w:t xml:space="preserve"> </w:t>
      </w:r>
      <w:r w:rsidRPr="00E320CE">
        <w:rPr>
          <w:sz w:val="28"/>
          <w:szCs w:val="28"/>
        </w:rPr>
        <w:t xml:space="preserve">deberán pagar, </w:t>
      </w:r>
      <w:r w:rsidR="00D8557C" w:rsidRPr="00E320CE">
        <w:rPr>
          <w:sz w:val="28"/>
          <w:szCs w:val="28"/>
        </w:rPr>
        <w:t>de manera solidaria</w:t>
      </w:r>
      <w:r w:rsidRPr="00E320CE">
        <w:rPr>
          <w:sz w:val="28"/>
          <w:szCs w:val="28"/>
        </w:rPr>
        <w:t>, la sanción establecida en el inciso segundo del artículo 26 de la Ley 361 de 1997 consistente en 180 días de salario.</w:t>
      </w:r>
    </w:p>
    <w:p w14:paraId="1ACB269A" w14:textId="77777777" w:rsidR="00FC0453" w:rsidRPr="00E320CE" w:rsidRDefault="00FC0453" w:rsidP="00E00531">
      <w:pPr>
        <w:jc w:val="both"/>
        <w:rPr>
          <w:b/>
          <w:bCs/>
          <w:sz w:val="28"/>
          <w:szCs w:val="28"/>
        </w:rPr>
      </w:pPr>
    </w:p>
    <w:p w14:paraId="6142724B" w14:textId="446FDF55" w:rsidR="00FC0453" w:rsidRPr="00E320CE" w:rsidRDefault="00F62108" w:rsidP="00FC0453">
      <w:pPr>
        <w:pStyle w:val="Lista"/>
        <w:ind w:left="0" w:firstLine="0"/>
        <w:rPr>
          <w:sz w:val="28"/>
          <w:szCs w:val="28"/>
          <w:shd w:val="clear" w:color="auto" w:fill="FFFFFF"/>
        </w:rPr>
      </w:pPr>
      <w:r w:rsidRPr="00E320CE">
        <w:rPr>
          <w:b/>
          <w:bCs/>
          <w:sz w:val="28"/>
          <w:szCs w:val="28"/>
        </w:rPr>
        <w:lastRenderedPageBreak/>
        <w:t>Quinto</w:t>
      </w:r>
      <w:r w:rsidR="00FC0453" w:rsidRPr="00E320CE">
        <w:rPr>
          <w:b/>
          <w:bCs/>
          <w:sz w:val="28"/>
          <w:szCs w:val="28"/>
        </w:rPr>
        <w:t xml:space="preserve">. </w:t>
      </w:r>
      <w:r w:rsidR="00FC0453" w:rsidRPr="00E320CE">
        <w:rPr>
          <w:color w:val="000000" w:themeColor="text1"/>
          <w:sz w:val="28"/>
          <w:szCs w:val="28"/>
          <w:lang w:val="es-CO"/>
        </w:rPr>
        <w:t xml:space="preserve">Por Secretaría General, </w:t>
      </w:r>
      <w:r w:rsidR="00FC0453" w:rsidRPr="00E320CE">
        <w:rPr>
          <w:b/>
          <w:bCs/>
          <w:color w:val="000000" w:themeColor="text1"/>
          <w:sz w:val="28"/>
          <w:szCs w:val="28"/>
          <w:lang w:val="es-CO"/>
        </w:rPr>
        <w:t xml:space="preserve">LÍBRENSE </w:t>
      </w:r>
      <w:r w:rsidR="00FC0453" w:rsidRPr="00E320CE">
        <w:rPr>
          <w:color w:val="000000" w:themeColor="text1"/>
          <w:sz w:val="28"/>
          <w:szCs w:val="28"/>
          <w:lang w:val="es-CO"/>
        </w:rPr>
        <w:t>las comunicaciones de que trata el artículo 36 del Decreto 2591 de 1991.</w:t>
      </w:r>
    </w:p>
    <w:p w14:paraId="4D278043" w14:textId="77777777" w:rsidR="00FC0453" w:rsidRPr="00E320CE" w:rsidRDefault="00FC0453" w:rsidP="00FC0453">
      <w:pPr>
        <w:pStyle w:val="Lista"/>
        <w:ind w:left="0" w:firstLine="0"/>
        <w:rPr>
          <w:color w:val="000000" w:themeColor="text1"/>
          <w:sz w:val="28"/>
          <w:szCs w:val="28"/>
        </w:rPr>
      </w:pPr>
    </w:p>
    <w:p w14:paraId="7F705C15" w14:textId="77777777" w:rsidR="00FC0453" w:rsidRPr="00E320CE" w:rsidRDefault="00FC0453" w:rsidP="00FC0453">
      <w:pPr>
        <w:pStyle w:val="Lista"/>
        <w:ind w:left="0" w:firstLine="0"/>
        <w:rPr>
          <w:color w:val="000000" w:themeColor="text1"/>
          <w:sz w:val="28"/>
          <w:szCs w:val="28"/>
          <w:lang w:val="es-CO"/>
        </w:rPr>
      </w:pPr>
      <w:r w:rsidRPr="00E320CE">
        <w:rPr>
          <w:color w:val="000000" w:themeColor="text1"/>
          <w:sz w:val="28"/>
          <w:szCs w:val="28"/>
          <w:shd w:val="clear" w:color="auto" w:fill="FFFFFF"/>
        </w:rPr>
        <w:t>Notifíquese, comuníquese y cúmplase.</w:t>
      </w:r>
    </w:p>
    <w:p w14:paraId="1489985A" w14:textId="77777777" w:rsidR="00FC0453" w:rsidRPr="00E320CE" w:rsidRDefault="00FC0453" w:rsidP="00FC0453">
      <w:pPr>
        <w:pStyle w:val="Lista"/>
        <w:ind w:left="0" w:firstLine="0"/>
        <w:rPr>
          <w:sz w:val="28"/>
          <w:szCs w:val="28"/>
          <w:lang w:val="es-CO"/>
        </w:rPr>
      </w:pPr>
    </w:p>
    <w:p w14:paraId="2523E2AF" w14:textId="775B4A99" w:rsidR="00FC0453" w:rsidRPr="00FC0453" w:rsidRDefault="00FC0453" w:rsidP="00E00531">
      <w:pPr>
        <w:jc w:val="both"/>
        <w:rPr>
          <w:b/>
          <w:bCs/>
          <w:sz w:val="28"/>
          <w:szCs w:val="28"/>
        </w:rPr>
      </w:pPr>
    </w:p>
    <w:p w14:paraId="3F63CFA7" w14:textId="7321FFCC" w:rsidR="003215D0" w:rsidRDefault="003215D0" w:rsidP="00703A1F">
      <w:pPr>
        <w:jc w:val="both"/>
        <w:rPr>
          <w:sz w:val="28"/>
          <w:szCs w:val="28"/>
          <w:lang w:val="es-ES"/>
        </w:rPr>
      </w:pPr>
    </w:p>
    <w:p w14:paraId="7A5F35E8" w14:textId="77777777" w:rsidR="003215D0" w:rsidRDefault="003215D0" w:rsidP="00703A1F">
      <w:pPr>
        <w:jc w:val="both"/>
        <w:rPr>
          <w:sz w:val="28"/>
          <w:szCs w:val="28"/>
          <w:lang w:val="es-ES"/>
        </w:rPr>
      </w:pPr>
    </w:p>
    <w:p w14:paraId="1354F2AB" w14:textId="23A6CE35" w:rsidR="0042477B" w:rsidRDefault="0042477B" w:rsidP="00E87722">
      <w:pPr>
        <w:pStyle w:val="Prrafodelista"/>
        <w:jc w:val="both"/>
        <w:rPr>
          <w:sz w:val="28"/>
          <w:szCs w:val="28"/>
          <w:lang w:val="es-ES"/>
        </w:rPr>
      </w:pPr>
    </w:p>
    <w:p w14:paraId="51418C7D" w14:textId="5AB76AF4" w:rsidR="00504006" w:rsidRDefault="00504006" w:rsidP="00E87722">
      <w:pPr>
        <w:pStyle w:val="Prrafodelista"/>
        <w:jc w:val="both"/>
        <w:rPr>
          <w:sz w:val="28"/>
          <w:szCs w:val="28"/>
          <w:lang w:val="es-ES"/>
        </w:rPr>
      </w:pPr>
    </w:p>
    <w:p w14:paraId="498F00C9" w14:textId="19E1D8F4" w:rsidR="00504006" w:rsidRDefault="00504006" w:rsidP="00E87722">
      <w:pPr>
        <w:pStyle w:val="Prrafodelista"/>
        <w:jc w:val="both"/>
        <w:rPr>
          <w:sz w:val="28"/>
          <w:szCs w:val="28"/>
          <w:lang w:val="es-ES"/>
        </w:rPr>
      </w:pPr>
    </w:p>
    <w:p w14:paraId="2EF220D2" w14:textId="25CA7A1E" w:rsidR="00504006" w:rsidRDefault="00504006" w:rsidP="00504006">
      <w:pPr>
        <w:pStyle w:val="Prrafodelista"/>
        <w:jc w:val="center"/>
        <w:rPr>
          <w:sz w:val="28"/>
          <w:szCs w:val="28"/>
          <w:lang w:val="es-ES"/>
        </w:rPr>
      </w:pPr>
      <w:r w:rsidRPr="00504006">
        <w:rPr>
          <w:sz w:val="28"/>
          <w:szCs w:val="28"/>
          <w:lang w:val="es-ES"/>
        </w:rPr>
        <w:t>NATALIA ÁNGEL CABO</w:t>
      </w:r>
    </w:p>
    <w:p w14:paraId="63BB96A8" w14:textId="53874992" w:rsidR="00504006" w:rsidRDefault="00504006" w:rsidP="00504006">
      <w:pPr>
        <w:pStyle w:val="Prrafodelista"/>
        <w:jc w:val="center"/>
        <w:rPr>
          <w:sz w:val="28"/>
          <w:szCs w:val="28"/>
          <w:lang w:val="es-ES"/>
        </w:rPr>
      </w:pPr>
      <w:r w:rsidRPr="00504006">
        <w:rPr>
          <w:sz w:val="28"/>
          <w:szCs w:val="28"/>
          <w:lang w:val="es-ES"/>
        </w:rPr>
        <w:t>Magistrada</w:t>
      </w:r>
    </w:p>
    <w:p w14:paraId="081E42F4" w14:textId="5A581B4F" w:rsidR="00504006" w:rsidRDefault="00504006" w:rsidP="00504006">
      <w:pPr>
        <w:pStyle w:val="Prrafodelista"/>
        <w:jc w:val="center"/>
        <w:rPr>
          <w:sz w:val="28"/>
          <w:szCs w:val="28"/>
          <w:lang w:val="es-ES"/>
        </w:rPr>
      </w:pPr>
    </w:p>
    <w:p w14:paraId="011C7A86" w14:textId="3C950B78" w:rsidR="00504006" w:rsidRDefault="00504006" w:rsidP="00504006">
      <w:pPr>
        <w:pStyle w:val="Prrafodelista"/>
        <w:jc w:val="center"/>
        <w:rPr>
          <w:sz w:val="28"/>
          <w:szCs w:val="28"/>
          <w:lang w:val="es-ES"/>
        </w:rPr>
      </w:pPr>
    </w:p>
    <w:p w14:paraId="3CE5DB8D" w14:textId="5924972C" w:rsidR="00504006" w:rsidRDefault="00504006" w:rsidP="00504006">
      <w:pPr>
        <w:pStyle w:val="Prrafodelista"/>
        <w:jc w:val="center"/>
        <w:rPr>
          <w:sz w:val="28"/>
          <w:szCs w:val="28"/>
          <w:lang w:val="es-ES"/>
        </w:rPr>
      </w:pPr>
    </w:p>
    <w:p w14:paraId="41E3C70D" w14:textId="6C1B4165" w:rsidR="00504006" w:rsidRDefault="00504006" w:rsidP="00504006">
      <w:pPr>
        <w:pStyle w:val="Prrafodelista"/>
        <w:jc w:val="center"/>
        <w:rPr>
          <w:sz w:val="28"/>
          <w:szCs w:val="28"/>
          <w:lang w:val="es-ES"/>
        </w:rPr>
      </w:pPr>
      <w:r w:rsidRPr="00504006">
        <w:rPr>
          <w:sz w:val="28"/>
          <w:szCs w:val="28"/>
          <w:lang w:val="es-ES"/>
        </w:rPr>
        <w:t>DIANA FAJARDO RIVERA</w:t>
      </w:r>
    </w:p>
    <w:p w14:paraId="6CA8AF55" w14:textId="2FCB8B00" w:rsidR="00504006" w:rsidRDefault="00504006" w:rsidP="00504006">
      <w:pPr>
        <w:pStyle w:val="Prrafodelista"/>
        <w:jc w:val="center"/>
        <w:rPr>
          <w:sz w:val="28"/>
          <w:szCs w:val="28"/>
          <w:lang w:val="es-ES"/>
        </w:rPr>
      </w:pPr>
      <w:r w:rsidRPr="00504006">
        <w:rPr>
          <w:sz w:val="28"/>
          <w:szCs w:val="28"/>
          <w:lang w:val="es-ES"/>
        </w:rPr>
        <w:t>Magistrada</w:t>
      </w:r>
    </w:p>
    <w:p w14:paraId="2EA0394C" w14:textId="74EDE4B6" w:rsidR="00504006" w:rsidRDefault="00504006" w:rsidP="00504006">
      <w:pPr>
        <w:pStyle w:val="Prrafodelista"/>
        <w:jc w:val="center"/>
        <w:rPr>
          <w:sz w:val="28"/>
          <w:szCs w:val="28"/>
          <w:lang w:val="es-ES"/>
        </w:rPr>
      </w:pPr>
      <w:r w:rsidRPr="00504006">
        <w:rPr>
          <w:sz w:val="28"/>
          <w:szCs w:val="28"/>
          <w:lang w:val="es-ES"/>
        </w:rPr>
        <w:t>Ausente con excusa</w:t>
      </w:r>
    </w:p>
    <w:p w14:paraId="656C0A6F" w14:textId="0283CE43" w:rsidR="00504006" w:rsidRDefault="00504006" w:rsidP="00504006">
      <w:pPr>
        <w:pStyle w:val="Prrafodelista"/>
        <w:jc w:val="center"/>
        <w:rPr>
          <w:sz w:val="28"/>
          <w:szCs w:val="28"/>
          <w:lang w:val="es-ES"/>
        </w:rPr>
      </w:pPr>
    </w:p>
    <w:p w14:paraId="158C7F5D" w14:textId="49FECDE8" w:rsidR="00504006" w:rsidRDefault="00504006" w:rsidP="00504006">
      <w:pPr>
        <w:pStyle w:val="Prrafodelista"/>
        <w:jc w:val="center"/>
        <w:rPr>
          <w:sz w:val="28"/>
          <w:szCs w:val="28"/>
          <w:lang w:val="es-ES"/>
        </w:rPr>
      </w:pPr>
    </w:p>
    <w:p w14:paraId="4F2E13D3" w14:textId="35BB57A0" w:rsidR="00504006" w:rsidRDefault="00504006" w:rsidP="00504006">
      <w:pPr>
        <w:pStyle w:val="Prrafodelista"/>
        <w:jc w:val="center"/>
        <w:rPr>
          <w:sz w:val="28"/>
          <w:szCs w:val="28"/>
          <w:lang w:val="es-ES"/>
        </w:rPr>
      </w:pPr>
    </w:p>
    <w:p w14:paraId="3204F04F" w14:textId="07FDA3C6" w:rsidR="00504006" w:rsidRDefault="00504006" w:rsidP="00504006">
      <w:pPr>
        <w:pStyle w:val="Prrafodelista"/>
        <w:jc w:val="center"/>
        <w:rPr>
          <w:sz w:val="28"/>
          <w:szCs w:val="28"/>
          <w:lang w:val="es-ES"/>
        </w:rPr>
      </w:pPr>
      <w:r w:rsidRPr="00504006">
        <w:rPr>
          <w:sz w:val="28"/>
          <w:szCs w:val="28"/>
          <w:lang w:val="es-ES"/>
        </w:rPr>
        <w:t>JUAN CARLOS CORTÉS GONZÁLEZ</w:t>
      </w:r>
    </w:p>
    <w:p w14:paraId="2880A0D2" w14:textId="31A8EB55" w:rsidR="00504006" w:rsidRDefault="00504006" w:rsidP="00504006">
      <w:pPr>
        <w:pStyle w:val="Prrafodelista"/>
        <w:jc w:val="center"/>
        <w:rPr>
          <w:sz w:val="28"/>
          <w:szCs w:val="28"/>
          <w:lang w:val="es-ES"/>
        </w:rPr>
      </w:pPr>
      <w:r w:rsidRPr="00504006">
        <w:rPr>
          <w:sz w:val="28"/>
          <w:szCs w:val="28"/>
          <w:lang w:val="es-ES"/>
        </w:rPr>
        <w:t>Magistrado</w:t>
      </w:r>
    </w:p>
    <w:p w14:paraId="3858F7D1" w14:textId="72E28DDE" w:rsidR="00504006" w:rsidRDefault="00504006" w:rsidP="00504006">
      <w:pPr>
        <w:pStyle w:val="Prrafodelista"/>
        <w:jc w:val="center"/>
        <w:rPr>
          <w:sz w:val="28"/>
          <w:szCs w:val="28"/>
          <w:lang w:val="es-ES"/>
        </w:rPr>
      </w:pPr>
    </w:p>
    <w:p w14:paraId="7869803F" w14:textId="0269E1CF" w:rsidR="00504006" w:rsidRDefault="00504006" w:rsidP="00504006">
      <w:pPr>
        <w:pStyle w:val="Prrafodelista"/>
        <w:jc w:val="center"/>
        <w:rPr>
          <w:sz w:val="28"/>
          <w:szCs w:val="28"/>
          <w:lang w:val="es-ES"/>
        </w:rPr>
      </w:pPr>
    </w:p>
    <w:p w14:paraId="33086B7C" w14:textId="6510511C" w:rsidR="00504006" w:rsidRDefault="00504006" w:rsidP="00504006">
      <w:pPr>
        <w:pStyle w:val="Prrafodelista"/>
        <w:jc w:val="center"/>
        <w:rPr>
          <w:sz w:val="28"/>
          <w:szCs w:val="28"/>
          <w:lang w:val="es-ES"/>
        </w:rPr>
      </w:pPr>
    </w:p>
    <w:p w14:paraId="3D11E748" w14:textId="2EB38E30" w:rsidR="00504006" w:rsidRDefault="00504006" w:rsidP="00504006">
      <w:pPr>
        <w:pStyle w:val="Prrafodelista"/>
        <w:jc w:val="center"/>
        <w:rPr>
          <w:sz w:val="28"/>
          <w:szCs w:val="28"/>
          <w:lang w:val="es-ES"/>
        </w:rPr>
      </w:pPr>
      <w:r w:rsidRPr="00504006">
        <w:rPr>
          <w:sz w:val="28"/>
          <w:szCs w:val="28"/>
          <w:lang w:val="es-ES"/>
        </w:rPr>
        <w:t>ANDREA LILIANA ROMERO LOPEZ</w:t>
      </w:r>
    </w:p>
    <w:p w14:paraId="39629524" w14:textId="23C09656" w:rsidR="00504006" w:rsidRDefault="00504006" w:rsidP="00504006">
      <w:pPr>
        <w:pStyle w:val="Prrafodelista"/>
        <w:jc w:val="center"/>
        <w:rPr>
          <w:sz w:val="28"/>
          <w:szCs w:val="28"/>
          <w:lang w:val="es-ES"/>
        </w:rPr>
      </w:pPr>
      <w:r w:rsidRPr="00504006">
        <w:rPr>
          <w:sz w:val="28"/>
          <w:szCs w:val="28"/>
          <w:lang w:val="es-ES"/>
        </w:rPr>
        <w:t>Secretaria General</w:t>
      </w:r>
    </w:p>
    <w:p w14:paraId="2E541924" w14:textId="6B5540E2" w:rsidR="00504006" w:rsidRDefault="00504006" w:rsidP="00504006">
      <w:pPr>
        <w:pStyle w:val="Prrafodelista"/>
        <w:jc w:val="center"/>
        <w:rPr>
          <w:sz w:val="28"/>
          <w:szCs w:val="28"/>
          <w:lang w:val="es-ES"/>
        </w:rPr>
      </w:pPr>
    </w:p>
    <w:p w14:paraId="40A710E4" w14:textId="7D0BAED3" w:rsidR="00504006" w:rsidRDefault="00504006" w:rsidP="00504006">
      <w:pPr>
        <w:pStyle w:val="Prrafodelista"/>
        <w:jc w:val="center"/>
        <w:rPr>
          <w:sz w:val="28"/>
          <w:szCs w:val="28"/>
          <w:lang w:val="es-ES"/>
        </w:rPr>
      </w:pPr>
    </w:p>
    <w:p w14:paraId="443ED754" w14:textId="39D78E81" w:rsidR="00504006" w:rsidRDefault="00504006" w:rsidP="00504006">
      <w:pPr>
        <w:pStyle w:val="Prrafodelista"/>
        <w:jc w:val="center"/>
        <w:rPr>
          <w:sz w:val="28"/>
          <w:szCs w:val="28"/>
          <w:lang w:val="es-ES"/>
        </w:rPr>
      </w:pPr>
    </w:p>
    <w:p w14:paraId="1D82AE4D" w14:textId="396585BB" w:rsidR="00504006" w:rsidRDefault="00504006" w:rsidP="00504006">
      <w:pPr>
        <w:pStyle w:val="Prrafodelista"/>
        <w:jc w:val="center"/>
        <w:rPr>
          <w:sz w:val="28"/>
          <w:szCs w:val="28"/>
          <w:lang w:val="es-ES"/>
        </w:rPr>
      </w:pPr>
    </w:p>
    <w:p w14:paraId="0160E3B1" w14:textId="49A2067D" w:rsidR="00504006" w:rsidRDefault="00504006" w:rsidP="00504006">
      <w:pPr>
        <w:pStyle w:val="Prrafodelista"/>
        <w:jc w:val="center"/>
        <w:rPr>
          <w:sz w:val="28"/>
          <w:szCs w:val="28"/>
          <w:lang w:val="es-ES"/>
        </w:rPr>
      </w:pPr>
    </w:p>
    <w:p w14:paraId="67DFC652" w14:textId="77777777" w:rsidR="00504006" w:rsidRPr="00504006" w:rsidRDefault="00504006" w:rsidP="00504006">
      <w:pPr>
        <w:pStyle w:val="Prrafodelista"/>
        <w:jc w:val="center"/>
        <w:rPr>
          <w:sz w:val="28"/>
          <w:szCs w:val="28"/>
          <w:lang w:val="es-ES"/>
        </w:rPr>
      </w:pPr>
    </w:p>
    <w:sectPr w:rsidR="00504006" w:rsidRPr="00504006" w:rsidSect="00087AA9">
      <w:headerReference w:type="even" r:id="rId9"/>
      <w:headerReference w:type="default" r:id="rId10"/>
      <w:footerReference w:type="even" r:id="rId11"/>
      <w:footerReference w:type="default" r:id="rId12"/>
      <w:headerReference w:type="first" r:id="rId13"/>
      <w:footerReference w:type="first" r:id="rId14"/>
      <w:pgSz w:w="12240" w:h="20160"/>
      <w:pgMar w:top="85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3EE0" w14:textId="77777777" w:rsidR="00614414" w:rsidRDefault="00614414" w:rsidP="000F0FA0">
      <w:r>
        <w:separator/>
      </w:r>
    </w:p>
  </w:endnote>
  <w:endnote w:type="continuationSeparator" w:id="0">
    <w:p w14:paraId="3D995C65" w14:textId="77777777" w:rsidR="00614414" w:rsidRDefault="00614414" w:rsidP="000F0FA0">
      <w:r>
        <w:continuationSeparator/>
      </w:r>
    </w:p>
  </w:endnote>
  <w:endnote w:type="continuationNotice" w:id="1">
    <w:p w14:paraId="54BB8A14" w14:textId="77777777" w:rsidR="00614414" w:rsidRDefault="00614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89629924"/>
      <w:docPartObj>
        <w:docPartGallery w:val="Page Numbers (Bottom of Page)"/>
        <w:docPartUnique/>
      </w:docPartObj>
    </w:sdtPr>
    <w:sdtContent>
      <w:p w14:paraId="35FFF704" w14:textId="15F94994" w:rsidR="00087AA9" w:rsidRDefault="00087AA9" w:rsidP="00B067E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595560130"/>
      <w:docPartObj>
        <w:docPartGallery w:val="Page Numbers (Bottom of Page)"/>
        <w:docPartUnique/>
      </w:docPartObj>
    </w:sdtPr>
    <w:sdtContent>
      <w:p w14:paraId="7FA035A9" w14:textId="2EEDA786" w:rsidR="00087AA9" w:rsidRDefault="00087AA9" w:rsidP="00087AA9">
        <w:pPr>
          <w:pStyle w:val="Piedepgina"/>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EEE3387" w14:textId="48B25D9A" w:rsidR="001E5715" w:rsidRDefault="001E5715" w:rsidP="00087AA9">
    <w:pPr>
      <w:pStyle w:val="Piedepgina"/>
      <w:ind w:right="360"/>
      <w:jc w:val="right"/>
    </w:pPr>
  </w:p>
  <w:p w14:paraId="2DFEC1B0" w14:textId="77777777" w:rsidR="00602225" w:rsidRDefault="006022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82178608"/>
      <w:docPartObj>
        <w:docPartGallery w:val="Page Numbers (Bottom of Page)"/>
        <w:docPartUnique/>
      </w:docPartObj>
    </w:sdtPr>
    <w:sdtContent>
      <w:p w14:paraId="18E0A29A" w14:textId="077BC662" w:rsidR="00087AA9" w:rsidRDefault="00087AA9" w:rsidP="00087AA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059E9763" w14:textId="77777777" w:rsidR="00087AA9" w:rsidRDefault="00087AA9" w:rsidP="00087AA9">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F051" w14:textId="77777777" w:rsidR="004D5247" w:rsidRDefault="004D52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2F2C" w14:textId="77777777" w:rsidR="00614414" w:rsidRDefault="00614414" w:rsidP="000F0FA0">
      <w:r>
        <w:separator/>
      </w:r>
    </w:p>
  </w:footnote>
  <w:footnote w:type="continuationSeparator" w:id="0">
    <w:p w14:paraId="081A5E4F" w14:textId="77777777" w:rsidR="00614414" w:rsidRDefault="00614414" w:rsidP="000F0FA0">
      <w:r>
        <w:continuationSeparator/>
      </w:r>
    </w:p>
  </w:footnote>
  <w:footnote w:type="continuationNotice" w:id="1">
    <w:p w14:paraId="0D45E384" w14:textId="77777777" w:rsidR="00614414" w:rsidRDefault="00614414"/>
  </w:footnote>
  <w:footnote w:id="2">
    <w:p w14:paraId="18409D05" w14:textId="77777777" w:rsidR="00286BA4" w:rsidRPr="00E320CE" w:rsidRDefault="00286BA4" w:rsidP="00286BA4">
      <w:pPr>
        <w:pStyle w:val="Textonotapie"/>
        <w:jc w:val="both"/>
      </w:pPr>
      <w:r w:rsidRPr="00E320CE">
        <w:rPr>
          <w:rStyle w:val="Refdenotaalpie"/>
        </w:rPr>
        <w:footnoteRef/>
      </w:r>
      <w:r w:rsidRPr="00E320CE">
        <w:t xml:space="preserve"> El expediente de la referencia fue escogido para su revisión en virtud del criterio objetivo de posible vulneración o desconocimiento de un precedente constitucional y del criterio subjetivo de urgencia de proteger un derecho fundamental, mediante Auto del 29 de noviembre de 2024 de la Sala de Selección Número Once, conformada por los magistrados Diana Fajardo Rivera y Antonio José Lizarazo Ocampo, y asignados por reparto a la suscrita magistrada como sustanciadora de su trámite y decisión.   </w:t>
      </w:r>
    </w:p>
  </w:footnote>
  <w:footnote w:id="3">
    <w:p w14:paraId="4D970F84" w14:textId="143F4BA7" w:rsidR="00AD7EE0" w:rsidRPr="00E320CE" w:rsidRDefault="00AD7EE0" w:rsidP="00480DDE">
      <w:pPr>
        <w:pStyle w:val="Textonotapie"/>
        <w:jc w:val="both"/>
        <w:rPr>
          <w:lang w:val="es-CO"/>
        </w:rPr>
      </w:pPr>
      <w:r w:rsidRPr="00E320CE">
        <w:rPr>
          <w:rStyle w:val="Refdenotaalpie"/>
        </w:rPr>
        <w:footnoteRef/>
      </w:r>
      <w:r w:rsidRPr="00E320CE">
        <w:t xml:space="preserve"> Estos hechos se describen de acuerdo con lo señalado en el escrito de tutela y las pruebas obrantes en el expediente.</w:t>
      </w:r>
    </w:p>
  </w:footnote>
  <w:footnote w:id="4">
    <w:p w14:paraId="47789501"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Expediente digital T-10.635.581. Documento “Procesos_1_01DEMANDA.pdf”, p. 2 y 69.</w:t>
      </w:r>
    </w:p>
  </w:footnote>
  <w:footnote w:id="5">
    <w:p w14:paraId="77F916C9" w14:textId="77777777" w:rsidR="00022A41" w:rsidRPr="00E320CE" w:rsidRDefault="00022A41" w:rsidP="00022A4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2 y 76.</w:t>
      </w:r>
    </w:p>
  </w:footnote>
  <w:footnote w:id="6">
    <w:p w14:paraId="29EC228B" w14:textId="77777777" w:rsidR="00022A41" w:rsidRPr="00E320CE" w:rsidRDefault="00022A41" w:rsidP="00022A41">
      <w:pPr>
        <w:pStyle w:val="Textonotapie"/>
        <w:rPr>
          <w:lang w:val="es-ES"/>
        </w:rPr>
      </w:pPr>
      <w:r w:rsidRPr="00E320CE">
        <w:rPr>
          <w:rStyle w:val="Refdenotaalpie"/>
        </w:rPr>
        <w:footnoteRef/>
      </w:r>
      <w:r w:rsidRPr="00E320CE">
        <w:t xml:space="preserve"> </w:t>
      </w:r>
      <w:proofErr w:type="spellStart"/>
      <w:r w:rsidRPr="00E320CE">
        <w:t>Ibid</w:t>
      </w:r>
      <w:proofErr w:type="spellEnd"/>
      <w:r w:rsidRPr="00E320CE">
        <w:t>, p. 2.</w:t>
      </w:r>
    </w:p>
  </w:footnote>
  <w:footnote w:id="7">
    <w:p w14:paraId="62F5FC32" w14:textId="77777777" w:rsidR="00022A41" w:rsidRPr="00E320CE" w:rsidRDefault="00022A41" w:rsidP="00022A41">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xml:space="preserve">, p. 76. </w:t>
      </w:r>
    </w:p>
  </w:footnote>
  <w:footnote w:id="8">
    <w:p w14:paraId="11D8F1DE" w14:textId="77777777" w:rsidR="00022A41" w:rsidRPr="00E320CE" w:rsidRDefault="00022A41" w:rsidP="00022A41">
      <w:pPr>
        <w:pStyle w:val="Textonotapie"/>
      </w:pPr>
      <w:r w:rsidRPr="00E320CE">
        <w:rPr>
          <w:rStyle w:val="Refdenotaalpie"/>
        </w:rPr>
        <w:footnoteRef/>
      </w:r>
      <w:r w:rsidRPr="00E320CE">
        <w:t xml:space="preserve"> </w:t>
      </w:r>
      <w:proofErr w:type="spellStart"/>
      <w:r w:rsidRPr="00E320CE">
        <w:t>Ibid</w:t>
      </w:r>
      <w:proofErr w:type="spellEnd"/>
      <w:r w:rsidRPr="00E320CE">
        <w:t>, p. 265 y 358.</w:t>
      </w:r>
    </w:p>
  </w:footnote>
  <w:footnote w:id="9">
    <w:p w14:paraId="4AC3941C" w14:textId="77777777" w:rsidR="00022A41" w:rsidRPr="00E320CE" w:rsidRDefault="00022A41" w:rsidP="00022A4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xml:space="preserve">, p. 2. </w:t>
      </w:r>
    </w:p>
  </w:footnote>
  <w:footnote w:id="10">
    <w:p w14:paraId="4C15D46E" w14:textId="77777777" w:rsidR="00022A41" w:rsidRPr="00E320CE" w:rsidRDefault="00022A41" w:rsidP="00022A4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38 y 169.</w:t>
      </w:r>
    </w:p>
  </w:footnote>
  <w:footnote w:id="11">
    <w:p w14:paraId="7C836D21" w14:textId="0335478E" w:rsidR="00022A41" w:rsidRPr="00E320CE" w:rsidRDefault="00022A41" w:rsidP="001E6B7E">
      <w:pPr>
        <w:pStyle w:val="Textonotapie"/>
        <w:jc w:val="both"/>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44 y 54.</w:t>
      </w:r>
      <w:r w:rsidR="00F5257C" w:rsidRPr="00E320CE">
        <w:rPr>
          <w:lang w:val="es-CO"/>
        </w:rPr>
        <w:t xml:space="preserve"> En la acción de tutela, la demandante  anex</w:t>
      </w:r>
      <w:r w:rsidR="00702B14" w:rsidRPr="00E320CE">
        <w:rPr>
          <w:lang w:val="es-CO"/>
        </w:rPr>
        <w:t>ó</w:t>
      </w:r>
      <w:r w:rsidR="00F5257C" w:rsidRPr="00E320CE">
        <w:rPr>
          <w:lang w:val="es-CO"/>
        </w:rPr>
        <w:t xml:space="preserve"> los contratos de prestación de servicios</w:t>
      </w:r>
      <w:r w:rsidR="00702B14" w:rsidRPr="00E320CE">
        <w:rPr>
          <w:lang w:val="es-CO"/>
        </w:rPr>
        <w:t xml:space="preserve"> celebrados</w:t>
      </w:r>
      <w:r w:rsidR="00F5257C" w:rsidRPr="00E320CE">
        <w:rPr>
          <w:lang w:val="es-CO"/>
        </w:rPr>
        <w:t xml:space="preserve"> el 4 de enero de 2022 (</w:t>
      </w:r>
      <w:r w:rsidR="00C11EAC" w:rsidRPr="00E320CE">
        <w:rPr>
          <w:lang w:val="es-CO"/>
        </w:rPr>
        <w:t xml:space="preserve">p. 44 a 53), </w:t>
      </w:r>
      <w:r w:rsidR="001E6B7E" w:rsidRPr="00E320CE">
        <w:rPr>
          <w:lang w:val="es-CO"/>
        </w:rPr>
        <w:t xml:space="preserve">el 4 de abril de 2022 </w:t>
      </w:r>
      <w:proofErr w:type="gramStart"/>
      <w:r w:rsidR="001E6B7E" w:rsidRPr="00E320CE">
        <w:rPr>
          <w:lang w:val="es-CO"/>
        </w:rPr>
        <w:t>( p.</w:t>
      </w:r>
      <w:proofErr w:type="gramEnd"/>
      <w:r w:rsidR="001E6B7E" w:rsidRPr="00E320CE">
        <w:rPr>
          <w:lang w:val="es-CO"/>
        </w:rPr>
        <w:t xml:space="preserve"> 54 a 62) y el 1 de octubre de 2022 </w:t>
      </w:r>
      <w:proofErr w:type="gramStart"/>
      <w:r w:rsidR="001E6B7E" w:rsidRPr="00E320CE">
        <w:rPr>
          <w:lang w:val="es-CO"/>
        </w:rPr>
        <w:t>( p.</w:t>
      </w:r>
      <w:proofErr w:type="gramEnd"/>
      <w:r w:rsidR="001E6B7E" w:rsidRPr="00E320CE">
        <w:rPr>
          <w:lang w:val="es-CO"/>
        </w:rPr>
        <w:t xml:space="preserve"> 381).</w:t>
      </w:r>
    </w:p>
  </w:footnote>
  <w:footnote w:id="12">
    <w:p w14:paraId="362C1F9F" w14:textId="62730229" w:rsidR="00022A41" w:rsidRPr="00E320CE" w:rsidRDefault="00022A41" w:rsidP="00D0234F">
      <w:pPr>
        <w:pStyle w:val="Textonotapie"/>
        <w:jc w:val="both"/>
        <w:rPr>
          <w:lang w:val="es-ES"/>
        </w:rPr>
      </w:pPr>
      <w:r w:rsidRPr="00E320CE">
        <w:rPr>
          <w:rStyle w:val="Refdenotaalpie"/>
        </w:rPr>
        <w:footnoteRef/>
      </w:r>
      <w:r w:rsidRPr="00E320CE">
        <w:t xml:space="preserve"> </w:t>
      </w:r>
      <w:proofErr w:type="spellStart"/>
      <w:r w:rsidRPr="00E320CE">
        <w:t>Ibid</w:t>
      </w:r>
      <w:proofErr w:type="spellEnd"/>
      <w:r w:rsidRPr="00E320CE">
        <w:t>, p. 2, 84, 86</w:t>
      </w:r>
      <w:r w:rsidR="00A82342" w:rsidRPr="00E320CE">
        <w:t>, 87</w:t>
      </w:r>
      <w:r w:rsidRPr="00E320CE">
        <w:t xml:space="preserve"> y 91.</w:t>
      </w:r>
      <w:r w:rsidR="00AD7995" w:rsidRPr="00E320CE">
        <w:t xml:space="preserve"> </w:t>
      </w:r>
      <w:r w:rsidR="0068061C" w:rsidRPr="00E320CE">
        <w:t>Según lo afirmó</w:t>
      </w:r>
      <w:r w:rsidR="004C0DDF" w:rsidRPr="00E320CE">
        <w:t xml:space="preserve"> la demandante</w:t>
      </w:r>
      <w:r w:rsidR="0068061C" w:rsidRPr="00E320CE">
        <w:t xml:space="preserve"> en su escrito de tutela</w:t>
      </w:r>
      <w:r w:rsidR="004C0DDF" w:rsidRPr="00E320CE">
        <w:t>, “</w:t>
      </w:r>
      <w:r w:rsidR="00D0234F" w:rsidRPr="00E320CE">
        <w:t>producto del estrés laboral hubo un intento suicidio por sobredosis de medicamentos tranquilizantes” (p. 2).</w:t>
      </w:r>
    </w:p>
  </w:footnote>
  <w:footnote w:id="13">
    <w:p w14:paraId="55C5F8EB" w14:textId="77777777" w:rsidR="00022A41" w:rsidRPr="00E320CE" w:rsidRDefault="00022A41" w:rsidP="00022A41">
      <w:pPr>
        <w:pStyle w:val="Textonotapie"/>
        <w:rPr>
          <w:lang w:val="en-US"/>
        </w:rPr>
      </w:pPr>
      <w:r w:rsidRPr="00E320CE">
        <w:rPr>
          <w:rStyle w:val="Refdenotaalpie"/>
        </w:rPr>
        <w:footnoteRef/>
      </w:r>
      <w:r w:rsidRPr="00E320CE">
        <w:rPr>
          <w:lang w:val="en-US"/>
        </w:rPr>
        <w:t xml:space="preserve"> Ibid, p. 84.</w:t>
      </w:r>
    </w:p>
  </w:footnote>
  <w:footnote w:id="14">
    <w:p w14:paraId="26EB2744" w14:textId="77777777" w:rsidR="00022A41" w:rsidRPr="00E320CE" w:rsidRDefault="00022A41" w:rsidP="00022A41">
      <w:pPr>
        <w:pStyle w:val="Textonotapie"/>
        <w:rPr>
          <w:lang w:val="en-US"/>
        </w:rPr>
      </w:pPr>
      <w:r w:rsidRPr="00E320CE">
        <w:rPr>
          <w:rStyle w:val="Refdenotaalpie"/>
        </w:rPr>
        <w:footnoteRef/>
      </w:r>
      <w:r w:rsidRPr="00E320CE">
        <w:rPr>
          <w:lang w:val="en-US"/>
        </w:rPr>
        <w:t xml:space="preserve"> Ibid, p. 110.</w:t>
      </w:r>
    </w:p>
  </w:footnote>
  <w:footnote w:id="15">
    <w:p w14:paraId="264E11A7" w14:textId="77777777" w:rsidR="00022A41" w:rsidRPr="00E320CE" w:rsidRDefault="00022A41" w:rsidP="00022A41">
      <w:pPr>
        <w:pStyle w:val="Textonotapie"/>
        <w:rPr>
          <w:lang w:val="en-US"/>
        </w:rPr>
      </w:pPr>
      <w:r w:rsidRPr="00E320CE">
        <w:rPr>
          <w:rStyle w:val="Refdenotaalpie"/>
        </w:rPr>
        <w:footnoteRef/>
      </w:r>
      <w:r w:rsidRPr="00E320CE">
        <w:rPr>
          <w:lang w:val="en-US"/>
        </w:rPr>
        <w:t xml:space="preserve"> Ibid, p. 70.</w:t>
      </w:r>
    </w:p>
  </w:footnote>
  <w:footnote w:id="16">
    <w:p w14:paraId="1C08051E" w14:textId="77777777" w:rsidR="00022A41" w:rsidRPr="00E320CE" w:rsidRDefault="00022A41" w:rsidP="00022A4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72.</w:t>
      </w:r>
    </w:p>
  </w:footnote>
  <w:footnote w:id="17">
    <w:p w14:paraId="7AB91461" w14:textId="77777777" w:rsidR="00022A41" w:rsidRPr="00E320CE" w:rsidRDefault="00022A41" w:rsidP="00022A41">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p. 2 y 63.</w:t>
      </w:r>
    </w:p>
  </w:footnote>
  <w:footnote w:id="18">
    <w:p w14:paraId="294FCE31" w14:textId="77777777" w:rsidR="00022A41" w:rsidRPr="00E320CE" w:rsidRDefault="00022A41" w:rsidP="00022A4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22.</w:t>
      </w:r>
    </w:p>
  </w:footnote>
  <w:footnote w:id="19">
    <w:p w14:paraId="7B3B4A5F" w14:textId="77777777" w:rsidR="00022A41" w:rsidRPr="00E320CE" w:rsidRDefault="00022A41" w:rsidP="00022A4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381</w:t>
      </w:r>
    </w:p>
  </w:footnote>
  <w:footnote w:id="20">
    <w:p w14:paraId="2CA112BA" w14:textId="77777777" w:rsidR="00022A41" w:rsidRPr="00E320CE" w:rsidRDefault="00022A41" w:rsidP="00022A4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121 a 132.</w:t>
      </w:r>
    </w:p>
  </w:footnote>
  <w:footnote w:id="21">
    <w:p w14:paraId="3A5838EC" w14:textId="77777777" w:rsidR="00022A41" w:rsidRPr="00E320CE" w:rsidRDefault="00022A41" w:rsidP="00022A41">
      <w:pPr>
        <w:pStyle w:val="Textonotapie"/>
        <w:jc w:val="both"/>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xml:space="preserve">, p. 2. </w:t>
      </w:r>
    </w:p>
  </w:footnote>
  <w:footnote w:id="22">
    <w:p w14:paraId="658C76EC"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Ibidem.</w:t>
      </w:r>
    </w:p>
  </w:footnote>
  <w:footnote w:id="23">
    <w:p w14:paraId="58BB169F"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 xml:space="preserve">Ibidem. </w:t>
      </w:r>
    </w:p>
  </w:footnote>
  <w:footnote w:id="24">
    <w:p w14:paraId="1C5FB844" w14:textId="77777777" w:rsidR="00022A41" w:rsidRPr="00E320CE" w:rsidRDefault="00022A41" w:rsidP="00022A4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3 y 515.</w:t>
      </w:r>
    </w:p>
  </w:footnote>
  <w:footnote w:id="25">
    <w:p w14:paraId="1F2CCEC3" w14:textId="77777777" w:rsidR="00022A41" w:rsidRPr="00E320CE" w:rsidRDefault="00022A41" w:rsidP="00022A4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2.</w:t>
      </w:r>
    </w:p>
  </w:footnote>
  <w:footnote w:id="26">
    <w:p w14:paraId="1504E250" w14:textId="77777777" w:rsidR="00022A41" w:rsidRPr="00E320CE" w:rsidRDefault="00022A41" w:rsidP="00022A41">
      <w:pPr>
        <w:pStyle w:val="Textonotapie"/>
        <w:rPr>
          <w:lang w:val="es-CO"/>
        </w:rPr>
      </w:pPr>
      <w:r w:rsidRPr="00E320CE">
        <w:rPr>
          <w:rStyle w:val="Refdenotaalpie"/>
        </w:rPr>
        <w:footnoteRef/>
      </w:r>
      <w:r w:rsidRPr="00E320CE">
        <w:rPr>
          <w:lang w:val="es-CO"/>
        </w:rPr>
        <w:t xml:space="preserve"> Ibidem.</w:t>
      </w:r>
    </w:p>
  </w:footnote>
  <w:footnote w:id="27">
    <w:p w14:paraId="776AD7DF" w14:textId="77777777" w:rsidR="00022A41" w:rsidRPr="00E320CE" w:rsidRDefault="00022A41" w:rsidP="00022A4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3.</w:t>
      </w:r>
    </w:p>
  </w:footnote>
  <w:footnote w:id="28">
    <w:p w14:paraId="42847582" w14:textId="77777777" w:rsidR="00940CAA" w:rsidRPr="00E320CE" w:rsidRDefault="00940CAA" w:rsidP="00940CAA">
      <w:pPr>
        <w:pStyle w:val="Textonotapie"/>
        <w:rPr>
          <w:lang w:val="es-ES"/>
        </w:rPr>
      </w:pPr>
      <w:r w:rsidRPr="00E320CE">
        <w:rPr>
          <w:rStyle w:val="Refdenotaalpie"/>
        </w:rPr>
        <w:footnoteRef/>
      </w:r>
      <w:r w:rsidRPr="00E320CE">
        <w:t xml:space="preserve"> </w:t>
      </w:r>
      <w:r w:rsidRPr="00E320CE">
        <w:rPr>
          <w:lang w:val="es-ES"/>
        </w:rPr>
        <w:t>Ibidem.</w:t>
      </w:r>
    </w:p>
  </w:footnote>
  <w:footnote w:id="29">
    <w:p w14:paraId="58E88AC9"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 xml:space="preserve">Ibidem. </w:t>
      </w:r>
    </w:p>
  </w:footnote>
  <w:footnote w:id="30">
    <w:p w14:paraId="4C4CC463"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Ibidem.</w:t>
      </w:r>
    </w:p>
  </w:footnote>
  <w:footnote w:id="31">
    <w:p w14:paraId="3816EF0B" w14:textId="77777777" w:rsidR="00022A41" w:rsidRPr="00E320CE" w:rsidRDefault="00022A41" w:rsidP="00022A4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2 y 3.</w:t>
      </w:r>
    </w:p>
  </w:footnote>
  <w:footnote w:id="32">
    <w:p w14:paraId="62DD541B" w14:textId="77777777" w:rsidR="00022A41" w:rsidRPr="00E320CE" w:rsidRDefault="00022A41" w:rsidP="00022A4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3.</w:t>
      </w:r>
    </w:p>
  </w:footnote>
  <w:footnote w:id="33">
    <w:p w14:paraId="5FF08B37" w14:textId="77777777" w:rsidR="00022A41" w:rsidRPr="00E320CE" w:rsidRDefault="00022A41" w:rsidP="00022A4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1.</w:t>
      </w:r>
    </w:p>
  </w:footnote>
  <w:footnote w:id="34">
    <w:p w14:paraId="2A199D0A" w14:textId="77777777" w:rsidR="00022A41" w:rsidRPr="00E320CE" w:rsidRDefault="00022A41" w:rsidP="00022A41">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xml:space="preserve">, p. 1 y 2. </w:t>
      </w:r>
    </w:p>
  </w:footnote>
  <w:footnote w:id="35">
    <w:p w14:paraId="33AA5D3A"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Expediente digital T-10.635.581. Documento “Actuaciones_3_08AUTOADMITE.pdf”.</w:t>
      </w:r>
    </w:p>
  </w:footnote>
  <w:footnote w:id="36">
    <w:p w14:paraId="5C20CC24" w14:textId="4BE9106A" w:rsidR="00C84637" w:rsidRPr="00E320CE" w:rsidRDefault="00C84637">
      <w:pPr>
        <w:pStyle w:val="Textonotapie"/>
        <w:rPr>
          <w:lang w:val="es-CO"/>
        </w:rPr>
      </w:pPr>
      <w:r w:rsidRPr="00E320CE">
        <w:rPr>
          <w:rStyle w:val="Refdenotaalpie"/>
        </w:rPr>
        <w:footnoteRef/>
      </w:r>
      <w:r w:rsidRPr="00E320CE">
        <w:t xml:space="preserve"> </w:t>
      </w:r>
      <w:r w:rsidRPr="00E320CE">
        <w:rPr>
          <w:lang w:val="es-CO"/>
        </w:rPr>
        <w:t xml:space="preserve">Al correo electrónico </w:t>
      </w:r>
      <w:hyperlink r:id="rId1" w:history="1">
        <w:r w:rsidRPr="00E320CE">
          <w:rPr>
            <w:rStyle w:val="Hipervnculo"/>
            <w:lang w:val="es-CO"/>
          </w:rPr>
          <w:t>buzonjudicial@uspec.gov.co</w:t>
        </w:r>
      </w:hyperlink>
      <w:r w:rsidRPr="00E320CE">
        <w:rPr>
          <w:lang w:val="es-CO"/>
        </w:rPr>
        <w:t>. Ver Expediente digital T-10.635.581. Documento “09NOTIFICACIÓNAUTOADMISORIO.pdf”.</w:t>
      </w:r>
    </w:p>
  </w:footnote>
  <w:footnote w:id="37">
    <w:p w14:paraId="39436A76" w14:textId="188D4595" w:rsidR="00CB33D7" w:rsidRPr="00E320CE" w:rsidRDefault="00CB33D7">
      <w:pPr>
        <w:pStyle w:val="Textonotapie"/>
      </w:pPr>
      <w:r w:rsidRPr="00E320CE">
        <w:rPr>
          <w:rStyle w:val="Refdenotaalpie"/>
        </w:rPr>
        <w:footnoteRef/>
      </w:r>
      <w:r w:rsidRPr="00E320CE">
        <w:t xml:space="preserve"> </w:t>
      </w:r>
      <w:r w:rsidR="00C84637" w:rsidRPr="00E320CE">
        <w:t xml:space="preserve">Al correo electrónico </w:t>
      </w:r>
      <w:hyperlink r:id="rId2" w:history="1">
        <w:r w:rsidR="00C84637" w:rsidRPr="00E320CE">
          <w:rPr>
            <w:rStyle w:val="Hipervnculo"/>
          </w:rPr>
          <w:t>notificaciones@inpec.gov.co</w:t>
        </w:r>
      </w:hyperlink>
      <w:r w:rsidR="00C84637" w:rsidRPr="00E320CE">
        <w:t xml:space="preserve">. </w:t>
      </w:r>
      <w:proofErr w:type="spellStart"/>
      <w:r w:rsidR="00C84637" w:rsidRPr="00E320CE">
        <w:t>Ibídem</w:t>
      </w:r>
      <w:proofErr w:type="spellEnd"/>
      <w:r w:rsidR="00C84637" w:rsidRPr="00E320CE">
        <w:t xml:space="preserve">. </w:t>
      </w:r>
    </w:p>
  </w:footnote>
  <w:footnote w:id="38">
    <w:p w14:paraId="20AC4974" w14:textId="77777777" w:rsidR="00326337" w:rsidRPr="00E320CE" w:rsidRDefault="00326337" w:rsidP="00326337">
      <w:pPr>
        <w:pStyle w:val="Textonotapie"/>
        <w:rPr>
          <w:lang w:val="es-CO"/>
        </w:rPr>
      </w:pPr>
      <w:r w:rsidRPr="00E320CE">
        <w:rPr>
          <w:rStyle w:val="Refdenotaalpie"/>
        </w:rPr>
        <w:footnoteRef/>
      </w:r>
      <w:r w:rsidRPr="00E320CE">
        <w:t xml:space="preserve"> </w:t>
      </w:r>
      <w:r w:rsidRPr="00E320CE">
        <w:rPr>
          <w:lang w:val="es-CO"/>
        </w:rPr>
        <w:t xml:space="preserve">En respuesta a la vinculación del Establecimiento Penitenciario de Mediana Seguridad y Carcelario de Cartagena. </w:t>
      </w:r>
    </w:p>
  </w:footnote>
  <w:footnote w:id="39">
    <w:p w14:paraId="29C756AF" w14:textId="77777777" w:rsidR="00022A41" w:rsidRPr="00E320CE" w:rsidRDefault="00022A41" w:rsidP="00022A41">
      <w:pPr>
        <w:pStyle w:val="Textonotapie"/>
      </w:pPr>
      <w:r w:rsidRPr="00E320CE">
        <w:rPr>
          <w:rStyle w:val="Refdenotaalpie"/>
        </w:rPr>
        <w:footnoteRef/>
      </w:r>
      <w:r w:rsidRPr="00E320CE">
        <w:t xml:space="preserve"> </w:t>
      </w:r>
      <w:r w:rsidRPr="00E320CE">
        <w:rPr>
          <w:lang w:val="es-ES"/>
        </w:rPr>
        <w:t>Expediente digital T-10.635.581. Documento “Actuaciones_9_10CONTESTACION.pdf”, p. 4.</w:t>
      </w:r>
    </w:p>
  </w:footnote>
  <w:footnote w:id="40">
    <w:p w14:paraId="5F553E88" w14:textId="77777777" w:rsidR="00022A41" w:rsidRPr="00E320CE" w:rsidRDefault="00022A41" w:rsidP="00022A41">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xml:space="preserve">, p. 6. </w:t>
      </w:r>
    </w:p>
  </w:footnote>
  <w:footnote w:id="41">
    <w:p w14:paraId="644CC1C5"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Ibidem.</w:t>
      </w:r>
    </w:p>
  </w:footnote>
  <w:footnote w:id="42">
    <w:p w14:paraId="6FB27EA7" w14:textId="77777777" w:rsidR="00022A41" w:rsidRPr="00E320CE" w:rsidRDefault="00022A41" w:rsidP="00022A41">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p. 8.</w:t>
      </w:r>
    </w:p>
  </w:footnote>
  <w:footnote w:id="43">
    <w:p w14:paraId="2DB1AF93"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Expediente digital T-10.635.581. Documento “Actuaciones_7_11CONTESTACION.pdf”, p. 16, 25 y 26.</w:t>
      </w:r>
    </w:p>
  </w:footnote>
  <w:footnote w:id="44">
    <w:p w14:paraId="14A96B41" w14:textId="77777777" w:rsidR="00022A41" w:rsidRPr="00E320CE" w:rsidRDefault="00022A41" w:rsidP="00022A41">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p. 2.</w:t>
      </w:r>
    </w:p>
  </w:footnote>
  <w:footnote w:id="45">
    <w:p w14:paraId="42844FB7"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Ibidem.</w:t>
      </w:r>
    </w:p>
  </w:footnote>
  <w:footnote w:id="46">
    <w:p w14:paraId="68F2F4AC" w14:textId="77777777" w:rsidR="00022A41" w:rsidRPr="00E320CE" w:rsidRDefault="00022A41" w:rsidP="00022A41">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p. 3.</w:t>
      </w:r>
    </w:p>
  </w:footnote>
  <w:footnote w:id="47">
    <w:p w14:paraId="4BA1587B" w14:textId="77777777" w:rsidR="00022A41" w:rsidRPr="00E320CE" w:rsidRDefault="00022A41" w:rsidP="00022A41">
      <w:pPr>
        <w:pStyle w:val="Textonotapie"/>
      </w:pPr>
      <w:r w:rsidRPr="00E320CE">
        <w:rPr>
          <w:rStyle w:val="Refdenotaalpie"/>
        </w:rPr>
        <w:footnoteRef/>
      </w:r>
      <w:r w:rsidRPr="00E320CE">
        <w:t xml:space="preserve"> Ibidem. </w:t>
      </w:r>
    </w:p>
  </w:footnote>
  <w:footnote w:id="48">
    <w:p w14:paraId="07CC330A"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Ibidem.</w:t>
      </w:r>
    </w:p>
  </w:footnote>
  <w:footnote w:id="49">
    <w:p w14:paraId="3FCEBDA1" w14:textId="77777777" w:rsidR="00022A41" w:rsidRPr="00E320CE" w:rsidRDefault="00022A41" w:rsidP="00022A41">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p. 4.</w:t>
      </w:r>
    </w:p>
  </w:footnote>
  <w:footnote w:id="50">
    <w:p w14:paraId="794DAFC3"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Ibidem.</w:t>
      </w:r>
    </w:p>
  </w:footnote>
  <w:footnote w:id="51">
    <w:p w14:paraId="345CC9B8"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Ibidem.</w:t>
      </w:r>
    </w:p>
  </w:footnote>
  <w:footnote w:id="52">
    <w:p w14:paraId="66B377AD" w14:textId="77777777" w:rsidR="00022A41" w:rsidRPr="00E320CE" w:rsidRDefault="00022A41" w:rsidP="00022A41">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p. 5.</w:t>
      </w:r>
    </w:p>
  </w:footnote>
  <w:footnote w:id="53">
    <w:p w14:paraId="0E030DE7"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Ibidem.</w:t>
      </w:r>
    </w:p>
  </w:footnote>
  <w:footnote w:id="54">
    <w:p w14:paraId="26391988" w14:textId="77777777" w:rsidR="00022A41" w:rsidRPr="00E320CE" w:rsidRDefault="00022A41" w:rsidP="00022A41">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p. 6.</w:t>
      </w:r>
    </w:p>
  </w:footnote>
  <w:footnote w:id="55">
    <w:p w14:paraId="77953C3D"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Expediente digital T-10.635.581. Documento “Actuaciones_8_12CONTESTACION.pdf”, p. 4 a 8.</w:t>
      </w:r>
    </w:p>
  </w:footnote>
  <w:footnote w:id="56">
    <w:p w14:paraId="3334D517" w14:textId="77777777" w:rsidR="00022A41" w:rsidRPr="00E320CE" w:rsidRDefault="00022A41" w:rsidP="00022A41">
      <w:pPr>
        <w:pStyle w:val="Textonotapie"/>
      </w:pPr>
      <w:r w:rsidRPr="00E320CE">
        <w:rPr>
          <w:rStyle w:val="Refdenotaalpie"/>
        </w:rPr>
        <w:footnoteRef/>
      </w:r>
      <w:r w:rsidRPr="00E320CE">
        <w:rPr>
          <w:lang w:val="es-ES"/>
        </w:rPr>
        <w:t xml:space="preserve"> </w:t>
      </w:r>
      <w:proofErr w:type="spellStart"/>
      <w:r w:rsidRPr="00E320CE">
        <w:rPr>
          <w:lang w:val="es-ES"/>
        </w:rPr>
        <w:t>Ibid</w:t>
      </w:r>
      <w:proofErr w:type="spellEnd"/>
      <w:r w:rsidRPr="00E320CE">
        <w:rPr>
          <w:lang w:val="es-ES"/>
        </w:rPr>
        <w:t>, p. 3.</w:t>
      </w:r>
    </w:p>
  </w:footnote>
  <w:footnote w:id="57">
    <w:p w14:paraId="0CDFA09C"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Ibidem.</w:t>
      </w:r>
    </w:p>
  </w:footnote>
  <w:footnote w:id="58">
    <w:p w14:paraId="7A213E8F" w14:textId="77777777" w:rsidR="00022A41" w:rsidRPr="00E320CE" w:rsidRDefault="00022A41" w:rsidP="00022A41">
      <w:pPr>
        <w:pStyle w:val="Textonotapie"/>
        <w:rPr>
          <w:lang w:val="es-ES"/>
        </w:rPr>
      </w:pPr>
      <w:r w:rsidRPr="00E320CE">
        <w:rPr>
          <w:rStyle w:val="Refdenotaalpie"/>
        </w:rPr>
        <w:footnoteRef/>
      </w:r>
      <w:r w:rsidRPr="00E320CE">
        <w:t xml:space="preserve"> </w:t>
      </w:r>
      <w:r w:rsidRPr="00E320CE">
        <w:rPr>
          <w:lang w:val="es-ES"/>
        </w:rPr>
        <w:t>Ibidem.</w:t>
      </w:r>
    </w:p>
  </w:footnote>
  <w:footnote w:id="59">
    <w:p w14:paraId="6806FD72" w14:textId="77777777" w:rsidR="00022A41" w:rsidRPr="00E320CE" w:rsidRDefault="00022A41" w:rsidP="00022A41">
      <w:pPr>
        <w:pStyle w:val="Textonotapie"/>
      </w:pPr>
      <w:r w:rsidRPr="00E320CE">
        <w:rPr>
          <w:rStyle w:val="Refdenotaalpie"/>
        </w:rPr>
        <w:footnoteRef/>
      </w:r>
      <w:r w:rsidRPr="00E320CE">
        <w:t xml:space="preserve"> </w:t>
      </w:r>
      <w:r w:rsidRPr="00E320CE">
        <w:rPr>
          <w:lang w:val="es-ES"/>
        </w:rPr>
        <w:t>Expediente digital T-10.635.581. Documento “Actuaciones_11_13SENTENCIA.pdf”, p. 14.</w:t>
      </w:r>
    </w:p>
  </w:footnote>
  <w:footnote w:id="60">
    <w:p w14:paraId="6F35E789" w14:textId="77777777" w:rsidR="00022A41" w:rsidRPr="00E320CE" w:rsidRDefault="00022A41" w:rsidP="00022A41">
      <w:pPr>
        <w:pStyle w:val="Textonotapie"/>
      </w:pPr>
      <w:r w:rsidRPr="00E320CE">
        <w:rPr>
          <w:rStyle w:val="Refdenotaalpie"/>
        </w:rPr>
        <w:footnoteRef/>
      </w:r>
      <w:r w:rsidRPr="00E320CE">
        <w:t xml:space="preserve"> </w:t>
      </w:r>
      <w:proofErr w:type="spellStart"/>
      <w:r w:rsidRPr="00E320CE">
        <w:t>Ibid</w:t>
      </w:r>
      <w:proofErr w:type="spellEnd"/>
      <w:r w:rsidRPr="00E320CE">
        <w:t>, p. 11.</w:t>
      </w:r>
    </w:p>
  </w:footnote>
  <w:footnote w:id="61">
    <w:p w14:paraId="02006CE8" w14:textId="77777777" w:rsidR="00022A41" w:rsidRPr="00E320CE" w:rsidRDefault="00022A41" w:rsidP="00022A41">
      <w:pPr>
        <w:pStyle w:val="Textonotapie"/>
      </w:pPr>
      <w:r w:rsidRPr="00E320CE">
        <w:rPr>
          <w:rStyle w:val="Refdenotaalpie"/>
        </w:rPr>
        <w:footnoteRef/>
      </w:r>
      <w:r w:rsidRPr="00E320CE">
        <w:t xml:space="preserve"> </w:t>
      </w:r>
      <w:proofErr w:type="spellStart"/>
      <w:r w:rsidRPr="00E320CE">
        <w:t>Ibid</w:t>
      </w:r>
      <w:proofErr w:type="spellEnd"/>
      <w:r w:rsidRPr="00E320CE">
        <w:t>, p. 11  13a.</w:t>
      </w:r>
    </w:p>
  </w:footnote>
  <w:footnote w:id="62">
    <w:p w14:paraId="10F92CCC" w14:textId="77777777" w:rsidR="00815480" w:rsidRPr="00E320CE" w:rsidRDefault="00815480" w:rsidP="00815480">
      <w:pPr>
        <w:pStyle w:val="Textonotapie"/>
        <w:rPr>
          <w:lang w:val="es-CO"/>
        </w:rPr>
      </w:pPr>
      <w:r w:rsidRPr="00E320CE">
        <w:rPr>
          <w:rStyle w:val="Refdenotaalpie"/>
          <w:rFonts w:eastAsiaTheme="majorEastAsia"/>
        </w:rPr>
        <w:footnoteRef/>
      </w:r>
      <w:r w:rsidRPr="00E320CE">
        <w:t xml:space="preserve"> Integrada por la magistrada Diana Fajardo Rivera y el magistrado Antonio José Lizarazo Ocampo.</w:t>
      </w:r>
    </w:p>
  </w:footnote>
  <w:footnote w:id="63">
    <w:p w14:paraId="2ABB9A02" w14:textId="656B9EF9" w:rsidR="0032020A" w:rsidRPr="00E320CE" w:rsidRDefault="0032020A">
      <w:pPr>
        <w:pStyle w:val="Textonotapie"/>
      </w:pPr>
      <w:r w:rsidRPr="00E320CE">
        <w:rPr>
          <w:rStyle w:val="Refdenotaalpie"/>
        </w:rPr>
        <w:footnoteRef/>
      </w:r>
      <w:r w:rsidRPr="00E320CE">
        <w:t xml:space="preserve"> </w:t>
      </w:r>
      <w:r w:rsidR="00575231" w:rsidRPr="00E320CE">
        <w:rPr>
          <w:lang w:val="es-ES"/>
        </w:rPr>
        <w:t xml:space="preserve">Expediente digital T-10.635.581. Documento “PROBATORIO </w:t>
      </w:r>
      <w:r w:rsidR="00E32299">
        <w:rPr>
          <w:i/>
          <w:iCs/>
          <w:lang w:val="es-ES"/>
        </w:rPr>
        <w:t xml:space="preserve">GRETA </w:t>
      </w:r>
      <w:proofErr w:type="spellStart"/>
      <w:r w:rsidR="00575231" w:rsidRPr="00E320CE">
        <w:rPr>
          <w:lang w:val="es-ES"/>
        </w:rPr>
        <w:t>compressed</w:t>
      </w:r>
      <w:proofErr w:type="spellEnd"/>
      <w:r w:rsidR="00575231" w:rsidRPr="00E320CE">
        <w:rPr>
          <w:lang w:val="es-ES"/>
        </w:rPr>
        <w:t xml:space="preserve"> (1).</w:t>
      </w:r>
      <w:proofErr w:type="spellStart"/>
      <w:r w:rsidR="00575231" w:rsidRPr="00E320CE">
        <w:rPr>
          <w:lang w:val="es-ES"/>
        </w:rPr>
        <w:t>pdf</w:t>
      </w:r>
      <w:proofErr w:type="spellEnd"/>
      <w:r w:rsidR="00575231" w:rsidRPr="00E320CE">
        <w:rPr>
          <w:lang w:val="es-ES"/>
        </w:rPr>
        <w:t>”, p. 1, 5 y 6. La accionante adjunto los recibos de gas y energía que acreditan su deuda.</w:t>
      </w:r>
    </w:p>
  </w:footnote>
  <w:footnote w:id="64">
    <w:p w14:paraId="1AF36A8D" w14:textId="4B313D0C" w:rsidR="00575231" w:rsidRPr="00E320CE" w:rsidRDefault="00575231">
      <w:pPr>
        <w:pStyle w:val="Textonotapie"/>
      </w:pPr>
      <w:r w:rsidRPr="00E320CE">
        <w:rPr>
          <w:rStyle w:val="Refdenotaalpie"/>
        </w:rPr>
        <w:footnoteRef/>
      </w:r>
      <w:r w:rsidRPr="00E320CE">
        <w:t xml:space="preserve"> </w:t>
      </w:r>
      <w:proofErr w:type="spellStart"/>
      <w:r w:rsidRPr="00E320CE">
        <w:t>Ibid</w:t>
      </w:r>
      <w:proofErr w:type="spellEnd"/>
      <w:r w:rsidRPr="00E320CE">
        <w:t>, p. 1 y 4.</w:t>
      </w:r>
    </w:p>
  </w:footnote>
  <w:footnote w:id="65">
    <w:p w14:paraId="07D6EB03" w14:textId="4E2FD800" w:rsidR="007B0D34" w:rsidRPr="00E320CE" w:rsidRDefault="007B0D34">
      <w:pPr>
        <w:pStyle w:val="Textonotapie"/>
      </w:pPr>
      <w:r w:rsidRPr="00E320CE">
        <w:rPr>
          <w:rStyle w:val="Refdenotaalpie"/>
        </w:rPr>
        <w:footnoteRef/>
      </w:r>
      <w:r w:rsidRPr="00E320CE">
        <w:t xml:space="preserve"> </w:t>
      </w:r>
      <w:proofErr w:type="spellStart"/>
      <w:r w:rsidRPr="00E320CE">
        <w:t>Ibid</w:t>
      </w:r>
      <w:proofErr w:type="spellEnd"/>
      <w:r w:rsidRPr="00E320CE">
        <w:t>, p. 1.</w:t>
      </w:r>
    </w:p>
  </w:footnote>
  <w:footnote w:id="66">
    <w:p w14:paraId="74BC31EB" w14:textId="5FFACA02" w:rsidR="007B0D34" w:rsidRPr="00E320CE" w:rsidRDefault="007B0D34">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556.</w:t>
      </w:r>
    </w:p>
  </w:footnote>
  <w:footnote w:id="67">
    <w:p w14:paraId="0FC94A53" w14:textId="5AB8AF19" w:rsidR="000E209C" w:rsidRPr="00E320CE" w:rsidRDefault="000E209C">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1</w:t>
      </w:r>
      <w:r w:rsidR="00B64A76" w:rsidRPr="00E320CE">
        <w:rPr>
          <w:lang w:val="es-CO"/>
        </w:rPr>
        <w:t xml:space="preserve"> y 286</w:t>
      </w:r>
      <w:r w:rsidRPr="00E320CE">
        <w:rPr>
          <w:lang w:val="es-CO"/>
        </w:rPr>
        <w:t>.</w:t>
      </w:r>
    </w:p>
  </w:footnote>
  <w:footnote w:id="68">
    <w:p w14:paraId="3D8FCA56" w14:textId="29BDC3E9" w:rsidR="007B0D34" w:rsidRPr="00E320CE" w:rsidRDefault="007B0D34">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1</w:t>
      </w:r>
      <w:r w:rsidR="000E209C" w:rsidRPr="00E320CE">
        <w:rPr>
          <w:lang w:val="es-CO"/>
        </w:rPr>
        <w:t xml:space="preserve"> </w:t>
      </w:r>
      <w:r w:rsidR="007F6AF9" w:rsidRPr="00E320CE">
        <w:rPr>
          <w:lang w:val="es-CO"/>
        </w:rPr>
        <w:t>68, 74</w:t>
      </w:r>
      <w:r w:rsidR="00B64A76" w:rsidRPr="00E320CE">
        <w:rPr>
          <w:lang w:val="es-CO"/>
        </w:rPr>
        <w:t>, 288</w:t>
      </w:r>
      <w:r w:rsidR="007F6AF9" w:rsidRPr="00E320CE">
        <w:rPr>
          <w:lang w:val="es-CO"/>
        </w:rPr>
        <w:t xml:space="preserve"> </w:t>
      </w:r>
      <w:r w:rsidR="000E209C" w:rsidRPr="00E320CE">
        <w:rPr>
          <w:lang w:val="es-CO"/>
        </w:rPr>
        <w:t>y 557.</w:t>
      </w:r>
    </w:p>
  </w:footnote>
  <w:footnote w:id="69">
    <w:p w14:paraId="0CD22915" w14:textId="5B58C715" w:rsidR="000E209C" w:rsidRPr="00E320CE" w:rsidRDefault="000E209C">
      <w:pPr>
        <w:pStyle w:val="Textonotapie"/>
      </w:pPr>
      <w:r w:rsidRPr="00E320CE">
        <w:rPr>
          <w:rStyle w:val="Refdenotaalpie"/>
        </w:rPr>
        <w:footnoteRef/>
      </w:r>
      <w:r w:rsidRPr="00E320CE">
        <w:t xml:space="preserve"> </w:t>
      </w:r>
      <w:proofErr w:type="spellStart"/>
      <w:r w:rsidRPr="00E320CE">
        <w:t>Ibid</w:t>
      </w:r>
      <w:proofErr w:type="spellEnd"/>
      <w:r w:rsidRPr="00E320CE">
        <w:t xml:space="preserve">, p. </w:t>
      </w:r>
      <w:r w:rsidR="00B64A76" w:rsidRPr="00E320CE">
        <w:t xml:space="preserve">283 y </w:t>
      </w:r>
      <w:r w:rsidRPr="00E320CE">
        <w:t>551.</w:t>
      </w:r>
    </w:p>
  </w:footnote>
  <w:footnote w:id="70">
    <w:p w14:paraId="2908D978" w14:textId="48CF42D4" w:rsidR="00166139" w:rsidRPr="00E320CE" w:rsidRDefault="00166139">
      <w:pPr>
        <w:pStyle w:val="Textonotapie"/>
      </w:pPr>
      <w:r w:rsidRPr="00E320CE">
        <w:rPr>
          <w:rStyle w:val="Refdenotaalpie"/>
        </w:rPr>
        <w:footnoteRef/>
      </w:r>
      <w:r w:rsidRPr="00E320CE">
        <w:t xml:space="preserve"> </w:t>
      </w:r>
      <w:proofErr w:type="spellStart"/>
      <w:r w:rsidRPr="00E320CE">
        <w:t>Ibid</w:t>
      </w:r>
      <w:proofErr w:type="spellEnd"/>
      <w:r w:rsidRPr="00E320CE">
        <w:t xml:space="preserve">, p. 1, 290 y 291. </w:t>
      </w:r>
    </w:p>
  </w:footnote>
  <w:footnote w:id="71">
    <w:p w14:paraId="71C9A341" w14:textId="0B42E6D6" w:rsidR="00650812" w:rsidRPr="00E320CE" w:rsidRDefault="00650812">
      <w:pPr>
        <w:pStyle w:val="Textonotapie"/>
      </w:pPr>
      <w:r w:rsidRPr="00E320CE">
        <w:rPr>
          <w:rStyle w:val="Refdenotaalpie"/>
        </w:rPr>
        <w:footnoteRef/>
      </w:r>
      <w:r w:rsidRPr="00E320CE">
        <w:t xml:space="preserve"> </w:t>
      </w:r>
      <w:proofErr w:type="spellStart"/>
      <w:r w:rsidRPr="00E320CE">
        <w:t>Ibid</w:t>
      </w:r>
      <w:proofErr w:type="spellEnd"/>
      <w:r w:rsidRPr="00E320CE">
        <w:t>, p. 2.</w:t>
      </w:r>
    </w:p>
  </w:footnote>
  <w:footnote w:id="72">
    <w:p w14:paraId="01C0C8C1" w14:textId="22E2C0C6" w:rsidR="00650812" w:rsidRPr="00E320CE" w:rsidRDefault="00650812">
      <w:pPr>
        <w:pStyle w:val="Textonotapie"/>
      </w:pPr>
      <w:r w:rsidRPr="00E320CE">
        <w:rPr>
          <w:rStyle w:val="Refdenotaalpie"/>
        </w:rPr>
        <w:footnoteRef/>
      </w:r>
      <w:r w:rsidRPr="00E320CE">
        <w:t xml:space="preserve"> Ibidem. </w:t>
      </w:r>
      <w:r w:rsidR="00B64A76" w:rsidRPr="00E320CE">
        <w:t>Celebró contratos de prestación de servicios con: (i) la Unión Temporal GIH-Mariana desde el 5 de octubre de 2013 (p. 296); (</w:t>
      </w:r>
      <w:proofErr w:type="spellStart"/>
      <w:r w:rsidR="00B64A76" w:rsidRPr="00E320CE">
        <w:t>ii</w:t>
      </w:r>
      <w:proofErr w:type="spellEnd"/>
      <w:r w:rsidR="00B64A76" w:rsidRPr="00E320CE">
        <w:t xml:space="preserve">) el Consorcio Fondo de Atención en Salud PPL del 1 de febrero de 2016 al 31 de julio de 2017, del 1 de agosto de 2017 al 31 de julio de 2018 y del </w:t>
      </w:r>
      <w:r w:rsidR="00DB7C71" w:rsidRPr="00E320CE">
        <w:t>2</w:t>
      </w:r>
      <w:r w:rsidR="00B64A76" w:rsidRPr="00E320CE">
        <w:t xml:space="preserve">7 de </w:t>
      </w:r>
      <w:r w:rsidR="00DB7C71" w:rsidRPr="00E320CE">
        <w:t>noviembre</w:t>
      </w:r>
      <w:r w:rsidR="00B64A76" w:rsidRPr="00E320CE">
        <w:t xml:space="preserve"> 2018 al 30 de junio de 2021(p. 302</w:t>
      </w:r>
      <w:r w:rsidR="00DB7C71" w:rsidRPr="00E320CE">
        <w:t xml:space="preserve"> y 320</w:t>
      </w:r>
      <w:r w:rsidR="00B64A76" w:rsidRPr="00E320CE">
        <w:t>); y (</w:t>
      </w:r>
      <w:proofErr w:type="spellStart"/>
      <w:r w:rsidR="00B64A76" w:rsidRPr="00E320CE">
        <w:t>iii</w:t>
      </w:r>
      <w:proofErr w:type="spellEnd"/>
      <w:r w:rsidR="00B64A76" w:rsidRPr="00E320CE">
        <w:t>)</w:t>
      </w:r>
      <w:r w:rsidR="003A7A3E" w:rsidRPr="00E320CE">
        <w:t xml:space="preserve"> con la Unión Temporal Salud Integral PPL</w:t>
      </w:r>
      <w:r w:rsidR="00A72FFC" w:rsidRPr="00E320CE">
        <w:t>.</w:t>
      </w:r>
    </w:p>
  </w:footnote>
  <w:footnote w:id="73">
    <w:p w14:paraId="0640C8A3" w14:textId="4162C887" w:rsidR="00DB7C71" w:rsidRPr="00E320CE" w:rsidRDefault="00DB7C71" w:rsidP="00AD6148">
      <w:pPr>
        <w:pStyle w:val="Textonotapie"/>
        <w:jc w:val="both"/>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p. 313, 316</w:t>
      </w:r>
      <w:r w:rsidR="00BC340F" w:rsidRPr="00E320CE">
        <w:rPr>
          <w:lang w:val="es-ES"/>
        </w:rPr>
        <w:t>, 334, 363, 369</w:t>
      </w:r>
      <w:r w:rsidR="00AD6148" w:rsidRPr="00E320CE">
        <w:rPr>
          <w:lang w:val="es-ES"/>
        </w:rPr>
        <w:t>, 387, 407, 410, 414, 415, 437, 455 y 462</w:t>
      </w:r>
      <w:r w:rsidRPr="00E320CE">
        <w:rPr>
          <w:lang w:val="es-ES"/>
        </w:rPr>
        <w:t xml:space="preserve">. </w:t>
      </w:r>
      <w:r w:rsidR="00AD6148" w:rsidRPr="00E320CE">
        <w:rPr>
          <w:lang w:val="es-ES"/>
        </w:rPr>
        <w:t>D</w:t>
      </w:r>
      <w:r w:rsidRPr="00E320CE">
        <w:rPr>
          <w:lang w:val="es-ES"/>
        </w:rPr>
        <w:t xml:space="preserve">el </w:t>
      </w:r>
      <w:r w:rsidR="00AD6148" w:rsidRPr="00E320CE">
        <w:rPr>
          <w:lang w:val="es-ES"/>
        </w:rPr>
        <w:t xml:space="preserve">4 de enero de 2022 al 3 de abril de 2022; del </w:t>
      </w:r>
      <w:r w:rsidRPr="00E320CE">
        <w:rPr>
          <w:lang w:val="es-ES"/>
        </w:rPr>
        <w:t>4 de abril de 2022 al 31 de julio de 2022</w:t>
      </w:r>
      <w:r w:rsidR="00AD6148" w:rsidRPr="00E320CE">
        <w:rPr>
          <w:lang w:val="es-ES"/>
        </w:rPr>
        <w:t>; d</w:t>
      </w:r>
      <w:r w:rsidR="00BC340F" w:rsidRPr="00E320CE">
        <w:rPr>
          <w:lang w:val="es-ES"/>
        </w:rPr>
        <w:t>el 1 de diciembre de 2022 al 31 de diciembre de 2022</w:t>
      </w:r>
      <w:r w:rsidR="00AD6148" w:rsidRPr="00E320CE">
        <w:rPr>
          <w:lang w:val="es-ES"/>
        </w:rPr>
        <w:t xml:space="preserve">; del 1 de enero de 2023 al 12 de febrero de 2023; </w:t>
      </w:r>
      <w:r w:rsidR="00BC340F" w:rsidRPr="00E320CE">
        <w:rPr>
          <w:lang w:val="es-ES"/>
        </w:rPr>
        <w:t>del 13 de febrero de 2023 al 1 de mayo de 2023</w:t>
      </w:r>
      <w:r w:rsidR="00AD6148" w:rsidRPr="00E320CE">
        <w:rPr>
          <w:lang w:val="es-ES"/>
        </w:rPr>
        <w:t>, el cual fue prorrogado hasta el 31 de mayo de 2023 y luego hasta el 30 de junio de 2023; del 1 de julio de 2023 al 30 de septiembre de 2023, prorrogado hasta el 31 de diciembre de 2023; del 1 de enero de 2024 al 31 de marzo de 2024; del 1 de mayo de 2024 al 31 de mayo de 2024; entre otros. Es decir, celebraron al menos 7 contratos de prestación de servicios.</w:t>
      </w:r>
    </w:p>
  </w:footnote>
  <w:footnote w:id="74">
    <w:p w14:paraId="6503EE37" w14:textId="0E40DFFD" w:rsidR="00BC340F" w:rsidRPr="00E320CE" w:rsidRDefault="00BC340F">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p. 323 y 324.</w:t>
      </w:r>
    </w:p>
  </w:footnote>
  <w:footnote w:id="75">
    <w:p w14:paraId="7C841546" w14:textId="2BB23D3B" w:rsidR="00641FAE" w:rsidRPr="00E320CE" w:rsidRDefault="00641FAE">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xml:space="preserve">, p. 475 a 483, y 535 a 542. </w:t>
      </w:r>
    </w:p>
  </w:footnote>
  <w:footnote w:id="76">
    <w:p w14:paraId="015B1346" w14:textId="77777777" w:rsidR="00641FAE" w:rsidRPr="00E320CE" w:rsidRDefault="00641FAE" w:rsidP="00641FAE">
      <w:pPr>
        <w:pStyle w:val="Textonotapie"/>
        <w:jc w:val="both"/>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xml:space="preserve">, p. 329.   </w:t>
      </w:r>
    </w:p>
  </w:footnote>
  <w:footnote w:id="77">
    <w:p w14:paraId="63E6BDF6" w14:textId="29F3FC7B" w:rsidR="00DB7C71" w:rsidRPr="00E320CE" w:rsidRDefault="00DB7C7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316.</w:t>
      </w:r>
    </w:p>
  </w:footnote>
  <w:footnote w:id="78">
    <w:p w14:paraId="3C8DACD7" w14:textId="6830A32B" w:rsidR="00436046" w:rsidRPr="00E320CE" w:rsidRDefault="00436046" w:rsidP="00436046">
      <w:pPr>
        <w:pStyle w:val="Textonotapie"/>
        <w:jc w:val="both"/>
      </w:pPr>
      <w:r w:rsidRPr="00E320CE">
        <w:rPr>
          <w:rStyle w:val="Refdenotaalpie"/>
        </w:rPr>
        <w:footnoteRef/>
      </w:r>
      <w:r w:rsidRPr="00E320CE">
        <w:t xml:space="preserve"> </w:t>
      </w:r>
      <w:r w:rsidRPr="00E320CE">
        <w:rPr>
          <w:lang w:val="es-ES"/>
        </w:rPr>
        <w:t>Expediente digital T-10.635.581. Documentos “1. ACTA DE CONFORMACION UTNORSALUD PPL.pdf” y “RUT UT NORSALUD PPL.pdf”.</w:t>
      </w:r>
    </w:p>
  </w:footnote>
  <w:footnote w:id="79">
    <w:p w14:paraId="682E9846" w14:textId="059D009C" w:rsidR="00436046" w:rsidRPr="00E320CE" w:rsidRDefault="00436046">
      <w:pPr>
        <w:pStyle w:val="Textonotapie"/>
      </w:pPr>
      <w:r w:rsidRPr="00E320CE">
        <w:rPr>
          <w:rStyle w:val="Refdenotaalpie"/>
        </w:rPr>
        <w:footnoteRef/>
      </w:r>
      <w:r w:rsidRPr="00E320CE">
        <w:t xml:space="preserve"> </w:t>
      </w:r>
      <w:r w:rsidRPr="00E320CE">
        <w:rPr>
          <w:lang w:val="es-ES"/>
        </w:rPr>
        <w:t>Expediente digital T-10.635.581. Documentos “1. ACTA DE CONFORMACION UTNORSALUD PPL.pdf”, p. 2 y 3.</w:t>
      </w:r>
    </w:p>
  </w:footnote>
  <w:footnote w:id="80">
    <w:p w14:paraId="7DADCFDC" w14:textId="0BB81D20" w:rsidR="00E562D8" w:rsidRPr="00E320CE" w:rsidRDefault="00E562D8" w:rsidP="00E562D8">
      <w:pPr>
        <w:pStyle w:val="Textonotapie"/>
        <w:jc w:val="both"/>
      </w:pPr>
      <w:r w:rsidRPr="00E320CE">
        <w:rPr>
          <w:rStyle w:val="Refdenotaalpie"/>
        </w:rPr>
        <w:footnoteRef/>
      </w:r>
      <w:r w:rsidRPr="00E320CE">
        <w:t xml:space="preserve"> </w:t>
      </w:r>
      <w:r w:rsidRPr="00E320CE">
        <w:rPr>
          <w:lang w:val="es-ES"/>
        </w:rPr>
        <w:t xml:space="preserve">Expediente digital T-10.635.581. Documentos “2024-00060-00 RESPUESTA R. - </w:t>
      </w:r>
      <w:r w:rsidR="00E320CE" w:rsidRPr="00E320CE">
        <w:rPr>
          <w:i/>
          <w:iCs/>
          <w:lang w:val="es-CO"/>
        </w:rPr>
        <w:t>Greta</w:t>
      </w:r>
      <w:r w:rsidRPr="00E320CE">
        <w:rPr>
          <w:lang w:val="es-ES"/>
        </w:rPr>
        <w:t xml:space="preserve"> vs UT NORSALUD PPL.pdf”, p. 1 y 2.</w:t>
      </w:r>
    </w:p>
  </w:footnote>
  <w:footnote w:id="81">
    <w:p w14:paraId="09C9F9AA" w14:textId="36D2DC4B" w:rsidR="006F2C75" w:rsidRPr="00E320CE" w:rsidRDefault="006F2C75" w:rsidP="006F2C75">
      <w:pPr>
        <w:pStyle w:val="Textonotapie"/>
        <w:jc w:val="both"/>
      </w:pPr>
      <w:r w:rsidRPr="00E320CE">
        <w:rPr>
          <w:rStyle w:val="Refdenotaalpie"/>
        </w:rPr>
        <w:footnoteRef/>
      </w:r>
      <w:r w:rsidRPr="00E320CE">
        <w:t xml:space="preserve"> </w:t>
      </w:r>
      <w:r w:rsidRPr="00E320CE">
        <w:rPr>
          <w:lang w:val="es-ES"/>
        </w:rPr>
        <w:t>Expediente digital T-10.635.581. Documento “CERTIFICACION ESTADO DE LIQUIDACION.pdf”, p. 1.</w:t>
      </w:r>
      <w:r w:rsidR="005C6FA6" w:rsidRPr="00E320CE">
        <w:rPr>
          <w:lang w:val="es-ES"/>
        </w:rPr>
        <w:t xml:space="preserve"> El contrato fue ejecutado entre el 4 de enero de 2022 y el 31 de julio de 2024.</w:t>
      </w:r>
    </w:p>
  </w:footnote>
  <w:footnote w:id="82">
    <w:p w14:paraId="4CF36FFF" w14:textId="35E91ABC" w:rsidR="00CC6587" w:rsidRPr="00E320CE" w:rsidRDefault="00CC6587">
      <w:pPr>
        <w:pStyle w:val="Textonotapie"/>
      </w:pPr>
      <w:r w:rsidRPr="00E320CE">
        <w:rPr>
          <w:rStyle w:val="Refdenotaalpie"/>
        </w:rPr>
        <w:footnoteRef/>
      </w:r>
      <w:r w:rsidRPr="00E320CE">
        <w:t xml:space="preserve"> </w:t>
      </w:r>
      <w:proofErr w:type="spellStart"/>
      <w:r w:rsidRPr="00E320CE">
        <w:t>Ibid</w:t>
      </w:r>
      <w:proofErr w:type="spellEnd"/>
      <w:r w:rsidRPr="00E320CE">
        <w:t xml:space="preserve">, p. 1. </w:t>
      </w:r>
    </w:p>
  </w:footnote>
  <w:footnote w:id="83">
    <w:p w14:paraId="0FB94D95" w14:textId="6C4DAA1A" w:rsidR="00AA78C3" w:rsidRPr="00E320CE" w:rsidRDefault="00AA78C3" w:rsidP="00906C66">
      <w:pPr>
        <w:pStyle w:val="Textonotapie"/>
        <w:jc w:val="both"/>
        <w:rPr>
          <w:lang w:val="es-ES"/>
        </w:rPr>
      </w:pPr>
      <w:r w:rsidRPr="00E320CE">
        <w:rPr>
          <w:rStyle w:val="Refdenotaalpie"/>
        </w:rPr>
        <w:footnoteRef/>
      </w:r>
      <w:r w:rsidRPr="00E320CE">
        <w:t xml:space="preserve"> </w:t>
      </w:r>
      <w:r w:rsidRPr="00E320CE">
        <w:rPr>
          <w:lang w:val="es-ES"/>
        </w:rPr>
        <w:t>Expediente digital T-10.635.581. Documento “</w:t>
      </w:r>
      <w:r w:rsidR="00906C66" w:rsidRPr="00E320CE">
        <w:rPr>
          <w:lang w:val="es-ES"/>
        </w:rPr>
        <w:t xml:space="preserve">2024-00060-00 RESPUESTA R. 2 - </w:t>
      </w:r>
      <w:r w:rsidR="00E320CE" w:rsidRPr="00E320CE">
        <w:rPr>
          <w:i/>
          <w:iCs/>
          <w:lang w:val="es-CO"/>
        </w:rPr>
        <w:t>Greta</w:t>
      </w:r>
      <w:r w:rsidR="00E320CE" w:rsidRPr="00E320CE" w:rsidDel="006E6781">
        <w:rPr>
          <w:lang w:val="es-CO"/>
        </w:rPr>
        <w:t xml:space="preserve"> </w:t>
      </w:r>
      <w:r w:rsidR="00906C66" w:rsidRPr="00E320CE">
        <w:rPr>
          <w:lang w:val="es-ES"/>
        </w:rPr>
        <w:t>vs UT NORSALUD PPL.pdf”.</w:t>
      </w:r>
    </w:p>
  </w:footnote>
  <w:footnote w:id="84">
    <w:p w14:paraId="2EAD9905" w14:textId="40E0CB81" w:rsidR="005D6113" w:rsidRPr="00E320CE" w:rsidRDefault="005D6113">
      <w:pPr>
        <w:pStyle w:val="Textonotapie"/>
        <w:rPr>
          <w:lang w:val="es-ES"/>
        </w:rPr>
      </w:pPr>
      <w:r w:rsidRPr="00E320CE">
        <w:rPr>
          <w:rStyle w:val="Refdenotaalpie"/>
        </w:rPr>
        <w:footnoteRef/>
      </w:r>
      <w:r w:rsidRPr="00E320CE">
        <w:t xml:space="preserve"> </w:t>
      </w:r>
      <w:r w:rsidRPr="00E320CE">
        <w:rPr>
          <w:lang w:val="es-ES"/>
        </w:rPr>
        <w:t>Expediente digital T-10.635.581. Documento “</w:t>
      </w:r>
      <w:r w:rsidR="00410EDA" w:rsidRPr="00E320CE">
        <w:rPr>
          <w:lang w:val="es-ES"/>
        </w:rPr>
        <w:t>17.-Anexo-No.-17-Cronograma-de-Actividades.pdf”, p. 2.</w:t>
      </w:r>
    </w:p>
  </w:footnote>
  <w:footnote w:id="85">
    <w:p w14:paraId="621326D3" w14:textId="77777777" w:rsidR="00F65FB5" w:rsidRPr="00E320CE" w:rsidRDefault="00F65FB5" w:rsidP="00F65FB5">
      <w:pPr>
        <w:pStyle w:val="Textonotapie"/>
        <w:rPr>
          <w:lang w:val="es-CO"/>
        </w:rPr>
      </w:pPr>
      <w:r w:rsidRPr="00E320CE">
        <w:rPr>
          <w:rStyle w:val="Refdenotaalpie"/>
        </w:rPr>
        <w:footnoteRef/>
      </w:r>
      <w:r w:rsidRPr="00E320CE">
        <w:t xml:space="preserve"> </w:t>
      </w:r>
      <w:r w:rsidRPr="00E320CE">
        <w:rPr>
          <w:lang w:val="es-CO"/>
        </w:rPr>
        <w:t xml:space="preserve">Expediente con radicado No. 13001400301120220048000. </w:t>
      </w:r>
    </w:p>
  </w:footnote>
  <w:footnote w:id="86">
    <w:p w14:paraId="13C5636B" w14:textId="77777777" w:rsidR="00F65FB5" w:rsidRPr="00E320CE" w:rsidRDefault="00F65FB5" w:rsidP="00F65FB5">
      <w:pPr>
        <w:pStyle w:val="Textonotapie"/>
      </w:pPr>
      <w:r w:rsidRPr="00E320CE">
        <w:rPr>
          <w:rStyle w:val="Refdenotaalpie"/>
        </w:rPr>
        <w:footnoteRef/>
      </w:r>
      <w:r w:rsidRPr="00E320CE">
        <w:t xml:space="preserve"> Corte Constitucional, Sentencia T-146 de 2023. </w:t>
      </w:r>
    </w:p>
  </w:footnote>
  <w:footnote w:id="87">
    <w:p w14:paraId="1683AF87" w14:textId="77777777" w:rsidR="00F65FB5" w:rsidRPr="00E320CE" w:rsidRDefault="00F65FB5" w:rsidP="00F65FB5">
      <w:pPr>
        <w:pStyle w:val="Textonotapie"/>
        <w:jc w:val="both"/>
        <w:rPr>
          <w:lang w:val="es-ES"/>
        </w:rPr>
      </w:pPr>
      <w:r w:rsidRPr="00E320CE">
        <w:rPr>
          <w:rStyle w:val="Refdenotaalpie"/>
        </w:rPr>
        <w:footnoteRef/>
      </w:r>
      <w:r w:rsidRPr="00E320CE">
        <w:t xml:space="preserve"> </w:t>
      </w:r>
      <w:r w:rsidRPr="00E320CE">
        <w:rPr>
          <w:lang w:val="es-ES"/>
        </w:rPr>
        <w:t xml:space="preserve">Corte Constitucional, sentencias SU-027 de 2021, T-096 de 2011 y T-113 de 2010.  </w:t>
      </w:r>
    </w:p>
  </w:footnote>
  <w:footnote w:id="88">
    <w:p w14:paraId="54F19599" w14:textId="7976A1B0" w:rsidR="00F65FB5" w:rsidRPr="00E320CE" w:rsidRDefault="00F65FB5" w:rsidP="00F65FB5">
      <w:pPr>
        <w:pStyle w:val="Textonotapie"/>
        <w:jc w:val="both"/>
        <w:rPr>
          <w:lang w:val="es-ES"/>
        </w:rPr>
      </w:pPr>
      <w:r w:rsidRPr="00E320CE">
        <w:rPr>
          <w:rStyle w:val="Refdenotaalpie"/>
          <w:sz w:val="18"/>
          <w:szCs w:val="18"/>
        </w:rPr>
        <w:footnoteRef/>
      </w:r>
      <w:r w:rsidRPr="00E320CE">
        <w:rPr>
          <w:sz w:val="18"/>
          <w:szCs w:val="18"/>
        </w:rPr>
        <w:t xml:space="preserve"> </w:t>
      </w:r>
      <w:r w:rsidRPr="00E320CE">
        <w:rPr>
          <w:lang w:val="es-ES"/>
        </w:rPr>
        <w:t>Corte Constitucional, Sentencia T-096 de 2011</w:t>
      </w:r>
      <w:r w:rsidR="001C5312" w:rsidRPr="00E320CE">
        <w:rPr>
          <w:lang w:val="es-ES"/>
        </w:rPr>
        <w:t xml:space="preserve">, reiterada en la Sentencia </w:t>
      </w:r>
      <w:r w:rsidR="00063ACA" w:rsidRPr="00E320CE">
        <w:rPr>
          <w:lang w:val="es-ES"/>
        </w:rPr>
        <w:t>T-443 de 2024</w:t>
      </w:r>
      <w:r w:rsidRPr="00E320CE">
        <w:rPr>
          <w:lang w:val="es-ES"/>
        </w:rPr>
        <w:t xml:space="preserve">. </w:t>
      </w:r>
    </w:p>
  </w:footnote>
  <w:footnote w:id="89">
    <w:p w14:paraId="2E2B362E" w14:textId="6BBC8564" w:rsidR="003E2CA8" w:rsidRPr="00E320CE" w:rsidRDefault="003E2CA8">
      <w:pPr>
        <w:pStyle w:val="Textonotapie"/>
        <w:rPr>
          <w:lang w:val="es-ES"/>
        </w:rPr>
      </w:pPr>
      <w:r w:rsidRPr="00E320CE">
        <w:rPr>
          <w:rStyle w:val="Refdenotaalpie"/>
        </w:rPr>
        <w:footnoteRef/>
      </w:r>
      <w:r w:rsidRPr="00E320CE">
        <w:t xml:space="preserve"> </w:t>
      </w:r>
      <w:r w:rsidRPr="00E320CE">
        <w:rPr>
          <w:lang w:val="es-ES"/>
        </w:rPr>
        <w:t>Corte Constitucional, Sentencia T-416 de 2023.</w:t>
      </w:r>
    </w:p>
  </w:footnote>
  <w:footnote w:id="90">
    <w:p w14:paraId="5304FA54" w14:textId="77777777" w:rsidR="00F65FB5" w:rsidRPr="00E320CE" w:rsidRDefault="00F65FB5" w:rsidP="00F65FB5">
      <w:pPr>
        <w:pStyle w:val="Textonotapie"/>
        <w:rPr>
          <w:lang w:val="es-ES"/>
        </w:rPr>
      </w:pPr>
      <w:r w:rsidRPr="00E320CE">
        <w:rPr>
          <w:rStyle w:val="Refdenotaalpie"/>
        </w:rPr>
        <w:footnoteRef/>
      </w:r>
      <w:r w:rsidRPr="00E320CE">
        <w:t xml:space="preserve"> </w:t>
      </w:r>
      <w:r w:rsidRPr="00E320CE">
        <w:rPr>
          <w:lang w:val="es-ES"/>
        </w:rPr>
        <w:t>Decreto 2591 de 1991, artículo 10.</w:t>
      </w:r>
    </w:p>
  </w:footnote>
  <w:footnote w:id="91">
    <w:p w14:paraId="75291A6A" w14:textId="47DACFA2" w:rsidR="004A3F3B" w:rsidRPr="00E320CE" w:rsidRDefault="004A3F3B" w:rsidP="00FC18DA">
      <w:pPr>
        <w:pStyle w:val="Textonotapie"/>
        <w:jc w:val="both"/>
        <w:rPr>
          <w:lang w:val="es-CO"/>
        </w:rPr>
      </w:pPr>
      <w:r w:rsidRPr="00E320CE">
        <w:rPr>
          <w:rStyle w:val="Refdenotaalpie"/>
        </w:rPr>
        <w:footnoteRef/>
      </w:r>
      <w:r w:rsidRPr="00E320CE">
        <w:t xml:space="preserve"> </w:t>
      </w:r>
      <w:r w:rsidR="00724F72" w:rsidRPr="00E320CE">
        <w:t>Ver poder en el expediente digital, archivo</w:t>
      </w:r>
      <w:r w:rsidR="009723A2" w:rsidRPr="00E320CE">
        <w:t xml:space="preserve"> Procesos_1_01DEMANDA, p.</w:t>
      </w:r>
      <w:r w:rsidR="00875F20" w:rsidRPr="00E320CE">
        <w:t>p. 11 a 13</w:t>
      </w:r>
      <w:r w:rsidR="00724F72" w:rsidRPr="00E320CE">
        <w:t>.</w:t>
      </w:r>
    </w:p>
  </w:footnote>
  <w:footnote w:id="92">
    <w:p w14:paraId="01044A00" w14:textId="77777777" w:rsidR="00F65FB5" w:rsidRPr="00E320CE" w:rsidRDefault="00F65FB5" w:rsidP="00F65FB5">
      <w:pPr>
        <w:pStyle w:val="Textonotapie"/>
        <w:rPr>
          <w:lang w:val="es-ES"/>
        </w:rPr>
      </w:pPr>
      <w:r w:rsidRPr="00E320CE">
        <w:rPr>
          <w:rStyle w:val="Refdenotaalpie"/>
        </w:rPr>
        <w:footnoteRef/>
      </w:r>
      <w:r w:rsidRPr="00E320CE">
        <w:t xml:space="preserve"> </w:t>
      </w:r>
      <w:r w:rsidRPr="00E320CE">
        <w:rPr>
          <w:lang w:val="es-ES"/>
        </w:rPr>
        <w:t>Corte Constitucional, sentencias T-594 de 2016, T-235 de 2018 y SU-508 de 2020.</w:t>
      </w:r>
    </w:p>
  </w:footnote>
  <w:footnote w:id="93">
    <w:p w14:paraId="1C97A18B" w14:textId="77777777" w:rsidR="00F65FB5" w:rsidRPr="00E320CE" w:rsidRDefault="00F65FB5" w:rsidP="00F65FB5">
      <w:pPr>
        <w:pStyle w:val="Textonotapie"/>
        <w:rPr>
          <w:lang w:val="es-ES"/>
        </w:rPr>
      </w:pPr>
      <w:r w:rsidRPr="00E320CE">
        <w:rPr>
          <w:rStyle w:val="Refdenotaalpie"/>
        </w:rPr>
        <w:footnoteRef/>
      </w:r>
      <w:r w:rsidRPr="00E320CE">
        <w:t xml:space="preserve"> Constitución Política de Colombia, artículo 86.</w:t>
      </w:r>
    </w:p>
  </w:footnote>
  <w:footnote w:id="94">
    <w:p w14:paraId="300A8DA8" w14:textId="4772D2EF" w:rsidR="005979A1" w:rsidRPr="00E320CE" w:rsidRDefault="005979A1">
      <w:pPr>
        <w:pStyle w:val="Textonotapie"/>
        <w:rPr>
          <w:lang w:val="es-ES"/>
        </w:rPr>
      </w:pPr>
      <w:r w:rsidRPr="00E320CE">
        <w:rPr>
          <w:rStyle w:val="Refdenotaalpie"/>
        </w:rPr>
        <w:footnoteRef/>
      </w:r>
      <w:r w:rsidRPr="00E320CE">
        <w:t xml:space="preserve"> </w:t>
      </w:r>
      <w:r w:rsidRPr="00E320CE">
        <w:rPr>
          <w:lang w:val="es-ES"/>
        </w:rPr>
        <w:t>Corte Constitucional, Sentencia T-321 de 2023.</w:t>
      </w:r>
    </w:p>
  </w:footnote>
  <w:footnote w:id="95">
    <w:p w14:paraId="0AB7F077" w14:textId="110D1167" w:rsidR="000B5C5C" w:rsidRPr="00E320CE" w:rsidRDefault="000B5C5C">
      <w:pPr>
        <w:pStyle w:val="Textonotapie"/>
        <w:rPr>
          <w:lang w:val="es-ES"/>
        </w:rPr>
      </w:pPr>
      <w:r w:rsidRPr="00E320CE">
        <w:rPr>
          <w:rStyle w:val="Refdenotaalpie"/>
        </w:rPr>
        <w:footnoteRef/>
      </w:r>
      <w:r w:rsidRPr="00E320CE">
        <w:t xml:space="preserve"> </w:t>
      </w:r>
      <w:r w:rsidRPr="00E320CE">
        <w:rPr>
          <w:lang w:val="es-ES"/>
        </w:rPr>
        <w:t>Expediente digital T-10.635.581. Documento “Actuaciones_9_10CONTESTACION.pdf”, p. 4.</w:t>
      </w:r>
    </w:p>
  </w:footnote>
  <w:footnote w:id="96">
    <w:p w14:paraId="3B4160D7" w14:textId="0ECB9647" w:rsidR="00916192" w:rsidRPr="00E320CE" w:rsidRDefault="00916192">
      <w:pPr>
        <w:pStyle w:val="Textonotapie"/>
        <w:rPr>
          <w:lang w:val="es-ES"/>
        </w:rPr>
      </w:pPr>
      <w:r w:rsidRPr="00E320CE">
        <w:rPr>
          <w:rStyle w:val="Refdenotaalpie"/>
        </w:rPr>
        <w:footnoteRef/>
      </w:r>
      <w:r w:rsidRPr="00E320CE">
        <w:t xml:space="preserve"> </w:t>
      </w:r>
      <w:r w:rsidR="00C97B1F" w:rsidRPr="00E320CE">
        <w:rPr>
          <w:lang w:val="es-ES"/>
        </w:rPr>
        <w:t>Ibidem.</w:t>
      </w:r>
    </w:p>
  </w:footnote>
  <w:footnote w:id="97">
    <w:p w14:paraId="0A78E5E4" w14:textId="2CAF1E13" w:rsidR="0098645C" w:rsidRPr="00E320CE" w:rsidRDefault="0098645C" w:rsidP="0098645C">
      <w:pPr>
        <w:pStyle w:val="Textonotapie"/>
      </w:pPr>
    </w:p>
  </w:footnote>
  <w:footnote w:id="98">
    <w:p w14:paraId="58981A7C" w14:textId="587B3B36" w:rsidR="00C97B1F" w:rsidRPr="00E320CE" w:rsidRDefault="00C97B1F">
      <w:pPr>
        <w:pStyle w:val="Textonotapie"/>
      </w:pPr>
      <w:r w:rsidRPr="00E320CE">
        <w:rPr>
          <w:rStyle w:val="Refdenotaalpie"/>
        </w:rPr>
        <w:footnoteRef/>
      </w:r>
      <w:r w:rsidRPr="00E320CE">
        <w:t xml:space="preserve"> Decreto 4150 de 2011, artículo 5.</w:t>
      </w:r>
    </w:p>
  </w:footnote>
  <w:footnote w:id="99">
    <w:p w14:paraId="74829F8F" w14:textId="77777777" w:rsidR="00F65FB5" w:rsidRPr="00E320CE" w:rsidRDefault="00F65FB5" w:rsidP="00F65FB5">
      <w:pPr>
        <w:pStyle w:val="Textonotapie"/>
        <w:rPr>
          <w:lang w:val="es-ES"/>
        </w:rPr>
      </w:pPr>
      <w:r w:rsidRPr="00E320CE">
        <w:rPr>
          <w:rStyle w:val="Refdenotaalpie"/>
        </w:rPr>
        <w:footnoteRef/>
      </w:r>
      <w:r w:rsidRPr="00E320CE">
        <w:t xml:space="preserve"> </w:t>
      </w:r>
      <w:r w:rsidRPr="00E320CE">
        <w:rPr>
          <w:lang w:val="es-ES"/>
        </w:rPr>
        <w:t>Corte Constitucional, sentencias T-423 de 2019 y SU-508 de 2020.</w:t>
      </w:r>
    </w:p>
  </w:footnote>
  <w:footnote w:id="100">
    <w:p w14:paraId="523023C7" w14:textId="77777777" w:rsidR="00F65FB5" w:rsidRPr="00E320CE" w:rsidRDefault="00F65FB5" w:rsidP="00F65FB5">
      <w:pPr>
        <w:pStyle w:val="Textonotapie"/>
        <w:jc w:val="both"/>
        <w:rPr>
          <w:sz w:val="18"/>
          <w:szCs w:val="18"/>
        </w:rPr>
      </w:pPr>
      <w:r w:rsidRPr="00E320CE">
        <w:rPr>
          <w:rStyle w:val="Refdenotaalpie"/>
        </w:rPr>
        <w:footnoteRef/>
      </w:r>
      <w:r w:rsidRPr="00E320CE">
        <w:t xml:space="preserve"> Corte Constitucional, sentencias </w:t>
      </w:r>
      <w:r w:rsidRPr="00E320CE">
        <w:rPr>
          <w:shd w:val="clear" w:color="auto" w:fill="FFFFFF"/>
        </w:rPr>
        <w:t xml:space="preserve">T-206 de 2021 y T-417 de 2019. </w:t>
      </w:r>
    </w:p>
  </w:footnote>
  <w:footnote w:id="101">
    <w:p w14:paraId="1BD96C47" w14:textId="3B8F5980" w:rsidR="00F65FB5" w:rsidRPr="00E320CE" w:rsidRDefault="00F65FB5" w:rsidP="00F65FB5">
      <w:pPr>
        <w:pStyle w:val="Textonotapie"/>
        <w:jc w:val="both"/>
      </w:pPr>
      <w:r w:rsidRPr="00E320CE">
        <w:rPr>
          <w:rStyle w:val="Refdenotaalpie"/>
        </w:rPr>
        <w:footnoteRef/>
      </w:r>
      <w:r w:rsidRPr="00E320CE">
        <w:rPr>
          <w:lang w:val="es-MX"/>
        </w:rPr>
        <w:t xml:space="preserve"> </w:t>
      </w:r>
      <w:r w:rsidR="002C5B09" w:rsidRPr="00E320CE">
        <w:rPr>
          <w:lang w:val="es-MX"/>
        </w:rPr>
        <w:t xml:space="preserve">Corte Constitucional, sentencias </w:t>
      </w:r>
      <w:r w:rsidR="00691B4E" w:rsidRPr="00E320CE">
        <w:t xml:space="preserve">T-176 de 2018, </w:t>
      </w:r>
      <w:r w:rsidR="002C5B09" w:rsidRPr="00E320CE">
        <w:rPr>
          <w:lang w:val="es-MX"/>
        </w:rPr>
        <w:t>T-046 de 2019</w:t>
      </w:r>
      <w:r w:rsidR="00691B4E" w:rsidRPr="00E320CE">
        <w:rPr>
          <w:lang w:val="es-MX"/>
        </w:rPr>
        <w:t xml:space="preserve">, </w:t>
      </w:r>
      <w:r w:rsidR="00691B4E" w:rsidRPr="00E320CE">
        <w:t>SU- 508 de 2020</w:t>
      </w:r>
      <w:r w:rsidR="00691B4E" w:rsidRPr="00E320CE">
        <w:rPr>
          <w:lang w:val="es-MX"/>
        </w:rPr>
        <w:t xml:space="preserve">, </w:t>
      </w:r>
      <w:r w:rsidR="002C5B09" w:rsidRPr="00E320CE">
        <w:rPr>
          <w:lang w:val="es-MX"/>
        </w:rPr>
        <w:t>T-250 de 2022</w:t>
      </w:r>
      <w:r w:rsidR="00691B4E" w:rsidRPr="00E320CE">
        <w:rPr>
          <w:lang w:val="es-MX"/>
        </w:rPr>
        <w:t xml:space="preserve"> </w:t>
      </w:r>
      <w:r w:rsidR="00691B4E" w:rsidRPr="00E320CE">
        <w:t>y T-456 de 2022</w:t>
      </w:r>
      <w:r w:rsidRPr="00E320CE">
        <w:rPr>
          <w:lang w:val="es-MX"/>
        </w:rPr>
        <w:t>.</w:t>
      </w:r>
    </w:p>
  </w:footnote>
  <w:footnote w:id="102">
    <w:p w14:paraId="5F9FF33A" w14:textId="77777777" w:rsidR="00F65FB5" w:rsidRPr="00E320CE" w:rsidRDefault="00F65FB5" w:rsidP="00F65FB5">
      <w:pPr>
        <w:pStyle w:val="Textonotapie"/>
        <w:jc w:val="both"/>
        <w:rPr>
          <w:lang w:val="es-ES"/>
        </w:rPr>
      </w:pPr>
      <w:r w:rsidRPr="00E320CE">
        <w:rPr>
          <w:rStyle w:val="Refdenotaalpie"/>
        </w:rPr>
        <w:footnoteRef/>
      </w:r>
      <w:r w:rsidRPr="00E320CE">
        <w:t xml:space="preserve"> </w:t>
      </w:r>
      <w:r w:rsidRPr="00E320CE">
        <w:rPr>
          <w:lang w:val="es-ES"/>
        </w:rPr>
        <w:t>Corte Constitucional, sentencia T-338 de 2022. En esta sentencia, la Corporación reiteró y desarrollo la regla adoptada en la Sentencia T-1316 de 2001.</w:t>
      </w:r>
    </w:p>
  </w:footnote>
  <w:footnote w:id="103">
    <w:p w14:paraId="1642F414" w14:textId="77777777" w:rsidR="00F65FB5" w:rsidRPr="00E320CE" w:rsidRDefault="00F65FB5" w:rsidP="00F65FB5">
      <w:pPr>
        <w:pStyle w:val="Textonotapie"/>
      </w:pPr>
      <w:r w:rsidRPr="00E320CE">
        <w:rPr>
          <w:rStyle w:val="Refdenotaalpie"/>
        </w:rPr>
        <w:footnoteRef/>
      </w:r>
      <w:r w:rsidRPr="00E320CE">
        <w:t xml:space="preserve"> Corte Constitucional, sentencias SU-049 de 2017, T-144 de 2017, T-188 de 2017, T-443 de 2017, T-395 de 2018 y T-293 de 2023. </w:t>
      </w:r>
    </w:p>
  </w:footnote>
  <w:footnote w:id="104">
    <w:p w14:paraId="219A6E59" w14:textId="77777777" w:rsidR="00F65FB5" w:rsidRPr="00E320CE" w:rsidRDefault="00F65FB5" w:rsidP="00F65FB5">
      <w:pPr>
        <w:pStyle w:val="Textonotapie"/>
      </w:pPr>
      <w:r w:rsidRPr="00E320CE">
        <w:rPr>
          <w:rStyle w:val="Refdenotaalpie"/>
        </w:rPr>
        <w:footnoteRef/>
      </w:r>
      <w:r w:rsidRPr="00E320CE">
        <w:t xml:space="preserve"> Corte Constitucional, Sentencia SU-049 de 2017.</w:t>
      </w:r>
    </w:p>
  </w:footnote>
  <w:footnote w:id="105">
    <w:p w14:paraId="3C87FFF5" w14:textId="77777777" w:rsidR="00F65FB5" w:rsidRPr="00E320CE" w:rsidRDefault="00F65FB5" w:rsidP="00F65FB5">
      <w:pPr>
        <w:pStyle w:val="Textonotapie"/>
      </w:pPr>
      <w:r w:rsidRPr="00E320CE">
        <w:rPr>
          <w:rStyle w:val="Refdenotaalpie"/>
        </w:rPr>
        <w:footnoteRef/>
      </w:r>
      <w:r w:rsidRPr="00E320CE">
        <w:t xml:space="preserve"> Corte Constitucional. Sentencia T-293 de 2023.</w:t>
      </w:r>
    </w:p>
  </w:footnote>
  <w:footnote w:id="106">
    <w:p w14:paraId="4873399D" w14:textId="77777777" w:rsidR="00F65FB5" w:rsidRPr="00E320CE" w:rsidRDefault="00F65FB5" w:rsidP="00F65FB5">
      <w:pPr>
        <w:pStyle w:val="Textonotapie"/>
      </w:pPr>
      <w:r w:rsidRPr="00E320CE">
        <w:rPr>
          <w:rStyle w:val="Refdenotaalpie"/>
        </w:rPr>
        <w:footnoteRef/>
      </w:r>
      <w:r w:rsidRPr="00E320CE">
        <w:t xml:space="preserve"> Corte Constitucional, Sentencia SU-049 de 2017.</w:t>
      </w:r>
    </w:p>
  </w:footnote>
  <w:footnote w:id="107">
    <w:p w14:paraId="07760D30" w14:textId="77777777" w:rsidR="00F65FB5" w:rsidRPr="00E320CE" w:rsidRDefault="00F65FB5" w:rsidP="00F65FB5">
      <w:pPr>
        <w:pStyle w:val="Textonotapie"/>
      </w:pPr>
      <w:r w:rsidRPr="00E320CE">
        <w:rPr>
          <w:rStyle w:val="Refdenotaalpie"/>
        </w:rPr>
        <w:footnoteRef/>
      </w:r>
      <w:r w:rsidRPr="00E320CE">
        <w:t xml:space="preserve"> Corte Constitucional, Sentencia T-293 de 2023.</w:t>
      </w:r>
    </w:p>
  </w:footnote>
  <w:footnote w:id="108">
    <w:p w14:paraId="56E4930C" w14:textId="77777777" w:rsidR="00F65FB5" w:rsidRPr="00E320CE" w:rsidRDefault="00F65FB5" w:rsidP="00F65FB5">
      <w:pPr>
        <w:pStyle w:val="Textonotapie"/>
      </w:pPr>
      <w:r w:rsidRPr="00E320CE">
        <w:rPr>
          <w:rStyle w:val="Refdenotaalpie"/>
        </w:rPr>
        <w:footnoteRef/>
      </w:r>
      <w:r w:rsidRPr="00E320CE">
        <w:t xml:space="preserve"> Corte Constitucional, Sentencia T-395 de 2018.</w:t>
      </w:r>
    </w:p>
  </w:footnote>
  <w:footnote w:id="109">
    <w:p w14:paraId="37404018" w14:textId="1FAECB9B" w:rsidR="008E0D45" w:rsidRPr="00E320CE" w:rsidRDefault="008E0D45">
      <w:pPr>
        <w:pStyle w:val="Textonotapie"/>
      </w:pPr>
      <w:r w:rsidRPr="00E320CE">
        <w:rPr>
          <w:rStyle w:val="Refdenotaalpie"/>
        </w:rPr>
        <w:footnoteRef/>
      </w:r>
      <w:r w:rsidRPr="00E320CE">
        <w:t xml:space="preserve"> Corte Constitucional, Sentencia T-903 de 2010.</w:t>
      </w:r>
    </w:p>
  </w:footnote>
  <w:footnote w:id="110">
    <w:p w14:paraId="6BF6CDC1" w14:textId="77777777" w:rsidR="00573F86" w:rsidRPr="00E320CE" w:rsidRDefault="00573F86" w:rsidP="00573F86">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p. 67.</w:t>
      </w:r>
    </w:p>
  </w:footnote>
  <w:footnote w:id="111">
    <w:p w14:paraId="2ADA6651" w14:textId="50482392" w:rsidR="00AD75BA" w:rsidRPr="00E320CE" w:rsidRDefault="00AD75BA">
      <w:pPr>
        <w:pStyle w:val="Textonotapie"/>
        <w:rPr>
          <w:lang w:val="es-ES"/>
        </w:rPr>
      </w:pPr>
      <w:r w:rsidRPr="00E320CE">
        <w:rPr>
          <w:rStyle w:val="Refdenotaalpie"/>
        </w:rPr>
        <w:footnoteRef/>
      </w:r>
      <w:r w:rsidRPr="00E320CE">
        <w:t xml:space="preserve"> </w:t>
      </w:r>
      <w:r w:rsidRPr="00E320CE">
        <w:rPr>
          <w:lang w:val="es-ES"/>
        </w:rPr>
        <w:t>Corte Constitucional, Sentencia T-094 de 2023.</w:t>
      </w:r>
    </w:p>
  </w:footnote>
  <w:footnote w:id="112">
    <w:p w14:paraId="102949E2" w14:textId="2849244B" w:rsidR="00AD75BA" w:rsidRPr="00E320CE" w:rsidRDefault="00AD75BA">
      <w:pPr>
        <w:pStyle w:val="Textonotapie"/>
        <w:rPr>
          <w:lang w:val="es-ES"/>
        </w:rPr>
      </w:pPr>
      <w:r w:rsidRPr="00E320CE">
        <w:rPr>
          <w:rStyle w:val="Refdenotaalpie"/>
        </w:rPr>
        <w:footnoteRef/>
      </w:r>
      <w:r w:rsidRPr="00E320CE">
        <w:t xml:space="preserve"> </w:t>
      </w:r>
      <w:r w:rsidRPr="00E320CE">
        <w:rPr>
          <w:lang w:val="es-ES"/>
        </w:rPr>
        <w:t>Corte Constitucional, sentencias T-094 de 2023, T-195 de 2022 y SU-040 de 2018.</w:t>
      </w:r>
    </w:p>
  </w:footnote>
  <w:footnote w:id="113">
    <w:p w14:paraId="5FC8C539" w14:textId="09BFCC9B" w:rsidR="00AD75BA" w:rsidRPr="00E320CE" w:rsidRDefault="00AD75BA">
      <w:pPr>
        <w:pStyle w:val="Textonotapie"/>
        <w:rPr>
          <w:lang w:val="es-ES"/>
        </w:rPr>
      </w:pPr>
      <w:r w:rsidRPr="00E320CE">
        <w:rPr>
          <w:rStyle w:val="Refdenotaalpie"/>
        </w:rPr>
        <w:footnoteRef/>
      </w:r>
      <w:r w:rsidRPr="00E320CE">
        <w:t xml:space="preserve"> Corte Constitucional, Sentencia T-195 de 2022.</w:t>
      </w:r>
    </w:p>
  </w:footnote>
  <w:footnote w:id="114">
    <w:p w14:paraId="0E619CE9" w14:textId="0FE5A9E6" w:rsidR="007270E5" w:rsidRPr="00E320CE" w:rsidRDefault="007270E5">
      <w:pPr>
        <w:pStyle w:val="Textonotapie"/>
        <w:rPr>
          <w:lang w:val="es-ES"/>
        </w:rPr>
      </w:pPr>
      <w:r w:rsidRPr="00E320CE">
        <w:rPr>
          <w:rStyle w:val="Refdenotaalpie"/>
        </w:rPr>
        <w:footnoteRef/>
      </w:r>
      <w:r w:rsidRPr="00E320CE">
        <w:t xml:space="preserve"> </w:t>
      </w:r>
      <w:r w:rsidRPr="00E320CE">
        <w:rPr>
          <w:lang w:val="es-ES"/>
        </w:rPr>
        <w:t>Corte Constitucional, Sentencia T-227 de 2024.</w:t>
      </w:r>
    </w:p>
  </w:footnote>
  <w:footnote w:id="115">
    <w:p w14:paraId="0E334513" w14:textId="77777777" w:rsidR="00746B55" w:rsidRPr="00E320CE" w:rsidRDefault="00746B55" w:rsidP="00746B55">
      <w:pPr>
        <w:pStyle w:val="Textonotapie"/>
        <w:rPr>
          <w:lang w:val="es-ES"/>
        </w:rPr>
      </w:pPr>
      <w:r w:rsidRPr="00E320CE">
        <w:rPr>
          <w:rStyle w:val="Refdenotaalpie"/>
        </w:rPr>
        <w:footnoteRef/>
      </w:r>
      <w:r w:rsidRPr="00E320CE">
        <w:t xml:space="preserve"> </w:t>
      </w:r>
      <w:r w:rsidRPr="00E320CE">
        <w:rPr>
          <w:lang w:val="es-ES"/>
        </w:rPr>
        <w:t xml:space="preserve">Corte Constitucional, Sentencia SU-049 de 2017, T-094 de 2023 y T-227 de 2024. </w:t>
      </w:r>
    </w:p>
  </w:footnote>
  <w:footnote w:id="116">
    <w:p w14:paraId="0685C823" w14:textId="2669CDAD" w:rsidR="00FC4B92" w:rsidRPr="00E320CE" w:rsidRDefault="00FC4B92" w:rsidP="003F6444">
      <w:pPr>
        <w:pStyle w:val="Textonotapie"/>
        <w:jc w:val="both"/>
      </w:pPr>
      <w:r w:rsidRPr="00E320CE">
        <w:rPr>
          <w:rStyle w:val="Refdenotaalpie"/>
        </w:rPr>
        <w:footnoteRef/>
      </w:r>
      <w:r w:rsidRPr="00E320CE">
        <w:t xml:space="preserve"> Corte Constitucional, Sentencia SU-049 de 2017. </w:t>
      </w:r>
      <w:r w:rsidR="00E46864" w:rsidRPr="00E320CE">
        <w:t>En este caso, la Corte conoció del caso de un</w:t>
      </w:r>
      <w:r w:rsidR="003F6444" w:rsidRPr="00E320CE">
        <w:t xml:space="preserve"> conductor de vehículos de carga de 73 años que celebró dos contratos de prestación de servicios con Inciviles para el transporte de materiales de construcción. La empresa decidió terminar el segundo contrato de forma unilateral, justo después de que el conductor se incapacitara como consecuencia de un accidente de origen profesional que le ocasionó una lesión completa del músculo supraespinoso. Esta Corporación</w:t>
      </w:r>
      <w:r w:rsidR="00F022F3" w:rsidRPr="00E320CE">
        <w:t xml:space="preserve"> ordenó la renovación del contrato, la cancelación de las remuneraciones dejadas de recibir y el pago de la indemnización equivalente a 180 días de honorarios.</w:t>
      </w:r>
    </w:p>
  </w:footnote>
  <w:footnote w:id="117">
    <w:p w14:paraId="06B3FAB5" w14:textId="31C38970" w:rsidR="00D17C10" w:rsidRPr="00E320CE" w:rsidRDefault="00D17C10">
      <w:pPr>
        <w:pStyle w:val="Textonotapie"/>
      </w:pPr>
      <w:r w:rsidRPr="00E320CE">
        <w:rPr>
          <w:rStyle w:val="Refdenotaalpie"/>
        </w:rPr>
        <w:footnoteRef/>
      </w:r>
      <w:r w:rsidRPr="00E320CE">
        <w:t xml:space="preserve"> Corte Constitucional, Sentencia T-287 de 2011. </w:t>
      </w:r>
    </w:p>
  </w:footnote>
  <w:footnote w:id="118">
    <w:p w14:paraId="3EF0B632" w14:textId="528646EE" w:rsidR="002931D0" w:rsidRPr="00E320CE" w:rsidRDefault="002931D0">
      <w:pPr>
        <w:pStyle w:val="Textonotapie"/>
        <w:rPr>
          <w:lang w:val="es-ES"/>
        </w:rPr>
      </w:pPr>
      <w:r w:rsidRPr="00E320CE">
        <w:rPr>
          <w:rStyle w:val="Refdenotaalpie"/>
        </w:rPr>
        <w:footnoteRef/>
      </w:r>
      <w:r w:rsidRPr="00E320CE">
        <w:t xml:space="preserve"> </w:t>
      </w:r>
      <w:r w:rsidRPr="00E320CE">
        <w:rPr>
          <w:lang w:val="es-ES"/>
        </w:rPr>
        <w:t xml:space="preserve">Corte Constitucional, sentencias T-458 </w:t>
      </w:r>
      <w:r w:rsidR="00B179C9" w:rsidRPr="00E320CE">
        <w:rPr>
          <w:lang w:val="es-ES"/>
        </w:rPr>
        <w:t>de 2024</w:t>
      </w:r>
      <w:r w:rsidR="00375B12" w:rsidRPr="00E320CE">
        <w:rPr>
          <w:lang w:val="es-ES"/>
        </w:rPr>
        <w:t xml:space="preserve"> y</w:t>
      </w:r>
      <w:r w:rsidR="00B73EF1" w:rsidRPr="00E320CE">
        <w:rPr>
          <w:lang w:val="es-ES"/>
        </w:rPr>
        <w:t xml:space="preserve"> </w:t>
      </w:r>
      <w:r w:rsidR="00B179C9" w:rsidRPr="00E320CE">
        <w:rPr>
          <w:lang w:val="es-ES"/>
        </w:rPr>
        <w:t>T-227 de 2024</w:t>
      </w:r>
      <w:r w:rsidR="00375B12" w:rsidRPr="00E320CE">
        <w:rPr>
          <w:lang w:val="es-ES"/>
        </w:rPr>
        <w:t xml:space="preserve">. </w:t>
      </w:r>
    </w:p>
  </w:footnote>
  <w:footnote w:id="119">
    <w:p w14:paraId="3750B471" w14:textId="05124BE7" w:rsidR="007F6534" w:rsidRPr="00E320CE" w:rsidRDefault="007F6534">
      <w:pPr>
        <w:pStyle w:val="Textonotapie"/>
        <w:rPr>
          <w:lang w:val="es-ES"/>
        </w:rPr>
      </w:pPr>
      <w:r w:rsidRPr="00E320CE">
        <w:rPr>
          <w:rStyle w:val="Refdenotaalpie"/>
        </w:rPr>
        <w:footnoteRef/>
      </w:r>
      <w:r w:rsidRPr="00E320CE">
        <w:t xml:space="preserve"> </w:t>
      </w:r>
      <w:r w:rsidRPr="00E320CE">
        <w:rPr>
          <w:lang w:val="es-ES"/>
        </w:rPr>
        <w:t xml:space="preserve">Ambas tablas fueron tomadas de la sentencia mencionada. </w:t>
      </w:r>
    </w:p>
  </w:footnote>
  <w:footnote w:id="120">
    <w:p w14:paraId="62DCCB07" w14:textId="58BB14A5" w:rsidR="00AA56BA" w:rsidRPr="00E320CE" w:rsidRDefault="00AA56BA">
      <w:pPr>
        <w:pStyle w:val="Textonotapie"/>
        <w:rPr>
          <w:lang w:val="es-ES"/>
        </w:rPr>
      </w:pPr>
      <w:r w:rsidRPr="00E320CE">
        <w:rPr>
          <w:rStyle w:val="Refdenotaalpie"/>
        </w:rPr>
        <w:footnoteRef/>
      </w:r>
      <w:r w:rsidRPr="00E320CE">
        <w:t xml:space="preserve"> </w:t>
      </w:r>
      <w:r w:rsidRPr="00E320CE">
        <w:rPr>
          <w:lang w:val="es-ES"/>
        </w:rPr>
        <w:t>Corte Constitucional, sentencias SU-087 de 2022, T-094 de 2023 y SU-269 de 2023.</w:t>
      </w:r>
    </w:p>
  </w:footnote>
  <w:footnote w:id="121">
    <w:p w14:paraId="13B95906" w14:textId="18159AFF" w:rsidR="00653690" w:rsidRPr="00E320CE" w:rsidRDefault="00653690">
      <w:pPr>
        <w:pStyle w:val="Textonotapie"/>
      </w:pPr>
      <w:r w:rsidRPr="00E320CE">
        <w:rPr>
          <w:rStyle w:val="Refdenotaalpie"/>
        </w:rPr>
        <w:footnoteRef/>
      </w:r>
      <w:r w:rsidRPr="00E320CE">
        <w:t xml:space="preserve"> </w:t>
      </w:r>
      <w:r w:rsidRPr="00E320CE">
        <w:rPr>
          <w:lang w:val="es-ES"/>
        </w:rPr>
        <w:t>Corte Constitucional, sentencias SU-269 de 2023 y T-227 de 2024.</w:t>
      </w:r>
    </w:p>
  </w:footnote>
  <w:footnote w:id="122">
    <w:p w14:paraId="74BD8205" w14:textId="5AE92DD9" w:rsidR="00AA56BA" w:rsidRPr="00E320CE" w:rsidRDefault="00AA56BA">
      <w:pPr>
        <w:pStyle w:val="Textonotapie"/>
        <w:rPr>
          <w:lang w:val="es-ES"/>
        </w:rPr>
      </w:pPr>
      <w:r w:rsidRPr="00E320CE">
        <w:rPr>
          <w:rStyle w:val="Refdenotaalpie"/>
        </w:rPr>
        <w:footnoteRef/>
      </w:r>
      <w:r w:rsidRPr="00E320CE">
        <w:t xml:space="preserve"> </w:t>
      </w:r>
      <w:r w:rsidRPr="00E320CE">
        <w:rPr>
          <w:lang w:val="es-ES"/>
        </w:rPr>
        <w:t>Corte Constitucional, Sentencia SU-269 de 2023.</w:t>
      </w:r>
    </w:p>
  </w:footnote>
  <w:footnote w:id="123">
    <w:p w14:paraId="40565684" w14:textId="73B14B86" w:rsidR="00653690" w:rsidRPr="00E320CE" w:rsidRDefault="00653690">
      <w:pPr>
        <w:pStyle w:val="Textonotapie"/>
        <w:rPr>
          <w:lang w:val="es-ES"/>
        </w:rPr>
      </w:pPr>
      <w:r w:rsidRPr="00E320CE">
        <w:rPr>
          <w:rStyle w:val="Refdenotaalpie"/>
        </w:rPr>
        <w:footnoteRef/>
      </w:r>
      <w:r w:rsidRPr="00E320CE">
        <w:t xml:space="preserve"> </w:t>
      </w:r>
      <w:r w:rsidRPr="00E320CE">
        <w:rPr>
          <w:lang w:val="es-ES"/>
        </w:rPr>
        <w:t>Corte Constitucional, Sentencia SU-049 de 2017, SU-269 de 2023 y T-227 de 2024.</w:t>
      </w:r>
    </w:p>
  </w:footnote>
  <w:footnote w:id="124">
    <w:p w14:paraId="2E2BF27A" w14:textId="49C9EFA5" w:rsidR="00B81989" w:rsidRPr="00E320CE" w:rsidRDefault="00B81989">
      <w:pPr>
        <w:pStyle w:val="Textonotapie"/>
        <w:rPr>
          <w:lang w:val="es-ES"/>
        </w:rPr>
      </w:pPr>
      <w:r w:rsidRPr="00E320CE">
        <w:rPr>
          <w:rStyle w:val="Refdenotaalpie"/>
        </w:rPr>
        <w:footnoteRef/>
      </w:r>
      <w:r w:rsidRPr="00E320CE">
        <w:t xml:space="preserve"> </w:t>
      </w:r>
      <w:r w:rsidRPr="00E320CE">
        <w:rPr>
          <w:lang w:val="es-ES"/>
        </w:rPr>
        <w:t>Corte Constitucional, Sentencia T-287 de 2023.</w:t>
      </w:r>
    </w:p>
  </w:footnote>
  <w:footnote w:id="125">
    <w:p w14:paraId="4657BCAA" w14:textId="1461E4C3" w:rsidR="009E2112" w:rsidRPr="00E320CE" w:rsidRDefault="009E2112" w:rsidP="00FD7795">
      <w:pPr>
        <w:pStyle w:val="Textonotapie"/>
        <w:jc w:val="both"/>
        <w:rPr>
          <w:lang w:val="es-ES"/>
        </w:rPr>
      </w:pPr>
      <w:r w:rsidRPr="00E320CE">
        <w:rPr>
          <w:rStyle w:val="Refdenotaalpie"/>
        </w:rPr>
        <w:footnoteRef/>
      </w:r>
      <w:r w:rsidRPr="00E320CE">
        <w:t xml:space="preserve"> </w:t>
      </w:r>
      <w:r w:rsidRPr="00E320CE">
        <w:rPr>
          <w:lang w:val="es-ES"/>
        </w:rPr>
        <w:t xml:space="preserve">Corte Constitucional, sentencias </w:t>
      </w:r>
      <w:r w:rsidR="005440C6" w:rsidRPr="00E320CE">
        <w:rPr>
          <w:lang w:val="es-ES"/>
        </w:rPr>
        <w:t xml:space="preserve">T-426 de 2022, </w:t>
      </w:r>
      <w:r w:rsidRPr="00E320CE">
        <w:rPr>
          <w:lang w:val="es-ES"/>
        </w:rPr>
        <w:t>T-287 de 2023</w:t>
      </w:r>
      <w:r w:rsidR="005440C6" w:rsidRPr="00E320CE">
        <w:rPr>
          <w:lang w:val="es-ES"/>
        </w:rPr>
        <w:t xml:space="preserve"> </w:t>
      </w:r>
      <w:r w:rsidRPr="00E320CE">
        <w:rPr>
          <w:lang w:val="es-ES"/>
        </w:rPr>
        <w:t>y T-420 de 202</w:t>
      </w:r>
      <w:r w:rsidR="00FD7795" w:rsidRPr="00E320CE">
        <w:rPr>
          <w:lang w:val="es-ES"/>
        </w:rPr>
        <w:t>3</w:t>
      </w:r>
      <w:r w:rsidRPr="00E320CE">
        <w:rPr>
          <w:lang w:val="es-ES"/>
        </w:rPr>
        <w:t xml:space="preserve">. </w:t>
      </w:r>
      <w:r w:rsidR="005440C6" w:rsidRPr="00E320CE">
        <w:rPr>
          <w:lang w:val="es-ES"/>
        </w:rPr>
        <w:t xml:space="preserve">En la Sentencia T-426 de 2022, la Sala Novena de Revisión analizó la acción de tutela presentada por una mujer que era titular del fuero de maternidad y que fue desvinculada de la empresa para la que trabajaba por su liquidación. Concluyó que la liquidación de la empresa empleadora no está contemplada dentro de las causales de terminación de contrato por justa causa, por lo que operó la presunción de discriminación. </w:t>
      </w:r>
      <w:r w:rsidRPr="00E320CE">
        <w:rPr>
          <w:lang w:val="es-ES"/>
        </w:rPr>
        <w:t xml:space="preserve">En la </w:t>
      </w:r>
      <w:r w:rsidR="00FD7795" w:rsidRPr="00E320CE">
        <w:rPr>
          <w:lang w:val="es-ES"/>
        </w:rPr>
        <w:t>Sentencia T-287 de 2023</w:t>
      </w:r>
      <w:r w:rsidRPr="00E320CE">
        <w:rPr>
          <w:lang w:val="es-ES"/>
        </w:rPr>
        <w:t>, la Corte estudió la acción de tutela presentaba por una trabajadora que fue</w:t>
      </w:r>
      <w:r w:rsidR="00FD7795" w:rsidRPr="00E320CE">
        <w:rPr>
          <w:lang w:val="es-ES"/>
        </w:rPr>
        <w:t xml:space="preserve"> desvinculada a raíz de la liquidación definitiva de una empresa que fue sustituida patronalmente por otra. En ese caso, concluyó que la accionada desconoció el derecho a la estabilidad laboral reforzada de la accionante al desvincularla laboralmente, a pesar de estar enferma y sin la autorización del inspector del trabajo. En la Sentencia T-</w:t>
      </w:r>
      <w:r w:rsidR="005440C6" w:rsidRPr="00E320CE">
        <w:rPr>
          <w:lang w:val="es-ES"/>
        </w:rPr>
        <w:t>420</w:t>
      </w:r>
      <w:r w:rsidR="00FD7795" w:rsidRPr="00E320CE">
        <w:rPr>
          <w:lang w:val="es-ES"/>
        </w:rPr>
        <w:t xml:space="preserve"> de 202</w:t>
      </w:r>
      <w:r w:rsidR="005440C6" w:rsidRPr="00E320CE">
        <w:rPr>
          <w:lang w:val="es-ES"/>
        </w:rPr>
        <w:t>3</w:t>
      </w:r>
      <w:r w:rsidR="00FD7795" w:rsidRPr="00E320CE">
        <w:rPr>
          <w:lang w:val="es-ES"/>
        </w:rPr>
        <w:t xml:space="preserve">, </w:t>
      </w:r>
      <w:r w:rsidR="005440C6" w:rsidRPr="00E320CE">
        <w:rPr>
          <w:lang w:val="es-ES"/>
        </w:rPr>
        <w:t xml:space="preserve">esta Corporación </w:t>
      </w:r>
      <w:r w:rsidR="00BE4665" w:rsidRPr="00E320CE">
        <w:rPr>
          <w:lang w:val="es-ES"/>
        </w:rPr>
        <w:t>analizó la acción de tutela presentada por una trabajadora que se encontraba en estado de embarazo y que fue despedida debido a la liquidación de la empresa empleadora. La Corte amparó sus derechos al concluir que el demandado conocía el embarazo de la de la trabajadora previo a la terminación del contrato laboral y no adelantó el trámite pertinente ante el inspector de trabajo.</w:t>
      </w:r>
    </w:p>
  </w:footnote>
  <w:footnote w:id="126">
    <w:p w14:paraId="04E662B9" w14:textId="0A60C353" w:rsidR="009E2112" w:rsidRPr="00E320CE" w:rsidRDefault="009E2112">
      <w:pPr>
        <w:pStyle w:val="Textonotapie"/>
        <w:rPr>
          <w:lang w:val="es-ES"/>
        </w:rPr>
      </w:pPr>
      <w:r w:rsidRPr="00E320CE">
        <w:rPr>
          <w:rStyle w:val="Refdenotaalpie"/>
        </w:rPr>
        <w:footnoteRef/>
      </w:r>
      <w:r w:rsidRPr="00E320CE">
        <w:t xml:space="preserve"> </w:t>
      </w:r>
      <w:r w:rsidRPr="00E320CE">
        <w:rPr>
          <w:lang w:val="es-ES"/>
        </w:rPr>
        <w:t xml:space="preserve">Código Sustantivo del Trabajo, artículo 62. </w:t>
      </w:r>
    </w:p>
  </w:footnote>
  <w:footnote w:id="127">
    <w:p w14:paraId="3BB6783E" w14:textId="289CB71C" w:rsidR="00F05D1C" w:rsidRPr="00E320CE" w:rsidRDefault="00F05D1C">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artículo 61.</w:t>
      </w:r>
    </w:p>
  </w:footnote>
  <w:footnote w:id="128">
    <w:p w14:paraId="0FAEC2A5" w14:textId="7CE5F9F9" w:rsidR="00FD7795" w:rsidRPr="00E320CE" w:rsidRDefault="00FD7795">
      <w:pPr>
        <w:pStyle w:val="Textonotapie"/>
        <w:rPr>
          <w:lang w:val="es-ES"/>
        </w:rPr>
      </w:pPr>
      <w:r w:rsidRPr="00E320CE">
        <w:rPr>
          <w:rStyle w:val="Refdenotaalpie"/>
        </w:rPr>
        <w:footnoteRef/>
      </w:r>
      <w:r w:rsidRPr="00E320CE">
        <w:t xml:space="preserve"> </w:t>
      </w:r>
      <w:r w:rsidRPr="00E320CE">
        <w:rPr>
          <w:lang w:val="es-ES"/>
        </w:rPr>
        <w:t>Corte Constitucional, sentencias T-426 de 2022, T-287 de 2023 y T-420 de 2023.</w:t>
      </w:r>
    </w:p>
  </w:footnote>
  <w:footnote w:id="129">
    <w:p w14:paraId="08AAE308" w14:textId="53D0004E" w:rsidR="00F56A35" w:rsidRPr="00E320CE" w:rsidRDefault="00F56A35">
      <w:pPr>
        <w:pStyle w:val="Textonotapie"/>
        <w:rPr>
          <w:lang w:val="es-ES"/>
        </w:rPr>
      </w:pPr>
      <w:r w:rsidRPr="00E320CE">
        <w:rPr>
          <w:rStyle w:val="Refdenotaalpie"/>
        </w:rPr>
        <w:footnoteRef/>
      </w:r>
      <w:r w:rsidRPr="00E320CE">
        <w:t xml:space="preserve"> </w:t>
      </w:r>
      <w:r w:rsidRPr="00E320CE">
        <w:rPr>
          <w:lang w:val="es-ES"/>
        </w:rPr>
        <w:t>Código Sustantivo del Trabajo, artículo 67.</w:t>
      </w:r>
    </w:p>
  </w:footnote>
  <w:footnote w:id="130">
    <w:p w14:paraId="2CF0D08A" w14:textId="618CBF37" w:rsidR="00F56A35" w:rsidRPr="00E320CE" w:rsidRDefault="00F56A35">
      <w:pPr>
        <w:pStyle w:val="Textonotapie"/>
        <w:rPr>
          <w:lang w:val="es-ES"/>
        </w:rPr>
      </w:pPr>
      <w:r w:rsidRPr="00E320CE">
        <w:rPr>
          <w:rStyle w:val="Refdenotaalpie"/>
        </w:rPr>
        <w:footnoteRef/>
      </w:r>
      <w:r w:rsidRPr="00E320CE">
        <w:t xml:space="preserve"> </w:t>
      </w:r>
      <w:r w:rsidRPr="00E320CE">
        <w:rPr>
          <w:lang w:val="es-ES"/>
        </w:rPr>
        <w:t>Corte Constitucional, Sentencia T-2</w:t>
      </w:r>
      <w:r w:rsidR="00DA6A00" w:rsidRPr="00E320CE">
        <w:rPr>
          <w:lang w:val="es-ES"/>
        </w:rPr>
        <w:t>7</w:t>
      </w:r>
      <w:r w:rsidRPr="00E320CE">
        <w:rPr>
          <w:lang w:val="es-ES"/>
        </w:rPr>
        <w:t xml:space="preserve">7 de 2020. </w:t>
      </w:r>
    </w:p>
  </w:footnote>
  <w:footnote w:id="131">
    <w:p w14:paraId="453890D5" w14:textId="666F868D" w:rsidR="003A387B" w:rsidRPr="00E320CE" w:rsidRDefault="003A387B">
      <w:pPr>
        <w:pStyle w:val="Textonotapie"/>
      </w:pPr>
      <w:r w:rsidRPr="00E320CE">
        <w:rPr>
          <w:rStyle w:val="Refdenotaalpie"/>
        </w:rPr>
        <w:footnoteRef/>
      </w:r>
      <w:r w:rsidRPr="00E320CE">
        <w:t xml:space="preserve"> </w:t>
      </w:r>
      <w:r w:rsidRPr="00E320CE">
        <w:rPr>
          <w:lang w:val="es-ES"/>
        </w:rPr>
        <w:t>Corte Constitucional, Sentencia T-287 de 2023.</w:t>
      </w:r>
      <w:r w:rsidRPr="00E320CE">
        <w:t xml:space="preserve"> </w:t>
      </w:r>
    </w:p>
  </w:footnote>
  <w:footnote w:id="132">
    <w:p w14:paraId="77618118" w14:textId="1A229E25" w:rsidR="00F56A35" w:rsidRPr="00E320CE" w:rsidRDefault="00F56A35">
      <w:pPr>
        <w:pStyle w:val="Textonotapie"/>
        <w:rPr>
          <w:lang w:val="es-ES"/>
        </w:rPr>
      </w:pPr>
      <w:r w:rsidRPr="00E320CE">
        <w:rPr>
          <w:rStyle w:val="Refdenotaalpie"/>
        </w:rPr>
        <w:footnoteRef/>
      </w:r>
      <w:r w:rsidRPr="00E320CE">
        <w:t xml:space="preserve"> </w:t>
      </w:r>
      <w:r w:rsidRPr="00E320CE">
        <w:rPr>
          <w:lang w:val="es-ES"/>
        </w:rPr>
        <w:t>Corte Constitucional, Sentencia T-1238 de 2008 y T-2</w:t>
      </w:r>
      <w:r w:rsidR="00DA6A00" w:rsidRPr="00E320CE">
        <w:rPr>
          <w:lang w:val="es-ES"/>
        </w:rPr>
        <w:t>7</w:t>
      </w:r>
      <w:r w:rsidRPr="00E320CE">
        <w:rPr>
          <w:lang w:val="es-ES"/>
        </w:rPr>
        <w:t xml:space="preserve">7 de 2020. </w:t>
      </w:r>
    </w:p>
  </w:footnote>
  <w:footnote w:id="133">
    <w:p w14:paraId="4981D58F" w14:textId="11FEDDE0" w:rsidR="00DA2614" w:rsidRPr="00E320CE" w:rsidRDefault="00DA2614">
      <w:pPr>
        <w:pStyle w:val="Textonotapie"/>
        <w:rPr>
          <w:lang w:val="es-ES"/>
        </w:rPr>
      </w:pPr>
      <w:r w:rsidRPr="00E320CE">
        <w:rPr>
          <w:rStyle w:val="Refdenotaalpie"/>
        </w:rPr>
        <w:footnoteRef/>
      </w:r>
      <w:r w:rsidRPr="00E320CE">
        <w:t xml:space="preserve"> </w:t>
      </w:r>
      <w:r w:rsidRPr="00E320CE">
        <w:rPr>
          <w:lang w:val="es-ES"/>
        </w:rPr>
        <w:t xml:space="preserve">Decreto 2127 de 1945, artículo 53. </w:t>
      </w:r>
    </w:p>
  </w:footnote>
  <w:footnote w:id="134">
    <w:p w14:paraId="568F0AAE" w14:textId="48F5EFE0" w:rsidR="0012760D" w:rsidRPr="00E320CE" w:rsidRDefault="0012760D">
      <w:pPr>
        <w:pStyle w:val="Textonotapie"/>
        <w:rPr>
          <w:lang w:val="es-ES"/>
        </w:rPr>
      </w:pPr>
      <w:r w:rsidRPr="00E320CE">
        <w:rPr>
          <w:rStyle w:val="Refdenotaalpie"/>
        </w:rPr>
        <w:footnoteRef/>
      </w:r>
      <w:r w:rsidRPr="00E320CE">
        <w:t xml:space="preserve"> </w:t>
      </w:r>
      <w:r w:rsidRPr="00E320CE">
        <w:rPr>
          <w:lang w:val="es-ES"/>
        </w:rPr>
        <w:t>Corte Constitucional, Sentencia T-2</w:t>
      </w:r>
      <w:r w:rsidR="00DA6A00" w:rsidRPr="00E320CE">
        <w:rPr>
          <w:lang w:val="es-ES"/>
        </w:rPr>
        <w:t>7</w:t>
      </w:r>
      <w:r w:rsidRPr="00E320CE">
        <w:rPr>
          <w:lang w:val="es-ES"/>
        </w:rPr>
        <w:t>7 de 2020.</w:t>
      </w:r>
    </w:p>
  </w:footnote>
  <w:footnote w:id="135">
    <w:p w14:paraId="37FF2121" w14:textId="41DEF5A8" w:rsidR="00293094" w:rsidRPr="00E320CE" w:rsidRDefault="00293094" w:rsidP="00293094">
      <w:pPr>
        <w:pStyle w:val="Textonotapie"/>
        <w:jc w:val="both"/>
        <w:rPr>
          <w:lang w:val="es-ES"/>
        </w:rPr>
      </w:pPr>
      <w:r w:rsidRPr="00E320CE">
        <w:rPr>
          <w:rStyle w:val="Refdenotaalpie"/>
        </w:rPr>
        <w:footnoteRef/>
      </w:r>
      <w:r w:rsidRPr="00E320CE">
        <w:t xml:space="preserve"> </w:t>
      </w:r>
      <w:r w:rsidRPr="00E320CE">
        <w:rPr>
          <w:lang w:val="es-ES"/>
        </w:rPr>
        <w:t>Corte Constitucional, Sentencia T-331 de 2015. En este caso, la Corte estudió la acción de tutela presentada por una trabajadora de la empresa UNIAPUESTAS S.A</w:t>
      </w:r>
      <w:r w:rsidR="008C06A6" w:rsidRPr="00E320CE">
        <w:rPr>
          <w:lang w:val="es-ES"/>
        </w:rPr>
        <w:t>.</w:t>
      </w:r>
      <w:r w:rsidRPr="00E320CE">
        <w:rPr>
          <w:lang w:val="es-ES"/>
        </w:rPr>
        <w:t xml:space="preserve"> que sostuvo que su estado de salud estaba en riesgo ante una futura liquidación de la empresa y, por ende, una desafiliación del Sistema de Seguridad Social en Salud. La Sala encontró que se configuró un cambio de empleador entre UNIAPUESTAS S.A. y Ganar </w:t>
      </w:r>
      <w:proofErr w:type="spellStart"/>
      <w:r w:rsidRPr="00E320CE">
        <w:rPr>
          <w:lang w:val="es-ES"/>
        </w:rPr>
        <w:t>Ltda</w:t>
      </w:r>
      <w:proofErr w:type="spellEnd"/>
      <w:r w:rsidRPr="00E320CE">
        <w:rPr>
          <w:lang w:val="es-ES"/>
        </w:rPr>
        <w:t xml:space="preserve"> frente al desarrollo de la actividad rentística de juegos de suerte y azar en el Departamento del Atlántico a raíz de la adjudicación de un contrato de concesión al segundo. Sin embargo, concluyó que no hubo sustitución patronal porque no hubo continuidad de la trabajadora. Por esa razón, se limitó a ordenarle a UNIAPUESTAS S.A. seguir pagando los aportes de salud de la demandante. </w:t>
      </w:r>
    </w:p>
  </w:footnote>
  <w:footnote w:id="136">
    <w:p w14:paraId="4E84FA94" w14:textId="2AB9CF59" w:rsidR="0007276B" w:rsidRPr="00E320CE" w:rsidRDefault="0007276B" w:rsidP="0007276B">
      <w:pPr>
        <w:pStyle w:val="Textonotapie"/>
        <w:jc w:val="both"/>
        <w:rPr>
          <w:lang w:val="es-ES"/>
        </w:rPr>
      </w:pPr>
      <w:r w:rsidRPr="00E320CE">
        <w:rPr>
          <w:rStyle w:val="Refdenotaalpie"/>
        </w:rPr>
        <w:footnoteRef/>
      </w:r>
      <w:r w:rsidRPr="00E320CE">
        <w:t xml:space="preserve"> </w:t>
      </w:r>
      <w:r w:rsidRPr="00E320CE">
        <w:rPr>
          <w:lang w:val="es-ES"/>
        </w:rPr>
        <w:t xml:space="preserve">Corte Constitucional, Sentencia T-927 de 2010. En este caso, la Corte estudió la acción de tutela interpuesta por la trabajadora de una </w:t>
      </w:r>
      <w:proofErr w:type="spellStart"/>
      <w:r w:rsidRPr="00E320CE">
        <w:rPr>
          <w:lang w:val="es-ES"/>
        </w:rPr>
        <w:t>notaria</w:t>
      </w:r>
      <w:proofErr w:type="spellEnd"/>
      <w:r w:rsidRPr="00E320CE">
        <w:rPr>
          <w:lang w:val="es-ES"/>
        </w:rPr>
        <w:t xml:space="preserve"> que fue despedida durante su licencia de maternidad por el nuevo notario. </w:t>
      </w:r>
    </w:p>
  </w:footnote>
  <w:footnote w:id="137">
    <w:p w14:paraId="43665FA9" w14:textId="6A24A2B0" w:rsidR="008C7639" w:rsidRPr="00E320CE" w:rsidRDefault="008C7639" w:rsidP="00C57510">
      <w:pPr>
        <w:pStyle w:val="Textonotapie"/>
        <w:jc w:val="both"/>
        <w:rPr>
          <w:lang w:val="es-ES"/>
        </w:rPr>
      </w:pPr>
      <w:r w:rsidRPr="00E320CE">
        <w:rPr>
          <w:rStyle w:val="Refdenotaalpie"/>
        </w:rPr>
        <w:footnoteRef/>
      </w:r>
      <w:r w:rsidRPr="00E320CE">
        <w:t xml:space="preserve"> </w:t>
      </w:r>
      <w:r w:rsidRPr="00E320CE">
        <w:rPr>
          <w:lang w:val="es-ES"/>
        </w:rPr>
        <w:t>Corte Constitucional, Sentencia T-254 de 2018. En este caso, la Corte estudió la acción de tutela presentado por el trabajador</w:t>
      </w:r>
      <w:r w:rsidR="00C57510" w:rsidRPr="00E320CE">
        <w:rPr>
          <w:lang w:val="es-ES"/>
        </w:rPr>
        <w:t xml:space="preserve"> de una empresa en la que alegó que la Agrícola Sara Palma S.A., empresa que sustituyó a los antiguos empleadores, no realizó las cotizaciones respectivas entre los años 1987 y 1994. La Sala concedió el amparo y, entre otros, le ordenó a Agrícola Sara Palma S.A. transferir el valor de las cotizaciones adeudadas.</w:t>
      </w:r>
    </w:p>
  </w:footnote>
  <w:footnote w:id="138">
    <w:p w14:paraId="02F27217" w14:textId="30103942" w:rsidR="00C57510" w:rsidRPr="00E320CE" w:rsidRDefault="00C57510">
      <w:pPr>
        <w:pStyle w:val="Textonotapie"/>
        <w:rPr>
          <w:lang w:val="es-ES"/>
        </w:rPr>
      </w:pPr>
      <w:r w:rsidRPr="00E320CE">
        <w:rPr>
          <w:rStyle w:val="Refdenotaalpie"/>
        </w:rPr>
        <w:footnoteRef/>
      </w:r>
      <w:r w:rsidRPr="00E320CE">
        <w:t xml:space="preserve"> </w:t>
      </w:r>
      <w:r w:rsidRPr="00E320CE">
        <w:rPr>
          <w:lang w:val="es-ES"/>
        </w:rPr>
        <w:t>Decreto 2127 de 1945, artículo 53.</w:t>
      </w:r>
    </w:p>
  </w:footnote>
  <w:footnote w:id="139">
    <w:p w14:paraId="6D75D331" w14:textId="02142D58" w:rsidR="00E00FCE" w:rsidRPr="00E320CE" w:rsidRDefault="00E00FCE" w:rsidP="00E00FCE">
      <w:pPr>
        <w:pStyle w:val="Textonotapie"/>
        <w:jc w:val="both"/>
        <w:rPr>
          <w:lang w:val="es-ES"/>
        </w:rPr>
      </w:pPr>
      <w:r w:rsidRPr="00E320CE">
        <w:rPr>
          <w:rStyle w:val="Refdenotaalpie"/>
        </w:rPr>
        <w:footnoteRef/>
      </w:r>
      <w:r w:rsidRPr="00E320CE">
        <w:t xml:space="preserve"> </w:t>
      </w:r>
      <w:r w:rsidRPr="00E320CE">
        <w:rPr>
          <w:lang w:val="es-ES"/>
        </w:rPr>
        <w:t xml:space="preserve">Corte Suprema de Justicia, Sala de Casación Laboral, Sentencia SL962-2023, del 15 de marzo de 2023. </w:t>
      </w:r>
    </w:p>
  </w:footnote>
  <w:footnote w:id="140">
    <w:p w14:paraId="3D9A4096" w14:textId="3B7A9180" w:rsidR="00657F47" w:rsidRPr="00E320CE" w:rsidRDefault="00657F47">
      <w:pPr>
        <w:pStyle w:val="Textonotapie"/>
        <w:rPr>
          <w:lang w:val="es-ES"/>
        </w:rPr>
      </w:pPr>
      <w:r w:rsidRPr="00E320CE">
        <w:rPr>
          <w:rStyle w:val="Refdenotaalpie"/>
        </w:rPr>
        <w:footnoteRef/>
      </w:r>
      <w:r w:rsidRPr="00E320CE">
        <w:t xml:space="preserve"> </w:t>
      </w:r>
      <w:r w:rsidRPr="00E320CE">
        <w:rPr>
          <w:lang w:val="es-ES"/>
        </w:rPr>
        <w:t xml:space="preserve">Corte Constitucional, Sentencia T-277 de 2020. </w:t>
      </w:r>
    </w:p>
  </w:footnote>
  <w:footnote w:id="141">
    <w:p w14:paraId="6499BFB5" w14:textId="582DB845" w:rsidR="00657F47" w:rsidRPr="00E320CE" w:rsidRDefault="00657F47">
      <w:pPr>
        <w:pStyle w:val="Textonotapie"/>
        <w:rPr>
          <w:lang w:val="es-ES"/>
        </w:rPr>
      </w:pPr>
      <w:r w:rsidRPr="00E320CE">
        <w:rPr>
          <w:rStyle w:val="Refdenotaalpie"/>
        </w:rPr>
        <w:footnoteRef/>
      </w:r>
      <w:r w:rsidRPr="00E320CE">
        <w:t xml:space="preserve"> </w:t>
      </w:r>
      <w:r w:rsidRPr="00E320CE">
        <w:rPr>
          <w:lang w:val="es-ES"/>
        </w:rPr>
        <w:t xml:space="preserve">Ibid. </w:t>
      </w:r>
    </w:p>
  </w:footnote>
  <w:footnote w:id="142">
    <w:p w14:paraId="01EFEA56" w14:textId="42495B49" w:rsidR="00F460CD" w:rsidRPr="00E320CE" w:rsidRDefault="00F460CD" w:rsidP="00E9781B">
      <w:pPr>
        <w:pStyle w:val="Textonotapie"/>
        <w:jc w:val="both"/>
        <w:rPr>
          <w:lang w:val="es-ES"/>
        </w:rPr>
      </w:pPr>
      <w:r w:rsidRPr="00E320CE">
        <w:rPr>
          <w:rStyle w:val="Refdenotaalpie"/>
        </w:rPr>
        <w:footnoteRef/>
      </w:r>
      <w:r w:rsidRPr="00E320CE">
        <w:t xml:space="preserve"> </w:t>
      </w:r>
      <w:r w:rsidRPr="00E320CE">
        <w:rPr>
          <w:lang w:val="es-ES"/>
        </w:rPr>
        <w:t xml:space="preserve">Ibidem. </w:t>
      </w:r>
      <w:r w:rsidR="00E9781B" w:rsidRPr="00E320CE">
        <w:rPr>
          <w:lang w:val="es-ES"/>
        </w:rPr>
        <w:t>Por esa razón, la Corte declaró la ineficacia de la terminación de la relación laboral y ordenó el reintegro de la accionante.</w:t>
      </w:r>
      <w:r w:rsidR="00B53210" w:rsidRPr="00E320CE">
        <w:rPr>
          <w:lang w:val="es-ES"/>
        </w:rPr>
        <w:t xml:space="preserve"> La Corte Constitucional aplicó la misma regla en la Sentencia T-927 de 2010. </w:t>
      </w:r>
    </w:p>
  </w:footnote>
  <w:footnote w:id="143">
    <w:p w14:paraId="5FEE56AA" w14:textId="716C818E" w:rsidR="003F02B1" w:rsidRPr="00E320CE" w:rsidRDefault="003F02B1">
      <w:pPr>
        <w:pStyle w:val="Textonotapie"/>
        <w:rPr>
          <w:lang w:val="es-ES"/>
        </w:rPr>
      </w:pPr>
      <w:r w:rsidRPr="00E320CE">
        <w:rPr>
          <w:rStyle w:val="Refdenotaalpie"/>
        </w:rPr>
        <w:footnoteRef/>
      </w:r>
      <w:r w:rsidRPr="00E320CE">
        <w:t xml:space="preserve"> </w:t>
      </w:r>
      <w:r w:rsidRPr="00E320CE">
        <w:rPr>
          <w:lang w:val="es-ES"/>
        </w:rPr>
        <w:t>Corte Constitucional, Sentencia T-395 de 2001.</w:t>
      </w:r>
    </w:p>
  </w:footnote>
  <w:footnote w:id="144">
    <w:p w14:paraId="69C82A35" w14:textId="29574612" w:rsidR="003F02B1" w:rsidRPr="00E320CE" w:rsidRDefault="003F02B1">
      <w:pPr>
        <w:pStyle w:val="Textonotapie"/>
        <w:rPr>
          <w:lang w:val="es-ES"/>
        </w:rPr>
      </w:pPr>
      <w:r w:rsidRPr="00E320CE">
        <w:rPr>
          <w:rStyle w:val="Refdenotaalpie"/>
        </w:rPr>
        <w:footnoteRef/>
      </w:r>
      <w:r w:rsidRPr="00E320CE">
        <w:t xml:space="preserve"> </w:t>
      </w:r>
      <w:r w:rsidRPr="00E320CE">
        <w:rPr>
          <w:lang w:val="es-ES"/>
        </w:rPr>
        <w:t xml:space="preserve">Ibidem. </w:t>
      </w:r>
    </w:p>
  </w:footnote>
  <w:footnote w:id="145">
    <w:p w14:paraId="1C86FDCE" w14:textId="3A47F568" w:rsidR="003F02B1" w:rsidRPr="00E320CE" w:rsidRDefault="003F02B1">
      <w:pPr>
        <w:pStyle w:val="Textonotapie"/>
        <w:rPr>
          <w:lang w:val="es-ES"/>
        </w:rPr>
      </w:pPr>
      <w:r w:rsidRPr="00E320CE">
        <w:rPr>
          <w:rStyle w:val="Refdenotaalpie"/>
        </w:rPr>
        <w:footnoteRef/>
      </w:r>
      <w:r w:rsidRPr="00E320CE">
        <w:t xml:space="preserve"> </w:t>
      </w:r>
      <w:r w:rsidRPr="00E320CE">
        <w:rPr>
          <w:lang w:val="es-ES"/>
        </w:rPr>
        <w:t xml:space="preserve">Ibidem. </w:t>
      </w:r>
    </w:p>
  </w:footnote>
  <w:footnote w:id="146">
    <w:p w14:paraId="73714781" w14:textId="3D9772C4" w:rsidR="008E2E80" w:rsidRPr="00E320CE" w:rsidRDefault="008E2E80">
      <w:pPr>
        <w:pStyle w:val="Textonotapie"/>
        <w:rPr>
          <w:lang w:val="es-ES"/>
        </w:rPr>
      </w:pPr>
      <w:r w:rsidRPr="00E320CE">
        <w:rPr>
          <w:rStyle w:val="Refdenotaalpie"/>
        </w:rPr>
        <w:footnoteRef/>
      </w:r>
      <w:r w:rsidRPr="00E320CE">
        <w:t xml:space="preserve"> </w:t>
      </w:r>
      <w:r w:rsidRPr="00E320CE">
        <w:rPr>
          <w:lang w:val="es-ES"/>
        </w:rPr>
        <w:t>Corte Constitucional, Sentencia T-287 de 2023.</w:t>
      </w:r>
    </w:p>
  </w:footnote>
  <w:footnote w:id="147">
    <w:p w14:paraId="4ACD181B" w14:textId="4CE5458D" w:rsidR="008E2E80" w:rsidRPr="00E320CE" w:rsidRDefault="008E2E80">
      <w:pPr>
        <w:pStyle w:val="Textonotapie"/>
        <w:rPr>
          <w:lang w:val="es-ES"/>
        </w:rPr>
      </w:pPr>
      <w:r w:rsidRPr="00E320CE">
        <w:rPr>
          <w:rStyle w:val="Refdenotaalpie"/>
        </w:rPr>
        <w:footnoteRef/>
      </w:r>
      <w:r w:rsidRPr="00E320CE">
        <w:t xml:space="preserve"> </w:t>
      </w:r>
      <w:r w:rsidRPr="00E320CE">
        <w:rPr>
          <w:lang w:val="es-ES"/>
        </w:rPr>
        <w:t xml:space="preserve">Ibidem. </w:t>
      </w:r>
    </w:p>
  </w:footnote>
  <w:footnote w:id="148">
    <w:p w14:paraId="3816465E" w14:textId="299B1E07" w:rsidR="008E2E80" w:rsidRPr="00E320CE" w:rsidRDefault="008E2E80">
      <w:pPr>
        <w:pStyle w:val="Textonotapie"/>
        <w:rPr>
          <w:lang w:val="es-ES"/>
        </w:rPr>
      </w:pPr>
      <w:r w:rsidRPr="00E320CE">
        <w:rPr>
          <w:rStyle w:val="Refdenotaalpie"/>
        </w:rPr>
        <w:footnoteRef/>
      </w:r>
      <w:r w:rsidRPr="00E320CE">
        <w:t xml:space="preserve"> </w:t>
      </w:r>
      <w:r w:rsidRPr="00E320CE">
        <w:rPr>
          <w:lang w:val="es-ES"/>
        </w:rPr>
        <w:t>Ibidem.</w:t>
      </w:r>
    </w:p>
  </w:footnote>
  <w:footnote w:id="149">
    <w:p w14:paraId="6CBBBF97" w14:textId="29006142" w:rsidR="008E2E80" w:rsidRPr="00E320CE" w:rsidRDefault="008E2E80">
      <w:pPr>
        <w:pStyle w:val="Textonotapie"/>
        <w:rPr>
          <w:lang w:val="es-ES"/>
        </w:rPr>
      </w:pPr>
      <w:r w:rsidRPr="00E320CE">
        <w:rPr>
          <w:rStyle w:val="Refdenotaalpie"/>
        </w:rPr>
        <w:footnoteRef/>
      </w:r>
      <w:r w:rsidRPr="00E320CE">
        <w:t xml:space="preserve"> </w:t>
      </w:r>
      <w:r w:rsidRPr="00E320CE">
        <w:rPr>
          <w:lang w:val="es-ES"/>
        </w:rPr>
        <w:t xml:space="preserve">Ibidem. La Corte concedió el amparo y ordenó a la Comercializadora de Plásticos </w:t>
      </w:r>
      <w:proofErr w:type="gramStart"/>
      <w:r w:rsidRPr="00E320CE">
        <w:rPr>
          <w:lang w:val="es-ES"/>
        </w:rPr>
        <w:t>Eco Sostenibles</w:t>
      </w:r>
      <w:proofErr w:type="gramEnd"/>
      <w:r w:rsidRPr="00E320CE">
        <w:rPr>
          <w:lang w:val="es-ES"/>
        </w:rPr>
        <w:t xml:space="preserve"> de la Costa S.A.S. a reintegrar a la accionante. </w:t>
      </w:r>
    </w:p>
  </w:footnote>
  <w:footnote w:id="150">
    <w:p w14:paraId="0D52EB62" w14:textId="01191AD7" w:rsidR="00CB79D6" w:rsidRPr="00E320CE" w:rsidRDefault="00CB79D6">
      <w:pPr>
        <w:pStyle w:val="Textonotapie"/>
        <w:rPr>
          <w:lang w:val="es-ES"/>
        </w:rPr>
      </w:pPr>
      <w:r w:rsidRPr="00E320CE">
        <w:rPr>
          <w:rStyle w:val="Refdenotaalpie"/>
        </w:rPr>
        <w:footnoteRef/>
      </w:r>
      <w:r w:rsidRPr="00E320CE">
        <w:t xml:space="preserve"> </w:t>
      </w:r>
      <w:proofErr w:type="spellStart"/>
      <w:r w:rsidRPr="00E320CE">
        <w:rPr>
          <w:lang w:val="es-ES"/>
        </w:rPr>
        <w:t>Contitución</w:t>
      </w:r>
      <w:proofErr w:type="spellEnd"/>
      <w:r w:rsidRPr="00E320CE">
        <w:rPr>
          <w:lang w:val="es-ES"/>
        </w:rPr>
        <w:t xml:space="preserve"> Política de 1991, artículo 53. </w:t>
      </w:r>
    </w:p>
  </w:footnote>
  <w:footnote w:id="151">
    <w:p w14:paraId="218C63F4" w14:textId="10E70190" w:rsidR="00CB79D6" w:rsidRPr="00E320CE" w:rsidRDefault="00CB79D6" w:rsidP="002D48CC">
      <w:pPr>
        <w:pStyle w:val="Textonotapie"/>
        <w:jc w:val="both"/>
        <w:rPr>
          <w:lang w:val="es-ES"/>
        </w:rPr>
      </w:pPr>
      <w:r w:rsidRPr="00E320CE">
        <w:rPr>
          <w:rStyle w:val="Refdenotaalpie"/>
        </w:rPr>
        <w:footnoteRef/>
      </w:r>
      <w:r w:rsidRPr="00E320CE">
        <w:t xml:space="preserve"> </w:t>
      </w:r>
      <w:r w:rsidRPr="00E320CE">
        <w:rPr>
          <w:lang w:val="es-ES"/>
        </w:rPr>
        <w:t xml:space="preserve">Corte Constitucional, Sentencia T-388 de 2020. En este caso, </w:t>
      </w:r>
      <w:r w:rsidR="002D48CC" w:rsidRPr="00E320CE">
        <w:rPr>
          <w:lang w:val="es-ES"/>
        </w:rPr>
        <w:t xml:space="preserve">la Corte estudió la acción de tutela presentada por una auxiliar de enfermería vinculada por medio de un contrato de prestación de servicios a un hospital público que alegaba que unilateralmente fue desvinculada del hospital accionado sin considerar su condición de salud, el hecho de que es madre cabeza de familia y la existencia de un contrato realidad. Esta Corporación probó el cumplimiento de los tres presupuestos indispensables para la existencia de un contrato de trabajo al encontrar que hubo subsidiariedad por la temporalidad de los sucesivos contratos de prestación de servicios y la naturaleza de las funciones. </w:t>
      </w:r>
    </w:p>
  </w:footnote>
  <w:footnote w:id="152">
    <w:p w14:paraId="4BD7F9BA" w14:textId="15AC96E7" w:rsidR="002D48CC" w:rsidRPr="00E320CE" w:rsidRDefault="002D48CC" w:rsidP="002D48CC">
      <w:pPr>
        <w:pStyle w:val="Textonotapie"/>
        <w:jc w:val="both"/>
        <w:rPr>
          <w:lang w:val="es-ES"/>
        </w:rPr>
      </w:pPr>
      <w:r w:rsidRPr="00E320CE">
        <w:rPr>
          <w:rStyle w:val="Refdenotaalpie"/>
        </w:rPr>
        <w:footnoteRef/>
      </w:r>
      <w:r w:rsidRPr="00E320CE">
        <w:t xml:space="preserve"> </w:t>
      </w:r>
      <w:r w:rsidRPr="00E320CE">
        <w:rPr>
          <w:lang w:val="es-ES"/>
        </w:rPr>
        <w:t xml:space="preserve">Corte Constitucional, Sentencia T-329 de 2022. En este caso, la Corte estudió el caso de una mujer en estado de embarazo a quien el municipio de Río Claro no le renovó su contrato de prestación de servicios. Esta Corporación encontró que no había subordinación en la relación entre las partes, por lo que no encontró configurado el contrato realidad. </w:t>
      </w:r>
    </w:p>
  </w:footnote>
  <w:footnote w:id="153">
    <w:p w14:paraId="402D4375" w14:textId="63E7621E" w:rsidR="001C3CC4" w:rsidRPr="00E320CE" w:rsidRDefault="001C3CC4">
      <w:pPr>
        <w:pStyle w:val="Textonotapie"/>
      </w:pPr>
      <w:r w:rsidRPr="00E320CE">
        <w:rPr>
          <w:rStyle w:val="Refdenotaalpie"/>
        </w:rPr>
        <w:footnoteRef/>
      </w:r>
      <w:r w:rsidRPr="00E320CE">
        <w:t xml:space="preserve"> </w:t>
      </w:r>
      <w:r w:rsidRPr="00E320CE">
        <w:rPr>
          <w:color w:val="000000"/>
          <w:shd w:val="clear" w:color="auto" w:fill="FFFFFF"/>
        </w:rPr>
        <w:t>Ibidem.</w:t>
      </w:r>
    </w:p>
  </w:footnote>
  <w:footnote w:id="154">
    <w:p w14:paraId="2008887B" w14:textId="7A5B2BCD" w:rsidR="001C3CC4" w:rsidRPr="00E320CE" w:rsidRDefault="001C3CC4">
      <w:pPr>
        <w:pStyle w:val="Textonotapie"/>
      </w:pPr>
      <w:r w:rsidRPr="00E320CE">
        <w:rPr>
          <w:rStyle w:val="Refdenotaalpie"/>
        </w:rPr>
        <w:footnoteRef/>
      </w:r>
      <w:r w:rsidRPr="00E320CE">
        <w:t xml:space="preserve"> Ibidem. </w:t>
      </w:r>
    </w:p>
  </w:footnote>
  <w:footnote w:id="155">
    <w:p w14:paraId="25A78260" w14:textId="671AC08F" w:rsidR="00222818" w:rsidRPr="00E320CE" w:rsidRDefault="00222818">
      <w:pPr>
        <w:pStyle w:val="Textonotapie"/>
        <w:rPr>
          <w:lang w:val="es-ES"/>
        </w:rPr>
      </w:pPr>
      <w:r w:rsidRPr="00E320CE">
        <w:rPr>
          <w:rStyle w:val="Refdenotaalpie"/>
        </w:rPr>
        <w:footnoteRef/>
      </w:r>
      <w:r w:rsidRPr="00E320CE">
        <w:t xml:space="preserve"> </w:t>
      </w:r>
      <w:r w:rsidRPr="00E320CE">
        <w:rPr>
          <w:lang w:val="es-ES"/>
        </w:rPr>
        <w:t xml:space="preserve">Corte Constitucional, sentencias SU-448 de 2016, T-392 de 2017 y T-329 de 2022- </w:t>
      </w:r>
    </w:p>
  </w:footnote>
  <w:footnote w:id="156">
    <w:p w14:paraId="41AA1D7A" w14:textId="77DEF33C" w:rsidR="00012A87" w:rsidRPr="00E320CE" w:rsidRDefault="00012A87" w:rsidP="00012A87">
      <w:pPr>
        <w:pStyle w:val="Textonotapie"/>
        <w:jc w:val="both"/>
      </w:pPr>
      <w:r w:rsidRPr="00E320CE">
        <w:rPr>
          <w:rStyle w:val="Refdenotaalpie"/>
        </w:rPr>
        <w:footnoteRef/>
      </w:r>
      <w:r w:rsidRPr="00E320CE">
        <w:t xml:space="preserve"> Organización Internacional del Trabajo, Recomendación sobre la relación de trabajo, número 198, (2006) recomendación número 13.</w:t>
      </w:r>
      <w:r w:rsidR="001C3CC4" w:rsidRPr="00E320CE">
        <w:t xml:space="preserve"> Esos mismos elementos han sido </w:t>
      </w:r>
      <w:proofErr w:type="gramStart"/>
      <w:r w:rsidR="001C3CC4" w:rsidRPr="00E320CE">
        <w:t>reiterado</w:t>
      </w:r>
      <w:proofErr w:type="gramEnd"/>
      <w:r w:rsidR="001C3CC4" w:rsidRPr="00E320CE">
        <w:t xml:space="preserve"> por la Corte. Por ejemplo, en la Sentencia T-366 de 2023, indicó que debe analizarse “</w:t>
      </w:r>
      <w:r w:rsidR="001C3CC4" w:rsidRPr="00E320CE">
        <w:rPr>
          <w:lang w:val="es-CO"/>
        </w:rPr>
        <w:t>si el trabajador debe cumplir con un horario impuesto por el empleador o si la función ejercida tiene naturaleza de permanencia por ser propia del giro ordinario de los negocios que desarrolla la empresa o si se le aplica el reglamento interno de trabajo”.</w:t>
      </w:r>
      <w:r w:rsidR="00D3417B" w:rsidRPr="00E320CE">
        <w:rPr>
          <w:lang w:val="es-CO"/>
        </w:rPr>
        <w:t xml:space="preserve"> También, la temporalidad del contrato, pues “en caso de que se demuestre que la relación contractual perduró por un tiempo considerable, bien sea a través de un solo contrato o a través de sucesivos contratos continuos, es posible deducir la existencia de un verdadero vínculo laboral”.</w:t>
      </w:r>
    </w:p>
  </w:footnote>
  <w:footnote w:id="157">
    <w:p w14:paraId="54AD4C48" w14:textId="650E5B55" w:rsidR="00781583" w:rsidRPr="00E320CE" w:rsidRDefault="00781583" w:rsidP="005E25DD">
      <w:pPr>
        <w:pStyle w:val="Textonotapie"/>
        <w:jc w:val="both"/>
        <w:rPr>
          <w:lang w:val="es-ES"/>
        </w:rPr>
      </w:pPr>
      <w:r w:rsidRPr="00E320CE">
        <w:rPr>
          <w:rStyle w:val="Refdenotaalpie"/>
        </w:rPr>
        <w:footnoteRef/>
      </w:r>
      <w:r w:rsidRPr="00E320CE">
        <w:t xml:space="preserve"> </w:t>
      </w:r>
      <w:r w:rsidRPr="00E320CE">
        <w:rPr>
          <w:lang w:val="es-ES"/>
        </w:rPr>
        <w:t xml:space="preserve">Corte Constitucional, </w:t>
      </w:r>
      <w:r w:rsidR="007E64F3" w:rsidRPr="00E320CE">
        <w:rPr>
          <w:lang w:val="es-ES"/>
        </w:rPr>
        <w:t>sentencias</w:t>
      </w:r>
      <w:r w:rsidR="008D32EF" w:rsidRPr="00E320CE">
        <w:rPr>
          <w:lang w:val="es-ES"/>
        </w:rPr>
        <w:t xml:space="preserve"> </w:t>
      </w:r>
      <w:r w:rsidR="008D32EF" w:rsidRPr="00E320CE">
        <w:t>T-366 de 2023,</w:t>
      </w:r>
      <w:r w:rsidRPr="00E320CE">
        <w:rPr>
          <w:lang w:val="es-ES"/>
        </w:rPr>
        <w:t xml:space="preserve"> T-388 de 2020</w:t>
      </w:r>
      <w:r w:rsidR="007E64F3" w:rsidRPr="00E320CE">
        <w:rPr>
          <w:lang w:val="es-ES"/>
        </w:rPr>
        <w:t xml:space="preserve"> y T-029 de 2016</w:t>
      </w:r>
      <w:r w:rsidRPr="00E320CE">
        <w:rPr>
          <w:lang w:val="es-ES"/>
        </w:rPr>
        <w:t>.</w:t>
      </w:r>
      <w:r w:rsidR="007E64F3" w:rsidRPr="00E320CE">
        <w:rPr>
          <w:lang w:val="es-ES"/>
        </w:rPr>
        <w:t xml:space="preserve"> En la segunda providencia, la Corte estudió una relación contractual que se dio entre el 2008 y el 2014 a través de sucesivos contratos </w:t>
      </w:r>
      <w:r w:rsidR="005E25DD" w:rsidRPr="00E320CE">
        <w:rPr>
          <w:lang w:val="es-ES"/>
        </w:rPr>
        <w:t xml:space="preserve">de trabajo de obra o labor inferiores a un año. </w:t>
      </w:r>
    </w:p>
  </w:footnote>
  <w:footnote w:id="158">
    <w:p w14:paraId="24408FCD" w14:textId="5FF8BB3F" w:rsidR="007E64F3" w:rsidRPr="00E320CE" w:rsidRDefault="007E64F3">
      <w:pPr>
        <w:pStyle w:val="Textonotapie"/>
        <w:rPr>
          <w:lang w:val="es-ES"/>
        </w:rPr>
      </w:pPr>
      <w:r w:rsidRPr="00E320CE">
        <w:rPr>
          <w:rStyle w:val="Refdenotaalpie"/>
        </w:rPr>
        <w:footnoteRef/>
      </w:r>
      <w:r w:rsidRPr="00E320CE">
        <w:t xml:space="preserve"> Ibidem. </w:t>
      </w:r>
    </w:p>
  </w:footnote>
  <w:footnote w:id="159">
    <w:p w14:paraId="68797382" w14:textId="1B408DFD" w:rsidR="00C123A9" w:rsidRPr="00E320CE" w:rsidRDefault="00C123A9" w:rsidP="00E910BD">
      <w:pPr>
        <w:pStyle w:val="Textonotapie"/>
        <w:jc w:val="both"/>
        <w:rPr>
          <w:lang w:val="es-ES"/>
        </w:rPr>
      </w:pPr>
      <w:r w:rsidRPr="00E320CE">
        <w:rPr>
          <w:rStyle w:val="Refdenotaalpie"/>
        </w:rPr>
        <w:footnoteRef/>
      </w:r>
      <w:r w:rsidRPr="00E320CE">
        <w:t xml:space="preserve"> </w:t>
      </w:r>
      <w:r w:rsidRPr="00E320CE">
        <w:rPr>
          <w:lang w:val="es-ES"/>
        </w:rPr>
        <w:t xml:space="preserve">Corte Constitucional, </w:t>
      </w:r>
      <w:r w:rsidR="009348DD" w:rsidRPr="00E320CE">
        <w:rPr>
          <w:lang w:val="es-ES"/>
        </w:rPr>
        <w:t>sentencias</w:t>
      </w:r>
      <w:r w:rsidRPr="00E320CE">
        <w:rPr>
          <w:lang w:val="es-ES"/>
        </w:rPr>
        <w:t xml:space="preserve"> </w:t>
      </w:r>
      <w:r w:rsidR="009348DD" w:rsidRPr="00E320CE">
        <w:rPr>
          <w:lang w:val="es-ES"/>
        </w:rPr>
        <w:t xml:space="preserve">T-388 de 2020 y </w:t>
      </w:r>
      <w:r w:rsidRPr="00E320CE">
        <w:rPr>
          <w:lang w:val="es-ES"/>
        </w:rPr>
        <w:t xml:space="preserve">T-366 de 2023. En este </w:t>
      </w:r>
      <w:r w:rsidR="009348DD" w:rsidRPr="00E320CE">
        <w:rPr>
          <w:lang w:val="es-ES"/>
        </w:rPr>
        <w:t xml:space="preserve">último </w:t>
      </w:r>
      <w:r w:rsidRPr="00E320CE">
        <w:rPr>
          <w:lang w:val="es-ES"/>
        </w:rPr>
        <w:t xml:space="preserve">caso, la Corte </w:t>
      </w:r>
      <w:r w:rsidR="00E910BD" w:rsidRPr="00E320CE">
        <w:rPr>
          <w:lang w:val="es-ES"/>
        </w:rPr>
        <w:t>estudió una acción de tutela contra providencia judicial en la que el tribunal accionado no declaró probada la existencia de un contrato laboral entre la accionante–como auxiliar de enfermería–y el Hospital Militar Central. Esta Corporación amparó los derechos de la demandante debido a que, entre otros, la sentencia cuestionada se apartó de la jurisprudencia constitucional relacionada con las presunciones de subordinación y la inversión de la carga de la prueba en los casos en los que se discute una relación laboral entre un auxiliar de enfermería y una entidad pública prestadora del servicio de salud”.</w:t>
      </w:r>
    </w:p>
  </w:footnote>
  <w:footnote w:id="160">
    <w:p w14:paraId="607F3EB9" w14:textId="38AAD018" w:rsidR="00810000" w:rsidRPr="00E320CE" w:rsidRDefault="00810000">
      <w:pPr>
        <w:pStyle w:val="Textonotapie"/>
        <w:rPr>
          <w:lang w:val="es-ES"/>
        </w:rPr>
      </w:pPr>
      <w:r w:rsidRPr="00E320CE">
        <w:rPr>
          <w:rStyle w:val="Refdenotaalpie"/>
        </w:rPr>
        <w:footnoteRef/>
      </w:r>
      <w:r w:rsidRPr="00E320CE">
        <w:t xml:space="preserve"> </w:t>
      </w:r>
      <w:r w:rsidR="009348DD" w:rsidRPr="00E320CE">
        <w:rPr>
          <w:lang w:val="es-ES"/>
        </w:rPr>
        <w:t>Corte Constitucional, Sentencias T-366 de 2023</w:t>
      </w:r>
      <w:r w:rsidRPr="00E320CE">
        <w:rPr>
          <w:lang w:val="es-ES"/>
        </w:rPr>
        <w:t>.</w:t>
      </w:r>
    </w:p>
  </w:footnote>
  <w:footnote w:id="161">
    <w:p w14:paraId="261F82E8" w14:textId="4B3A5052" w:rsidR="001C3CC4" w:rsidRPr="00E320CE" w:rsidRDefault="001C3CC4">
      <w:pPr>
        <w:pStyle w:val="Textonotapie"/>
        <w:rPr>
          <w:lang w:val="es-ES"/>
        </w:rPr>
      </w:pPr>
      <w:r w:rsidRPr="00E320CE">
        <w:rPr>
          <w:rStyle w:val="Refdenotaalpie"/>
        </w:rPr>
        <w:footnoteRef/>
      </w:r>
      <w:r w:rsidRPr="00E320CE">
        <w:t xml:space="preserve"> </w:t>
      </w:r>
      <w:r w:rsidRPr="00E320CE">
        <w:rPr>
          <w:lang w:val="es-ES"/>
        </w:rPr>
        <w:t xml:space="preserve">Ibidem. </w:t>
      </w:r>
    </w:p>
  </w:footnote>
  <w:footnote w:id="162">
    <w:p w14:paraId="6C480109" w14:textId="29758BB8" w:rsidR="00786B4B" w:rsidRPr="00E320CE" w:rsidRDefault="00786B4B" w:rsidP="00786B4B">
      <w:pPr>
        <w:pStyle w:val="Textonotapie"/>
        <w:jc w:val="both"/>
        <w:rPr>
          <w:lang w:val="es-ES"/>
        </w:rPr>
      </w:pPr>
      <w:r w:rsidRPr="00E320CE">
        <w:rPr>
          <w:rStyle w:val="Refdenotaalpie"/>
        </w:rPr>
        <w:footnoteRef/>
      </w:r>
      <w:r w:rsidRPr="00E320CE">
        <w:t xml:space="preserve"> </w:t>
      </w:r>
      <w:r w:rsidRPr="00E320CE">
        <w:rPr>
          <w:lang w:val="es-ES"/>
        </w:rPr>
        <w:t xml:space="preserve">Expediente digital T-10.635.581. Documento “PROBATORIO  </w:t>
      </w:r>
      <w:r w:rsidR="00E32299">
        <w:rPr>
          <w:i/>
          <w:iCs/>
          <w:lang w:val="es-ES"/>
        </w:rPr>
        <w:t xml:space="preserve">GRETA </w:t>
      </w:r>
      <w:r w:rsidRPr="00E320CE">
        <w:rPr>
          <w:lang w:val="es-ES"/>
        </w:rPr>
        <w:t>_</w:t>
      </w:r>
      <w:proofErr w:type="spellStart"/>
      <w:r w:rsidRPr="00E320CE">
        <w:rPr>
          <w:lang w:val="es-ES"/>
        </w:rPr>
        <w:t>compressed</w:t>
      </w:r>
      <w:proofErr w:type="spellEnd"/>
      <w:r w:rsidRPr="00E320CE">
        <w:rPr>
          <w:lang w:val="es-ES"/>
        </w:rPr>
        <w:t xml:space="preserve"> (1).</w:t>
      </w:r>
      <w:proofErr w:type="spellStart"/>
      <w:r w:rsidRPr="00E320CE">
        <w:rPr>
          <w:lang w:val="es-ES"/>
        </w:rPr>
        <w:t>pdf</w:t>
      </w:r>
      <w:proofErr w:type="spellEnd"/>
      <w:r w:rsidRPr="00E320CE">
        <w:rPr>
          <w:lang w:val="es-ES"/>
        </w:rPr>
        <w:t>”, p. 313, 316, 334, 363, 369, 387, 407, 410, 414, 415, 437, 455 y 462. Del 4 de enero de 2022 al 3 de abril de 2022; del 4 de abril de 2022 al 31 de julio de 2022; del 1 de diciembre de 2022 al 31 de diciembre de 2022; del 1 de enero de 2023 al 12 de febrero de 2023; del 13 de febrero de 2023 al 1 de mayo de 2023, el cual fue prorrogado hasta el 31 de mayo de 2023 y luego hasta el 30 de junio de 2023; del 1 de julio de 2023 al 30 de septiembre de 2023, prorrogado hasta el 31 de diciembre de 2023; del 1 de enero de 2024 al 31 de marzo de 2024; del 1 de mayo de 2024 al 31 de mayo de 2024; entre otros. Es decir, celebraron al menos 7 contratos de prestación de servicios.</w:t>
      </w:r>
    </w:p>
  </w:footnote>
  <w:footnote w:id="163">
    <w:p w14:paraId="52230475" w14:textId="670E7439" w:rsidR="006971C5" w:rsidRPr="00E320CE" w:rsidRDefault="006971C5">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p. 323 y 324.</w:t>
      </w:r>
      <w:r w:rsidR="00BE0E26" w:rsidRPr="00E320CE">
        <w:rPr>
          <w:lang w:val="es-ES"/>
        </w:rPr>
        <w:t xml:space="preserve"> Funciones consignadas en el otrosí al contrato de prestación de servicios. </w:t>
      </w:r>
    </w:p>
  </w:footnote>
  <w:footnote w:id="164">
    <w:p w14:paraId="5616901C" w14:textId="152AABD2" w:rsidR="006971C5" w:rsidRPr="00E320CE" w:rsidRDefault="006971C5">
      <w:pPr>
        <w:pStyle w:val="Textonotapie"/>
        <w:rPr>
          <w:lang w:val="es-ES"/>
        </w:rPr>
      </w:pPr>
      <w:r w:rsidRPr="00E320CE">
        <w:rPr>
          <w:rStyle w:val="Refdenotaalpie"/>
        </w:rPr>
        <w:footnoteRef/>
      </w:r>
      <w:r w:rsidRPr="00E320CE">
        <w:t xml:space="preserve"> </w:t>
      </w:r>
      <w:proofErr w:type="spellStart"/>
      <w:r w:rsidRPr="00E320CE">
        <w:rPr>
          <w:lang w:val="es-CO"/>
        </w:rPr>
        <w:t>Ibid</w:t>
      </w:r>
      <w:proofErr w:type="spellEnd"/>
      <w:r w:rsidRPr="00E320CE">
        <w:rPr>
          <w:lang w:val="es-CO"/>
        </w:rPr>
        <w:t>, p. 329, 475 a 483, y 535 a 542.</w:t>
      </w:r>
    </w:p>
  </w:footnote>
  <w:footnote w:id="165">
    <w:p w14:paraId="4F440888" w14:textId="00081B62" w:rsidR="00810AC0" w:rsidRPr="00E320CE" w:rsidRDefault="00810AC0" w:rsidP="00810AC0">
      <w:pPr>
        <w:pStyle w:val="Textonotapie"/>
        <w:jc w:val="both"/>
        <w:rPr>
          <w:lang w:val="es-ES"/>
        </w:rPr>
      </w:pPr>
      <w:r w:rsidRPr="00E320CE">
        <w:rPr>
          <w:rStyle w:val="Refdenotaalpie"/>
        </w:rPr>
        <w:footnoteRef/>
      </w:r>
      <w:r w:rsidRPr="00E320CE">
        <w:t xml:space="preserve"> </w:t>
      </w:r>
      <w:r w:rsidRPr="00E320CE">
        <w:rPr>
          <w:lang w:val="es-ES"/>
        </w:rPr>
        <w:t xml:space="preserve">Corte Constitucional, sentencias T-388 de 2020 y T-366 de 2023. </w:t>
      </w:r>
    </w:p>
  </w:footnote>
  <w:footnote w:id="166">
    <w:p w14:paraId="0247D62E" w14:textId="13AFFE92" w:rsidR="0071641E" w:rsidRPr="00E320CE" w:rsidRDefault="0071641E">
      <w:pPr>
        <w:pStyle w:val="Textonotapie"/>
      </w:pPr>
      <w:r w:rsidRPr="00E320CE">
        <w:rPr>
          <w:rStyle w:val="Refdenotaalpie"/>
        </w:rPr>
        <w:footnoteRef/>
      </w:r>
      <w:r w:rsidRPr="00E320CE">
        <w:t xml:space="preserve"> Ver nota al pie 147.</w:t>
      </w:r>
    </w:p>
  </w:footnote>
  <w:footnote w:id="167">
    <w:p w14:paraId="23BD63EE" w14:textId="46649EFF" w:rsidR="009F39F7" w:rsidRPr="00E320CE" w:rsidRDefault="009F39F7" w:rsidP="00C4351B">
      <w:pPr>
        <w:pStyle w:val="Textonotapie"/>
        <w:jc w:val="both"/>
        <w:rPr>
          <w:lang w:val="es-ES"/>
        </w:rPr>
      </w:pPr>
      <w:r w:rsidRPr="00E320CE">
        <w:rPr>
          <w:rStyle w:val="Refdenotaalpie"/>
        </w:rPr>
        <w:footnoteRef/>
      </w:r>
      <w:r w:rsidRPr="00E320CE">
        <w:t xml:space="preserve"> </w:t>
      </w:r>
      <w:r w:rsidR="00941FDE" w:rsidRPr="00E320CE">
        <w:t xml:space="preserve"> De acuerdo con los contratos de prestación de servicios, la actora apoyó bajo supervisión al personal médico en la recolección de los datos termométricos, ayudó con la administración de medicamentos por indicación del jefe de enfermería, trasladó las comunicaciones, documentos, correspondencia u objetos que le fueron confiados por sus superiores, realizó informes semanales a Salud Integral sobre el desarrollo de sus actividades, entre otros </w:t>
      </w:r>
      <w:r w:rsidRPr="00E320CE">
        <w:rPr>
          <w:lang w:val="es-ES"/>
        </w:rPr>
        <w:t xml:space="preserve">Expediente digital T-10.635.581. Documento “PROBATORIO </w:t>
      </w:r>
      <w:r w:rsidR="00E32299">
        <w:rPr>
          <w:i/>
          <w:iCs/>
          <w:lang w:val="es-ES"/>
        </w:rPr>
        <w:t xml:space="preserve">GRETA </w:t>
      </w:r>
      <w:r w:rsidRPr="00E320CE">
        <w:rPr>
          <w:lang w:val="es-ES"/>
        </w:rPr>
        <w:t>_</w:t>
      </w:r>
      <w:proofErr w:type="spellStart"/>
      <w:r w:rsidRPr="00E320CE">
        <w:rPr>
          <w:lang w:val="es-ES"/>
        </w:rPr>
        <w:t>compressed</w:t>
      </w:r>
      <w:proofErr w:type="spellEnd"/>
      <w:r w:rsidRPr="00E320CE">
        <w:rPr>
          <w:lang w:val="es-ES"/>
        </w:rPr>
        <w:t xml:space="preserve"> (1).</w:t>
      </w:r>
      <w:proofErr w:type="spellStart"/>
      <w:r w:rsidRPr="00E320CE">
        <w:rPr>
          <w:lang w:val="es-ES"/>
        </w:rPr>
        <w:t>pdf</w:t>
      </w:r>
      <w:proofErr w:type="spellEnd"/>
      <w:r w:rsidRPr="00E320CE">
        <w:rPr>
          <w:lang w:val="es-ES"/>
        </w:rPr>
        <w:t>”, p. 323 y 324.</w:t>
      </w:r>
    </w:p>
  </w:footnote>
  <w:footnote w:id="168">
    <w:p w14:paraId="59EE453B" w14:textId="71BF252D" w:rsidR="00D97257" w:rsidRPr="00E320CE" w:rsidRDefault="00D97257">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p. 329.</w:t>
      </w:r>
    </w:p>
  </w:footnote>
  <w:footnote w:id="169">
    <w:p w14:paraId="613E229B" w14:textId="776CE12B" w:rsidR="00D97257" w:rsidRPr="00E320CE" w:rsidRDefault="00D97257">
      <w:pPr>
        <w:pStyle w:val="Textonotapie"/>
        <w:rPr>
          <w:lang w:val="es-ES"/>
        </w:rPr>
      </w:pPr>
      <w:r w:rsidRPr="00E320CE">
        <w:rPr>
          <w:rStyle w:val="Refdenotaalpie"/>
        </w:rPr>
        <w:footnoteRef/>
      </w:r>
      <w:r w:rsidRPr="00E320CE">
        <w:t xml:space="preserve"> </w:t>
      </w:r>
      <w:proofErr w:type="spellStart"/>
      <w:r w:rsidRPr="00E320CE">
        <w:t>Ibid</w:t>
      </w:r>
      <w:proofErr w:type="spellEnd"/>
      <w:r w:rsidRPr="00E320CE">
        <w:t xml:space="preserve">, p. </w:t>
      </w:r>
      <w:r w:rsidRPr="00E320CE">
        <w:rPr>
          <w:lang w:val="es-CO"/>
        </w:rPr>
        <w:t>475 a 483, y 535 a 542.</w:t>
      </w:r>
    </w:p>
  </w:footnote>
  <w:footnote w:id="170">
    <w:p w14:paraId="79F3C1A6" w14:textId="5B28B6C4" w:rsidR="00FE066E" w:rsidRPr="00E320CE" w:rsidRDefault="00FE066E">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p. 323 y 324.</w:t>
      </w:r>
    </w:p>
  </w:footnote>
  <w:footnote w:id="171">
    <w:p w14:paraId="32E7D8ED" w14:textId="4B908466" w:rsidR="00E95171" w:rsidRPr="00E320CE" w:rsidRDefault="00E95171">
      <w:pPr>
        <w:pStyle w:val="Textonotapie"/>
        <w:rPr>
          <w:lang w:val="es-ES"/>
        </w:rPr>
      </w:pPr>
      <w:r w:rsidRPr="00E320CE">
        <w:rPr>
          <w:rStyle w:val="Refdenotaalpie"/>
        </w:rPr>
        <w:footnoteRef/>
      </w:r>
      <w:r w:rsidRPr="00E320CE">
        <w:t xml:space="preserve"> </w:t>
      </w:r>
      <w:r w:rsidRPr="00E320CE">
        <w:rPr>
          <w:lang w:val="es-ES"/>
        </w:rPr>
        <w:t>Expediente digital T-10.635.581. Documento “Procesos_1_01DEMANDA.pdf”, p. 2 y 76.</w:t>
      </w:r>
    </w:p>
  </w:footnote>
  <w:footnote w:id="172">
    <w:p w14:paraId="5EFBCAD1" w14:textId="1BBD198E" w:rsidR="00CB0509" w:rsidRPr="00E320CE" w:rsidRDefault="00CB0509">
      <w:pPr>
        <w:pStyle w:val="Textonotapie"/>
        <w:rPr>
          <w:lang w:val="es-ES"/>
        </w:rPr>
      </w:pPr>
      <w:r w:rsidRPr="00E320CE">
        <w:rPr>
          <w:rStyle w:val="Refdenotaalpie"/>
        </w:rPr>
        <w:footnoteRef/>
      </w:r>
      <w:r w:rsidRPr="00E320CE">
        <w:t xml:space="preserve"> </w:t>
      </w:r>
      <w:r w:rsidRPr="00E320CE">
        <w:rPr>
          <w:lang w:val="es-ES"/>
        </w:rPr>
        <w:t xml:space="preserve">Expediente digital T-10.635.581. Documento “PROBATORIO </w:t>
      </w:r>
      <w:r w:rsidR="00E32299">
        <w:rPr>
          <w:i/>
          <w:iCs/>
          <w:lang w:val="es-ES"/>
        </w:rPr>
        <w:t xml:space="preserve">GRETA </w:t>
      </w:r>
      <w:r w:rsidRPr="00E320CE">
        <w:rPr>
          <w:lang w:val="es-ES"/>
        </w:rPr>
        <w:t>_</w:t>
      </w:r>
      <w:proofErr w:type="spellStart"/>
      <w:r w:rsidRPr="00E320CE">
        <w:rPr>
          <w:lang w:val="es-ES"/>
        </w:rPr>
        <w:t>compressed</w:t>
      </w:r>
      <w:proofErr w:type="spellEnd"/>
      <w:r w:rsidRPr="00E320CE">
        <w:rPr>
          <w:lang w:val="es-ES"/>
        </w:rPr>
        <w:t xml:space="preserve"> (1).</w:t>
      </w:r>
      <w:proofErr w:type="spellStart"/>
      <w:r w:rsidRPr="00E320CE">
        <w:rPr>
          <w:lang w:val="es-ES"/>
        </w:rPr>
        <w:t>pdf</w:t>
      </w:r>
      <w:proofErr w:type="spellEnd"/>
      <w:r w:rsidRPr="00E320CE">
        <w:rPr>
          <w:lang w:val="es-ES"/>
        </w:rPr>
        <w:t xml:space="preserve">”, p. 556. </w:t>
      </w:r>
    </w:p>
  </w:footnote>
  <w:footnote w:id="173">
    <w:p w14:paraId="63865442" w14:textId="3A8ABFEE" w:rsidR="00E95171" w:rsidRPr="00E320CE" w:rsidRDefault="00E95171" w:rsidP="00E95171">
      <w:pPr>
        <w:pStyle w:val="Textonotapie"/>
        <w:rPr>
          <w:lang w:val="es-ES"/>
        </w:rPr>
      </w:pPr>
      <w:r w:rsidRPr="00E320CE">
        <w:rPr>
          <w:rStyle w:val="Refdenotaalpie"/>
        </w:rPr>
        <w:footnoteRef/>
      </w:r>
      <w:r w:rsidRPr="00E320CE">
        <w:t xml:space="preserve"> </w:t>
      </w:r>
      <w:r w:rsidR="00CB0509" w:rsidRPr="00E320CE">
        <w:rPr>
          <w:lang w:val="es-ES"/>
        </w:rPr>
        <w:t>Expediente digital T-10.635.581. Documento “Procesos_1_01DEMANDA.pdf”</w:t>
      </w:r>
      <w:r w:rsidRPr="00E320CE">
        <w:t>, p. 2, 84, 86 y 91.</w:t>
      </w:r>
    </w:p>
  </w:footnote>
  <w:footnote w:id="174">
    <w:p w14:paraId="0E352E16" w14:textId="5E110EBD" w:rsidR="00E95171" w:rsidRPr="00E320CE" w:rsidRDefault="00E95171" w:rsidP="00E9517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7</w:t>
      </w:r>
      <w:r w:rsidR="004B1F1C" w:rsidRPr="00E320CE">
        <w:rPr>
          <w:lang w:val="es-CO"/>
        </w:rPr>
        <w:t>1</w:t>
      </w:r>
      <w:r w:rsidRPr="00E320CE">
        <w:rPr>
          <w:lang w:val="es-CO"/>
        </w:rPr>
        <w:t>.</w:t>
      </w:r>
    </w:p>
  </w:footnote>
  <w:footnote w:id="175">
    <w:p w14:paraId="662A1F5F" w14:textId="77777777" w:rsidR="00E95171" w:rsidRPr="00E320CE" w:rsidRDefault="00E95171" w:rsidP="00E95171">
      <w:pPr>
        <w:pStyle w:val="Textonotapie"/>
        <w:rPr>
          <w:lang w:val="es-CO"/>
        </w:rPr>
      </w:pPr>
      <w:r w:rsidRPr="00E320CE">
        <w:rPr>
          <w:rStyle w:val="Refdenotaalpie"/>
        </w:rPr>
        <w:footnoteRef/>
      </w:r>
      <w:r w:rsidRPr="00E320CE">
        <w:rPr>
          <w:lang w:val="es-CO"/>
        </w:rPr>
        <w:t xml:space="preserve"> </w:t>
      </w:r>
      <w:proofErr w:type="spellStart"/>
      <w:r w:rsidRPr="00E320CE">
        <w:rPr>
          <w:lang w:val="es-CO"/>
        </w:rPr>
        <w:t>Ibid</w:t>
      </w:r>
      <w:proofErr w:type="spellEnd"/>
      <w:r w:rsidRPr="00E320CE">
        <w:rPr>
          <w:lang w:val="es-CO"/>
        </w:rPr>
        <w:t>, p. 72.</w:t>
      </w:r>
    </w:p>
  </w:footnote>
  <w:footnote w:id="176">
    <w:p w14:paraId="4B664FE7" w14:textId="6C54F765" w:rsidR="00CB0509" w:rsidRPr="00E320CE" w:rsidRDefault="00CB0509" w:rsidP="00B4175D">
      <w:pPr>
        <w:pStyle w:val="Textonotapie"/>
        <w:jc w:val="both"/>
        <w:rPr>
          <w:lang w:val="es-ES"/>
        </w:rPr>
      </w:pPr>
      <w:r w:rsidRPr="00E320CE">
        <w:rPr>
          <w:rStyle w:val="Refdenotaalpie"/>
        </w:rPr>
        <w:footnoteRef/>
      </w:r>
      <w:r w:rsidRPr="00E320CE">
        <w:t xml:space="preserve"> </w:t>
      </w:r>
      <w:r w:rsidRPr="00E320CE">
        <w:rPr>
          <w:lang w:val="es-ES"/>
        </w:rPr>
        <w:t xml:space="preserve">Expediente digital T-10.635.581. Documento “PROBATORIO </w:t>
      </w:r>
      <w:r w:rsidR="00E32299">
        <w:rPr>
          <w:i/>
          <w:iCs/>
          <w:lang w:val="es-ES"/>
        </w:rPr>
        <w:t xml:space="preserve">GRETA </w:t>
      </w:r>
      <w:r w:rsidRPr="00E320CE">
        <w:rPr>
          <w:lang w:val="es-ES"/>
        </w:rPr>
        <w:t>_</w:t>
      </w:r>
      <w:proofErr w:type="spellStart"/>
      <w:r w:rsidRPr="00E320CE">
        <w:rPr>
          <w:lang w:val="es-ES"/>
        </w:rPr>
        <w:t>compressed</w:t>
      </w:r>
      <w:proofErr w:type="spellEnd"/>
      <w:r w:rsidRPr="00E320CE">
        <w:rPr>
          <w:lang w:val="es-ES"/>
        </w:rPr>
        <w:t xml:space="preserve"> (1).</w:t>
      </w:r>
      <w:proofErr w:type="spellStart"/>
      <w:r w:rsidRPr="00E320CE">
        <w:rPr>
          <w:lang w:val="es-ES"/>
        </w:rPr>
        <w:t>pdf</w:t>
      </w:r>
      <w:proofErr w:type="spellEnd"/>
      <w:r w:rsidRPr="00E320CE">
        <w:rPr>
          <w:lang w:val="es-ES"/>
        </w:rPr>
        <w:t>”, p. 1 y 286.</w:t>
      </w:r>
    </w:p>
  </w:footnote>
  <w:footnote w:id="177">
    <w:p w14:paraId="4E5CD250" w14:textId="5084C940" w:rsidR="00B4175D" w:rsidRPr="00E320CE" w:rsidRDefault="00B4175D">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p. 1.</w:t>
      </w:r>
    </w:p>
  </w:footnote>
  <w:footnote w:id="178">
    <w:p w14:paraId="294868A1" w14:textId="659F30AF" w:rsidR="00B4175D" w:rsidRPr="00E320CE" w:rsidRDefault="00B4175D">
      <w:pPr>
        <w:pStyle w:val="Textonotapie"/>
        <w:rPr>
          <w:lang w:val="es-ES"/>
        </w:rPr>
      </w:pPr>
      <w:r w:rsidRPr="00E320CE">
        <w:rPr>
          <w:rStyle w:val="Refdenotaalpie"/>
        </w:rPr>
        <w:footnoteRef/>
      </w:r>
      <w:r w:rsidRPr="00E320CE">
        <w:t xml:space="preserve"> </w:t>
      </w:r>
      <w:proofErr w:type="spellStart"/>
      <w:r w:rsidRPr="00E320CE">
        <w:rPr>
          <w:lang w:val="es-CO"/>
        </w:rPr>
        <w:t>Ibid</w:t>
      </w:r>
      <w:proofErr w:type="spellEnd"/>
      <w:r w:rsidRPr="00E320CE">
        <w:rPr>
          <w:lang w:val="es-CO"/>
        </w:rPr>
        <w:t>, p. 1 68, 74, 75, 288 y 557.</w:t>
      </w:r>
    </w:p>
  </w:footnote>
  <w:footnote w:id="179">
    <w:p w14:paraId="5135E9F8" w14:textId="5671979E" w:rsidR="00B4175D" w:rsidRPr="00E320CE" w:rsidRDefault="00B4175D">
      <w:pPr>
        <w:pStyle w:val="Textonotapie"/>
        <w:rPr>
          <w:lang w:val="es-ES"/>
        </w:rPr>
      </w:pPr>
      <w:r w:rsidRPr="00E320CE">
        <w:rPr>
          <w:rStyle w:val="Refdenotaalpie"/>
        </w:rPr>
        <w:footnoteRef/>
      </w:r>
      <w:r w:rsidRPr="00E320CE">
        <w:t xml:space="preserve"> </w:t>
      </w:r>
      <w:proofErr w:type="spellStart"/>
      <w:r w:rsidRPr="00E320CE">
        <w:t>Ibid</w:t>
      </w:r>
      <w:proofErr w:type="spellEnd"/>
      <w:r w:rsidRPr="00E320CE">
        <w:t>, p. 283 y 551.</w:t>
      </w:r>
    </w:p>
  </w:footnote>
  <w:footnote w:id="180">
    <w:p w14:paraId="17AE44E6" w14:textId="4676EB94" w:rsidR="00B4175D" w:rsidRPr="00E320CE" w:rsidRDefault="00B4175D">
      <w:pPr>
        <w:pStyle w:val="Textonotapie"/>
        <w:rPr>
          <w:lang w:val="es-ES"/>
        </w:rPr>
      </w:pPr>
      <w:r w:rsidRPr="00E320CE">
        <w:rPr>
          <w:rStyle w:val="Refdenotaalpie"/>
        </w:rPr>
        <w:footnoteRef/>
      </w:r>
      <w:r w:rsidRPr="00E320CE">
        <w:t xml:space="preserve"> </w:t>
      </w:r>
      <w:r w:rsidRPr="00E320CE">
        <w:rPr>
          <w:lang w:val="es-ES"/>
        </w:rPr>
        <w:t xml:space="preserve">Decreto Ley 019 de 2012, </w:t>
      </w:r>
      <w:r w:rsidR="00AB571B" w:rsidRPr="00E320CE">
        <w:rPr>
          <w:lang w:val="es-ES"/>
        </w:rPr>
        <w:t>artículo 142.</w:t>
      </w:r>
    </w:p>
  </w:footnote>
  <w:footnote w:id="181">
    <w:p w14:paraId="4431CBF1" w14:textId="70FC5891" w:rsidR="000647DF" w:rsidRPr="00E320CE" w:rsidRDefault="000647DF" w:rsidP="00B225AE">
      <w:pPr>
        <w:pStyle w:val="Textonotapie"/>
        <w:jc w:val="both"/>
        <w:rPr>
          <w:lang w:val="es-ES"/>
        </w:rPr>
      </w:pPr>
      <w:r w:rsidRPr="00E320CE">
        <w:rPr>
          <w:rStyle w:val="Refdenotaalpie"/>
        </w:rPr>
        <w:footnoteRef/>
      </w:r>
      <w:r w:rsidRPr="00E320CE">
        <w:t xml:space="preserve"> </w:t>
      </w:r>
      <w:r w:rsidRPr="00E320CE">
        <w:rPr>
          <w:lang w:val="es-ES"/>
        </w:rPr>
        <w:t xml:space="preserve">Expediente digital T-10.635.581. </w:t>
      </w:r>
      <w:r w:rsidR="00033B32" w:rsidRPr="00E320CE">
        <w:rPr>
          <w:lang w:val="es-ES"/>
        </w:rPr>
        <w:t xml:space="preserve">Documento </w:t>
      </w:r>
      <w:r w:rsidR="00B225AE" w:rsidRPr="00E320CE">
        <w:rPr>
          <w:lang w:val="es-ES"/>
        </w:rPr>
        <w:t>“01DEMANDA480-2022 (1).</w:t>
      </w:r>
      <w:proofErr w:type="spellStart"/>
      <w:r w:rsidR="00B225AE" w:rsidRPr="00E320CE">
        <w:rPr>
          <w:lang w:val="es-ES"/>
        </w:rPr>
        <w:t>pdf</w:t>
      </w:r>
      <w:proofErr w:type="spellEnd"/>
      <w:r w:rsidR="00B225AE" w:rsidRPr="00E320CE">
        <w:rPr>
          <w:lang w:val="es-ES"/>
        </w:rPr>
        <w:t xml:space="preserve">”, p. 1, 2 y 7. </w:t>
      </w:r>
    </w:p>
  </w:footnote>
  <w:footnote w:id="182">
    <w:p w14:paraId="6F08C08E" w14:textId="46A58FE9" w:rsidR="00B225AE" w:rsidRPr="00E320CE" w:rsidRDefault="00B225AE">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xml:space="preserve">, documento “13TUTELA </w:t>
      </w:r>
      <w:r w:rsidR="00E320CE" w:rsidRPr="00E320CE">
        <w:rPr>
          <w:i/>
          <w:iCs/>
          <w:lang w:val="es-CO"/>
        </w:rPr>
        <w:t>Greta</w:t>
      </w:r>
      <w:r w:rsidRPr="00E320CE">
        <w:rPr>
          <w:lang w:val="es-ES"/>
        </w:rPr>
        <w:t>.</w:t>
      </w:r>
      <w:proofErr w:type="spellStart"/>
      <w:r w:rsidRPr="00E320CE">
        <w:rPr>
          <w:lang w:val="es-ES"/>
        </w:rPr>
        <w:t>pdf</w:t>
      </w:r>
      <w:proofErr w:type="spellEnd"/>
      <w:r w:rsidRPr="00E320CE">
        <w:rPr>
          <w:lang w:val="es-ES"/>
        </w:rPr>
        <w:t>”.</w:t>
      </w:r>
    </w:p>
  </w:footnote>
  <w:footnote w:id="183">
    <w:p w14:paraId="1F682229" w14:textId="26FDCE1B" w:rsidR="00B225AE" w:rsidRPr="00E320CE" w:rsidRDefault="00B225AE">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documento “14Fallo Estabilidad (1).</w:t>
      </w:r>
      <w:proofErr w:type="spellStart"/>
      <w:r w:rsidRPr="00E320CE">
        <w:rPr>
          <w:lang w:val="es-ES"/>
        </w:rPr>
        <w:t>pdf</w:t>
      </w:r>
      <w:proofErr w:type="spellEnd"/>
      <w:r w:rsidRPr="00E320CE">
        <w:rPr>
          <w:lang w:val="es-ES"/>
        </w:rPr>
        <w:t xml:space="preserve">”. </w:t>
      </w:r>
    </w:p>
  </w:footnote>
  <w:footnote w:id="184">
    <w:p w14:paraId="3B06ADBE" w14:textId="77777777" w:rsidR="00902756" w:rsidRPr="00E320CE" w:rsidRDefault="00902756" w:rsidP="00902756">
      <w:pPr>
        <w:pStyle w:val="Textonotapie"/>
        <w:rPr>
          <w:lang w:val="es-ES"/>
        </w:rPr>
      </w:pPr>
      <w:r w:rsidRPr="00E320CE">
        <w:rPr>
          <w:rStyle w:val="Refdenotaalpie"/>
        </w:rPr>
        <w:footnoteRef/>
      </w:r>
      <w:r w:rsidRPr="00E320CE">
        <w:t xml:space="preserve"> </w:t>
      </w:r>
      <w:r w:rsidRPr="00E320CE">
        <w:rPr>
          <w:lang w:val="es-ES"/>
        </w:rPr>
        <w:t>Expediente digital T-10.635.581. Documento “Procesos_1_01DEMANDA.pdf”, p. 2.</w:t>
      </w:r>
    </w:p>
  </w:footnote>
  <w:footnote w:id="185">
    <w:p w14:paraId="75711758" w14:textId="54FFB02C" w:rsidR="00CB5946" w:rsidRPr="00E320CE" w:rsidRDefault="00CB5946">
      <w:pPr>
        <w:pStyle w:val="Textonotapie"/>
        <w:rPr>
          <w:lang w:val="es-ES"/>
        </w:rPr>
      </w:pPr>
      <w:r w:rsidRPr="00E320CE">
        <w:rPr>
          <w:rStyle w:val="Refdenotaalpie"/>
        </w:rPr>
        <w:footnoteRef/>
      </w:r>
      <w:r w:rsidRPr="00E320CE">
        <w:t xml:space="preserve"> </w:t>
      </w:r>
      <w:r w:rsidRPr="00E320CE">
        <w:rPr>
          <w:lang w:val="es-ES"/>
        </w:rPr>
        <w:t xml:space="preserve">Expediente digital T-10.635.581. Documento “PROBATORIO </w:t>
      </w:r>
      <w:r w:rsidR="00E32299">
        <w:rPr>
          <w:i/>
          <w:iCs/>
          <w:lang w:val="es-ES"/>
        </w:rPr>
        <w:t xml:space="preserve">GRETA </w:t>
      </w:r>
      <w:r w:rsidRPr="00E320CE">
        <w:rPr>
          <w:lang w:val="es-ES"/>
        </w:rPr>
        <w:t>_</w:t>
      </w:r>
      <w:proofErr w:type="spellStart"/>
      <w:r w:rsidRPr="00E320CE">
        <w:rPr>
          <w:lang w:val="es-ES"/>
        </w:rPr>
        <w:t>compressed</w:t>
      </w:r>
      <w:proofErr w:type="spellEnd"/>
      <w:r w:rsidRPr="00E320CE">
        <w:rPr>
          <w:lang w:val="es-ES"/>
        </w:rPr>
        <w:t xml:space="preserve"> (1).</w:t>
      </w:r>
      <w:proofErr w:type="spellStart"/>
      <w:r w:rsidRPr="00E320CE">
        <w:rPr>
          <w:lang w:val="es-ES"/>
        </w:rPr>
        <w:t>pdf</w:t>
      </w:r>
      <w:proofErr w:type="spellEnd"/>
      <w:r w:rsidRPr="00E320CE">
        <w:rPr>
          <w:lang w:val="es-ES"/>
        </w:rPr>
        <w:t>”, p. 550.</w:t>
      </w:r>
    </w:p>
  </w:footnote>
  <w:footnote w:id="186">
    <w:p w14:paraId="60494E5E" w14:textId="47AEA429" w:rsidR="00067813" w:rsidRPr="00E320CE" w:rsidRDefault="00067813" w:rsidP="00067813">
      <w:pPr>
        <w:pStyle w:val="Textonotapie"/>
        <w:jc w:val="both"/>
        <w:rPr>
          <w:lang w:val="es-ES"/>
        </w:rPr>
      </w:pPr>
      <w:r w:rsidRPr="00E320CE">
        <w:rPr>
          <w:rStyle w:val="Refdenotaalpie"/>
        </w:rPr>
        <w:footnoteRef/>
      </w:r>
      <w:r w:rsidRPr="00E320CE">
        <w:t xml:space="preserve"> </w:t>
      </w:r>
      <w:r w:rsidRPr="00E320CE">
        <w:rPr>
          <w:lang w:val="es-ES"/>
        </w:rPr>
        <w:t xml:space="preserve">Expediente digital T-10.635.581. Documento “2024-00060-00 RESPUESTA R. 2 - </w:t>
      </w:r>
      <w:r w:rsidR="00E320CE" w:rsidRPr="00E320CE">
        <w:rPr>
          <w:i/>
          <w:iCs/>
          <w:lang w:val="es-CO"/>
        </w:rPr>
        <w:t>Greta</w:t>
      </w:r>
      <w:r w:rsidRPr="00E320CE">
        <w:rPr>
          <w:lang w:val="es-ES"/>
        </w:rPr>
        <w:t xml:space="preserve"> vs UT NORSALUD PPL.pdf”.</w:t>
      </w:r>
    </w:p>
  </w:footnote>
  <w:footnote w:id="187">
    <w:p w14:paraId="058CEEE3" w14:textId="23D5194F" w:rsidR="00BF167A" w:rsidRPr="00E320CE" w:rsidRDefault="00BF167A" w:rsidP="00BF167A">
      <w:pPr>
        <w:pStyle w:val="Textonotapie"/>
        <w:jc w:val="both"/>
        <w:rPr>
          <w:lang w:val="es-ES"/>
        </w:rPr>
      </w:pPr>
      <w:r w:rsidRPr="00E320CE">
        <w:rPr>
          <w:rStyle w:val="Refdenotaalpie"/>
        </w:rPr>
        <w:footnoteRef/>
      </w:r>
      <w:r w:rsidRPr="00E320CE">
        <w:t xml:space="preserve"> </w:t>
      </w:r>
      <w:r w:rsidRPr="00E320CE">
        <w:rPr>
          <w:lang w:val="es-ES"/>
        </w:rPr>
        <w:t>Corte Constitucional, sentencias T-426 de 2022, T-287 de 2023 y T-420 de 2023.</w:t>
      </w:r>
    </w:p>
  </w:footnote>
  <w:footnote w:id="188">
    <w:p w14:paraId="15E38571" w14:textId="77777777" w:rsidR="00BF167A" w:rsidRPr="00E320CE" w:rsidRDefault="00BF167A" w:rsidP="00BF167A">
      <w:pPr>
        <w:pStyle w:val="Textonotapie"/>
        <w:rPr>
          <w:lang w:val="es-ES"/>
        </w:rPr>
      </w:pPr>
      <w:r w:rsidRPr="00E320CE">
        <w:rPr>
          <w:rStyle w:val="Refdenotaalpie"/>
        </w:rPr>
        <w:footnoteRef/>
      </w:r>
      <w:r w:rsidRPr="00E320CE">
        <w:t xml:space="preserve"> </w:t>
      </w:r>
      <w:r w:rsidRPr="00E320CE">
        <w:rPr>
          <w:lang w:val="es-ES"/>
        </w:rPr>
        <w:t xml:space="preserve">Código Sustantivo del Trabajo, artículo 62. </w:t>
      </w:r>
    </w:p>
  </w:footnote>
  <w:footnote w:id="189">
    <w:p w14:paraId="54830C1A" w14:textId="77777777" w:rsidR="00BF167A" w:rsidRPr="00E320CE" w:rsidRDefault="00BF167A" w:rsidP="00BF167A">
      <w:pPr>
        <w:pStyle w:val="Textonotapie"/>
        <w:rPr>
          <w:lang w:val="es-ES"/>
        </w:rPr>
      </w:pPr>
      <w:r w:rsidRPr="00E320CE">
        <w:rPr>
          <w:rStyle w:val="Refdenotaalpie"/>
        </w:rPr>
        <w:footnoteRef/>
      </w:r>
      <w:r w:rsidRPr="00E320CE">
        <w:t xml:space="preserve"> </w:t>
      </w:r>
      <w:proofErr w:type="spellStart"/>
      <w:r w:rsidRPr="00E320CE">
        <w:rPr>
          <w:lang w:val="es-ES"/>
        </w:rPr>
        <w:t>Ibid</w:t>
      </w:r>
      <w:proofErr w:type="spellEnd"/>
      <w:r w:rsidRPr="00E320CE">
        <w:rPr>
          <w:lang w:val="es-ES"/>
        </w:rPr>
        <w:t>, artículo 61.</w:t>
      </w:r>
    </w:p>
  </w:footnote>
  <w:footnote w:id="190">
    <w:p w14:paraId="4274294C" w14:textId="77777777" w:rsidR="00BF167A" w:rsidRPr="00E320CE" w:rsidRDefault="00BF167A" w:rsidP="00BF167A">
      <w:pPr>
        <w:pStyle w:val="Textonotapie"/>
        <w:rPr>
          <w:lang w:val="es-ES"/>
        </w:rPr>
      </w:pPr>
      <w:r w:rsidRPr="00E320CE">
        <w:rPr>
          <w:rStyle w:val="Refdenotaalpie"/>
        </w:rPr>
        <w:footnoteRef/>
      </w:r>
      <w:r w:rsidRPr="00E320CE">
        <w:t xml:space="preserve"> </w:t>
      </w:r>
      <w:r w:rsidRPr="00E320CE">
        <w:rPr>
          <w:lang w:val="es-ES"/>
        </w:rPr>
        <w:t>Corte Constitucional, sentencias T-426 de 2022, T-287 de 2023 y T-420 de 2023.</w:t>
      </w:r>
    </w:p>
  </w:footnote>
  <w:footnote w:id="191">
    <w:p w14:paraId="149884F4" w14:textId="0F428000" w:rsidR="002F244F" w:rsidRPr="00E320CE" w:rsidRDefault="002F244F">
      <w:pPr>
        <w:pStyle w:val="Textonotapie"/>
        <w:rPr>
          <w:lang w:val="es-ES"/>
        </w:rPr>
      </w:pPr>
      <w:r w:rsidRPr="00E320CE">
        <w:rPr>
          <w:rStyle w:val="Refdenotaalpie"/>
        </w:rPr>
        <w:footnoteRef/>
      </w:r>
      <w:r w:rsidRPr="00E320CE">
        <w:t xml:space="preserve"> </w:t>
      </w:r>
      <w:r w:rsidRPr="00E320CE">
        <w:rPr>
          <w:lang w:val="es-ES"/>
        </w:rPr>
        <w:t>Expediente digital T-10.635.581. Documento “Actuaciones_8_12CONTESTACION.pdf”, p. 1.</w:t>
      </w:r>
    </w:p>
  </w:footnote>
  <w:footnote w:id="192">
    <w:p w14:paraId="2255F766" w14:textId="322FF7D6" w:rsidR="00A6269A" w:rsidRPr="00E320CE" w:rsidRDefault="00A6269A">
      <w:pPr>
        <w:pStyle w:val="Textonotapie"/>
        <w:rPr>
          <w:lang w:val="es-ES"/>
        </w:rPr>
      </w:pPr>
      <w:r w:rsidRPr="00E320CE">
        <w:rPr>
          <w:rStyle w:val="Refdenotaalpie"/>
        </w:rPr>
        <w:footnoteRef/>
      </w:r>
      <w:r w:rsidRPr="00E320CE">
        <w:t xml:space="preserve"> </w:t>
      </w:r>
      <w:r w:rsidRPr="00E320CE">
        <w:rPr>
          <w:lang w:val="es-ES"/>
        </w:rPr>
        <w:t>Expediente digital T-10.635.581. Documento “Actuaciones_7_11CONTESTACION.pdf”, p. 1.</w:t>
      </w:r>
    </w:p>
  </w:footnote>
  <w:footnote w:id="193">
    <w:p w14:paraId="62799C66" w14:textId="667A5ABF" w:rsidR="00A418E4" w:rsidRPr="00E320CE" w:rsidRDefault="00A418E4" w:rsidP="00A418E4">
      <w:pPr>
        <w:pStyle w:val="Textonotapie"/>
        <w:jc w:val="both"/>
        <w:rPr>
          <w:lang w:val="es-ES"/>
        </w:rPr>
      </w:pPr>
      <w:r w:rsidRPr="00E320CE">
        <w:rPr>
          <w:rStyle w:val="Refdenotaalpie"/>
        </w:rPr>
        <w:footnoteRef/>
      </w:r>
      <w:r w:rsidRPr="00E320CE">
        <w:t xml:space="preserve"> </w:t>
      </w:r>
      <w:r w:rsidRPr="00E320CE">
        <w:rPr>
          <w:lang w:val="es-ES"/>
        </w:rPr>
        <w:t xml:space="preserve">Expediente digital T-10.635.581. Documento “Actuaciones_8_12CONTESTACION.pdf”, p. </w:t>
      </w:r>
      <w:proofErr w:type="gramStart"/>
      <w:r w:rsidRPr="00E320CE">
        <w:rPr>
          <w:lang w:val="es-ES"/>
        </w:rPr>
        <w:t>5 .</w:t>
      </w:r>
      <w:proofErr w:type="gramEnd"/>
      <w:r w:rsidRPr="00E320CE">
        <w:rPr>
          <w:lang w:val="es-ES"/>
        </w:rPr>
        <w:t xml:space="preserve"> Documento “Actuaciones_7_11CONTESTACION.pdf”, p. 28.</w:t>
      </w:r>
    </w:p>
  </w:footnote>
  <w:footnote w:id="194">
    <w:p w14:paraId="1ADC402C" w14:textId="17398136" w:rsidR="00A418E4" w:rsidRPr="00E320CE" w:rsidRDefault="00A418E4">
      <w:pPr>
        <w:pStyle w:val="Textonotapie"/>
        <w:rPr>
          <w:lang w:val="es-ES"/>
        </w:rPr>
      </w:pPr>
      <w:r w:rsidRPr="00E320CE">
        <w:rPr>
          <w:rStyle w:val="Refdenotaalpie"/>
        </w:rPr>
        <w:footnoteRef/>
      </w:r>
      <w:r w:rsidRPr="00E320CE">
        <w:t xml:space="preserve"> </w:t>
      </w:r>
      <w:r w:rsidRPr="00E320CE">
        <w:rPr>
          <w:lang w:val="es-ES"/>
        </w:rPr>
        <w:t>Expediente digital T-10.635.581. Documento “Actuaciones_8_12CONTESTACION.pdf”, p. 5.</w:t>
      </w:r>
    </w:p>
  </w:footnote>
  <w:footnote w:id="195">
    <w:p w14:paraId="6ACA2247" w14:textId="46685E0A" w:rsidR="00E174BC" w:rsidRPr="00E320CE" w:rsidRDefault="00E174BC">
      <w:pPr>
        <w:pStyle w:val="Textonotapie"/>
        <w:rPr>
          <w:lang w:val="es-ES"/>
        </w:rPr>
      </w:pPr>
      <w:r w:rsidRPr="00E320CE">
        <w:rPr>
          <w:rStyle w:val="Refdenotaalpie"/>
        </w:rPr>
        <w:footnoteRef/>
      </w:r>
      <w:r w:rsidRPr="00E320CE">
        <w:t xml:space="preserve"> </w:t>
      </w:r>
      <w:r w:rsidRPr="00E320CE">
        <w:rPr>
          <w:lang w:val="es-ES"/>
        </w:rPr>
        <w:t>Expediente digital T-10.635.581. Documento “Procesos_1_01DEMANDA.pdf”, p. 2.</w:t>
      </w:r>
    </w:p>
  </w:footnote>
  <w:footnote w:id="196">
    <w:p w14:paraId="55DAA565" w14:textId="569FC74B" w:rsidR="00DB0795" w:rsidRPr="00E320CE" w:rsidRDefault="00DB0795">
      <w:pPr>
        <w:pStyle w:val="Textonotapie"/>
      </w:pPr>
      <w:r w:rsidRPr="00E320CE">
        <w:rPr>
          <w:rStyle w:val="Refdenotaalpie"/>
        </w:rPr>
        <w:footnoteRef/>
      </w:r>
      <w:r w:rsidRPr="00E320CE">
        <w:t xml:space="preserve"> Corte Constitucional, Sentencia T-260 de 2019. </w:t>
      </w:r>
    </w:p>
  </w:footnote>
  <w:footnote w:id="197">
    <w:p w14:paraId="79A89DCE" w14:textId="0227E688" w:rsidR="00082E99" w:rsidRPr="00E320CE" w:rsidRDefault="00082E99">
      <w:pPr>
        <w:pStyle w:val="Textonotapie"/>
      </w:pPr>
      <w:r w:rsidRPr="00E320CE">
        <w:rPr>
          <w:rStyle w:val="Refdenotaalpie"/>
        </w:rPr>
        <w:footnoteRef/>
      </w:r>
      <w:r w:rsidRPr="00E320CE">
        <w:t xml:space="preserve"> Corte Constitucional, Sentencia T-030 de 2018.</w:t>
      </w:r>
    </w:p>
  </w:footnote>
  <w:footnote w:id="198">
    <w:p w14:paraId="625DB89A" w14:textId="1DD26496" w:rsidR="00DF3927" w:rsidRPr="00E320CE" w:rsidRDefault="00DF3927">
      <w:pPr>
        <w:pStyle w:val="Textonotapie"/>
        <w:rPr>
          <w:lang w:val="es-ES"/>
        </w:rPr>
      </w:pPr>
      <w:r w:rsidRPr="00E320CE">
        <w:rPr>
          <w:rStyle w:val="Refdenotaalpie"/>
        </w:rPr>
        <w:footnoteRef/>
      </w:r>
      <w:r w:rsidRPr="00E320CE">
        <w:t xml:space="preserve"> Corte Constitucional, Sentencia T-260 de 2019.</w:t>
      </w:r>
    </w:p>
  </w:footnote>
  <w:footnote w:id="199">
    <w:p w14:paraId="039DF7B4" w14:textId="3784D1F7" w:rsidR="00BA03F3" w:rsidRPr="00E320CE" w:rsidRDefault="00BA03F3">
      <w:pPr>
        <w:pStyle w:val="Textonotapie"/>
        <w:rPr>
          <w:lang w:val="es-ES"/>
        </w:rPr>
      </w:pPr>
      <w:r w:rsidRPr="00E320CE">
        <w:rPr>
          <w:rStyle w:val="Refdenotaalpie"/>
        </w:rPr>
        <w:footnoteRef/>
      </w:r>
      <w:r w:rsidRPr="00E320CE">
        <w:t xml:space="preserve"> </w:t>
      </w:r>
      <w:r w:rsidRPr="00E320CE">
        <w:rPr>
          <w:lang w:val="es-ES"/>
        </w:rPr>
        <w:t>Ibidem.</w:t>
      </w:r>
    </w:p>
  </w:footnote>
  <w:footnote w:id="200">
    <w:p w14:paraId="17047AB0" w14:textId="1251340E" w:rsidR="00BA03F3" w:rsidRPr="00E320CE" w:rsidRDefault="00BA03F3">
      <w:pPr>
        <w:pStyle w:val="Textonotapie"/>
        <w:rPr>
          <w:lang w:val="es-ES"/>
        </w:rPr>
      </w:pPr>
      <w:r w:rsidRPr="00E320CE">
        <w:rPr>
          <w:rStyle w:val="Refdenotaalpie"/>
        </w:rPr>
        <w:footnoteRef/>
      </w:r>
      <w:r w:rsidRPr="00E320CE">
        <w:t xml:space="preserve"> </w:t>
      </w:r>
      <w:r w:rsidRPr="00E320CE">
        <w:rPr>
          <w:lang w:val="es-ES"/>
        </w:rPr>
        <w:t>Ibidem.</w:t>
      </w:r>
    </w:p>
  </w:footnote>
  <w:footnote w:id="201">
    <w:p w14:paraId="5436625E" w14:textId="6E09A7D3" w:rsidR="0018404E" w:rsidRPr="00E320CE" w:rsidRDefault="0018404E">
      <w:pPr>
        <w:pStyle w:val="Textonotapie"/>
        <w:rPr>
          <w:lang w:val="es-ES"/>
        </w:rPr>
      </w:pPr>
      <w:r w:rsidRPr="00E320CE">
        <w:rPr>
          <w:rStyle w:val="Refdenotaalpie"/>
        </w:rPr>
        <w:footnoteRef/>
      </w:r>
      <w:r w:rsidRPr="00E320CE">
        <w:t xml:space="preserve"> </w:t>
      </w:r>
      <w:r w:rsidRPr="00E320CE">
        <w:rPr>
          <w:lang w:val="es-ES"/>
        </w:rPr>
        <w:t>Expediente digital T-10.635.581. Documento “Actuaciones_7_11CONTESTACION.pdf”, p. 27.</w:t>
      </w:r>
    </w:p>
  </w:footnote>
  <w:footnote w:id="202">
    <w:p w14:paraId="47E441E1" w14:textId="6DBF00FF" w:rsidR="0018404E" w:rsidRPr="0018404E" w:rsidRDefault="0018404E">
      <w:pPr>
        <w:pStyle w:val="Textonotapie"/>
        <w:rPr>
          <w:lang w:val="es-ES"/>
        </w:rPr>
      </w:pPr>
      <w:r w:rsidRPr="00E320CE">
        <w:rPr>
          <w:rStyle w:val="Refdenotaalpie"/>
        </w:rPr>
        <w:footnoteRef/>
      </w:r>
      <w:r w:rsidRPr="00E320CE">
        <w:t xml:space="preserve"> </w:t>
      </w:r>
      <w:r w:rsidRPr="00E320CE">
        <w:rPr>
          <w:lang w:val="es-ES"/>
        </w:rPr>
        <w:t>Expediente digital T-10.635.581. Documento “RUT UT NORSALUD PPL.pdf”, p.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1A04" w14:textId="5CC1E050" w:rsidR="000F59F9" w:rsidRDefault="004D5247" w:rsidP="008D3ED6">
    <w:pPr>
      <w:pStyle w:val="Encabezado"/>
      <w:ind w:right="360"/>
    </w:pPr>
    <w:r>
      <w:rPr>
        <w:noProof/>
      </w:rPr>
      <w:pict w14:anchorId="545BB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764079" o:spid="_x0000_s1026" type="#_x0000_t136" style="position:absolute;margin-left:0;margin-top:0;width:582.65pt;height:40.15pt;rotation:315;z-index:-251655168;mso-position-horizontal:center;mso-position-horizontal-relative:margin;mso-position-vertical:center;mso-position-vertical-relative:margin" o:allowincell="f" fillcolor="silver" stroked="f">
          <v:fill opacity=".5"/>
          <v:textpath style="font-family:&quot;Times New Roman&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A5E5" w14:textId="57BAFDB1" w:rsidR="000F59F9" w:rsidRDefault="004D5247" w:rsidP="008D3ED6">
    <w:pPr>
      <w:pStyle w:val="Encabezado"/>
      <w:ind w:right="360"/>
    </w:pPr>
    <w:r>
      <w:rPr>
        <w:noProof/>
      </w:rPr>
      <w:pict w14:anchorId="3F41B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764080" o:spid="_x0000_s1027" type="#_x0000_t136" style="position:absolute;margin-left:0;margin-top:0;width:582.65pt;height:40.15pt;rotation:315;z-index:-251653120;mso-position-horizontal:center;mso-position-horizontal-relative:margin;mso-position-vertical:center;mso-position-vertical-relative:margin" o:allowincell="f" fillcolor="silver" stroked="f">
          <v:fill opacity=".5"/>
          <v:textpath style="font-family:&quot;Times New Roman&quot;;font-size:1pt" string="WWW.CONTRATACIONENLINEA.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EC78" w14:textId="246FBA77" w:rsidR="004D5247" w:rsidRDefault="004D5247">
    <w:pPr>
      <w:pStyle w:val="Encabezado"/>
    </w:pPr>
    <w:r>
      <w:rPr>
        <w:noProof/>
      </w:rPr>
      <w:pict w14:anchorId="28B0D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764078" o:spid="_x0000_s1025" type="#_x0000_t136" style="position:absolute;margin-left:0;margin-top:0;width:582.65pt;height:40.15pt;rotation:315;z-index:-251657216;mso-position-horizontal:center;mso-position-horizontal-relative:margin;mso-position-vertical:center;mso-position-vertical-relative:margin" o:allowincell="f" fillcolor="silver" stroked="f">
          <v:fill opacity=".5"/>
          <v:textpath style="font-family:&quot;Times New Roman&quot;;font-size:1pt" string="WWW.CONTRATACIONENLINEA.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304E42"/>
    <w:multiLevelType w:val="multilevel"/>
    <w:tmpl w:val="318AF354"/>
    <w:lvl w:ilvl="0">
      <w:start w:val="1"/>
      <w:numFmt w:val="decimal"/>
      <w:lvlText w:val="%1."/>
      <w:lvlJc w:val="left"/>
      <w:pPr>
        <w:ind w:left="720" w:hanging="360"/>
      </w:pPr>
      <w:rPr>
        <w:rFonts w:ascii="Times New Roman" w:hAnsi="Times New Roman" w:cs="Times New Roman" w:hint="default"/>
        <w:b w:val="0"/>
        <w:bCs w:val="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215185"/>
    <w:multiLevelType w:val="hybridMultilevel"/>
    <w:tmpl w:val="F5208670"/>
    <w:lvl w:ilvl="0" w:tplc="5A3C2514">
      <w:start w:val="3"/>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5D106F"/>
    <w:multiLevelType w:val="hybridMultilevel"/>
    <w:tmpl w:val="43AA273A"/>
    <w:lvl w:ilvl="0" w:tplc="6CC4011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7F2092"/>
    <w:multiLevelType w:val="hybridMultilevel"/>
    <w:tmpl w:val="29560C0A"/>
    <w:lvl w:ilvl="0" w:tplc="A58ECE0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902B05"/>
    <w:multiLevelType w:val="hybridMultilevel"/>
    <w:tmpl w:val="D6CC0B62"/>
    <w:lvl w:ilvl="0" w:tplc="33885A2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95785E"/>
    <w:multiLevelType w:val="hybridMultilevel"/>
    <w:tmpl w:val="58F2981E"/>
    <w:lvl w:ilvl="0" w:tplc="5C3CD0E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0C1E87"/>
    <w:multiLevelType w:val="multilevel"/>
    <w:tmpl w:val="C2C49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B06DEF"/>
    <w:multiLevelType w:val="hybridMultilevel"/>
    <w:tmpl w:val="543A9DFE"/>
    <w:lvl w:ilvl="0" w:tplc="5C3CD0E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6026FE"/>
    <w:multiLevelType w:val="multilevel"/>
    <w:tmpl w:val="54C463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8060AC"/>
    <w:multiLevelType w:val="hybridMultilevel"/>
    <w:tmpl w:val="B89CC4C2"/>
    <w:lvl w:ilvl="0" w:tplc="3BC07EA4">
      <w:start w:val="3"/>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6664D2"/>
    <w:multiLevelType w:val="hybridMultilevel"/>
    <w:tmpl w:val="EE6683A2"/>
    <w:lvl w:ilvl="0" w:tplc="6284EBAC">
      <w:start w:val="19"/>
      <w:numFmt w:val="bullet"/>
      <w:lvlText w:val="-"/>
      <w:lvlJc w:val="left"/>
      <w:pPr>
        <w:ind w:left="720" w:hanging="360"/>
      </w:pPr>
      <w:rPr>
        <w:rFonts w:ascii="Times New Roman" w:eastAsia="Times New Roman" w:hAnsi="Times New Roman"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694950"/>
    <w:multiLevelType w:val="hybridMultilevel"/>
    <w:tmpl w:val="639605A6"/>
    <w:lvl w:ilvl="0" w:tplc="6958B8C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E12106"/>
    <w:multiLevelType w:val="hybridMultilevel"/>
    <w:tmpl w:val="7FDA3C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E77408"/>
    <w:multiLevelType w:val="hybridMultilevel"/>
    <w:tmpl w:val="CE86969E"/>
    <w:lvl w:ilvl="0" w:tplc="9FB69784">
      <w:start w:val="1"/>
      <w:numFmt w:val="decimal"/>
      <w:lvlText w:val="%1."/>
      <w:lvlJc w:val="left"/>
      <w:pPr>
        <w:ind w:left="720" w:hanging="360"/>
      </w:pPr>
      <w:rPr>
        <w:b w:val="0"/>
        <w:i w:val="0"/>
        <w:sz w:val="28"/>
        <w:szCs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277E31"/>
    <w:multiLevelType w:val="hybridMultilevel"/>
    <w:tmpl w:val="133889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23766E2"/>
    <w:multiLevelType w:val="multilevel"/>
    <w:tmpl w:val="318AF354"/>
    <w:lvl w:ilvl="0">
      <w:start w:val="1"/>
      <w:numFmt w:val="decimal"/>
      <w:lvlText w:val="%1."/>
      <w:lvlJc w:val="left"/>
      <w:pPr>
        <w:ind w:left="720" w:hanging="360"/>
      </w:pPr>
      <w:rPr>
        <w:rFonts w:ascii="Times New Roman" w:hAnsi="Times New Roman" w:cs="Times New Roman" w:hint="default"/>
        <w:b w:val="0"/>
        <w:bCs w:val="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6DD3EC4"/>
    <w:multiLevelType w:val="hybridMultilevel"/>
    <w:tmpl w:val="33B05458"/>
    <w:lvl w:ilvl="0" w:tplc="0150A1AE">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32571F"/>
    <w:multiLevelType w:val="hybridMultilevel"/>
    <w:tmpl w:val="33B2B3FC"/>
    <w:lvl w:ilvl="0" w:tplc="3988A30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4140C5"/>
    <w:multiLevelType w:val="hybridMultilevel"/>
    <w:tmpl w:val="543A9D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A873BC"/>
    <w:multiLevelType w:val="hybridMultilevel"/>
    <w:tmpl w:val="D11253FE"/>
    <w:lvl w:ilvl="0" w:tplc="2D963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B43E3"/>
    <w:multiLevelType w:val="hybridMultilevel"/>
    <w:tmpl w:val="AAD093BA"/>
    <w:lvl w:ilvl="0" w:tplc="78D030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716327"/>
    <w:multiLevelType w:val="hybridMultilevel"/>
    <w:tmpl w:val="543A9D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2E0A5E"/>
    <w:multiLevelType w:val="hybridMultilevel"/>
    <w:tmpl w:val="1384095E"/>
    <w:lvl w:ilvl="0" w:tplc="A0AC8CF2">
      <w:start w:val="1"/>
      <w:numFmt w:val="decimal"/>
      <w:lvlText w:val="%1."/>
      <w:lvlJc w:val="left"/>
      <w:pPr>
        <w:ind w:left="1080" w:hanging="720"/>
      </w:pPr>
      <w:rPr>
        <w:rFonts w:hint="default"/>
        <w:b w:val="0"/>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A22781C"/>
    <w:multiLevelType w:val="multilevel"/>
    <w:tmpl w:val="4C7EF69C"/>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A952E28"/>
    <w:multiLevelType w:val="hybridMultilevel"/>
    <w:tmpl w:val="26E4439C"/>
    <w:lvl w:ilvl="0" w:tplc="8222B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5B2B51"/>
    <w:multiLevelType w:val="hybridMultilevel"/>
    <w:tmpl w:val="543A9D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EE3ACE"/>
    <w:multiLevelType w:val="hybridMultilevel"/>
    <w:tmpl w:val="BD98F98A"/>
    <w:lvl w:ilvl="0" w:tplc="FFFFFFFF">
      <w:start w:val="1"/>
      <w:numFmt w:val="decimal"/>
      <w:lvlText w:val="%1."/>
      <w:lvlJc w:val="left"/>
      <w:pPr>
        <w:ind w:left="720" w:hanging="360"/>
      </w:pPr>
      <w:rPr>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665440"/>
    <w:multiLevelType w:val="hybridMultilevel"/>
    <w:tmpl w:val="264235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6733E6"/>
    <w:multiLevelType w:val="hybridMultilevel"/>
    <w:tmpl w:val="EEA24358"/>
    <w:lvl w:ilvl="0" w:tplc="7E16AF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3739A"/>
    <w:multiLevelType w:val="hybridMultilevel"/>
    <w:tmpl w:val="B07058F4"/>
    <w:lvl w:ilvl="0" w:tplc="E22AF702">
      <w:start w:val="3"/>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94702A"/>
    <w:multiLevelType w:val="hybridMultilevel"/>
    <w:tmpl w:val="702CC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DFF6688"/>
    <w:multiLevelType w:val="hybridMultilevel"/>
    <w:tmpl w:val="82321AA0"/>
    <w:lvl w:ilvl="0" w:tplc="B7A6E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083847">
    <w:abstractNumId w:val="16"/>
  </w:num>
  <w:num w:numId="2" w16cid:durableId="879513733">
    <w:abstractNumId w:val="20"/>
  </w:num>
  <w:num w:numId="3" w16cid:durableId="2039964994">
    <w:abstractNumId w:val="32"/>
  </w:num>
  <w:num w:numId="4" w16cid:durableId="183634804">
    <w:abstractNumId w:val="27"/>
  </w:num>
  <w:num w:numId="5" w16cid:durableId="305665010">
    <w:abstractNumId w:val="7"/>
  </w:num>
  <w:num w:numId="6" w16cid:durableId="1798177390">
    <w:abstractNumId w:val="14"/>
  </w:num>
  <w:num w:numId="7" w16cid:durableId="1382249582">
    <w:abstractNumId w:val="23"/>
  </w:num>
  <w:num w:numId="8" w16cid:durableId="189998794">
    <w:abstractNumId w:val="29"/>
  </w:num>
  <w:num w:numId="9" w16cid:durableId="1391221889">
    <w:abstractNumId w:val="0"/>
  </w:num>
  <w:num w:numId="10" w16cid:durableId="1615332960">
    <w:abstractNumId w:val="17"/>
  </w:num>
  <w:num w:numId="11" w16cid:durableId="917447925">
    <w:abstractNumId w:val="5"/>
  </w:num>
  <w:num w:numId="12" w16cid:durableId="11735763">
    <w:abstractNumId w:val="12"/>
  </w:num>
  <w:num w:numId="13" w16cid:durableId="324674966">
    <w:abstractNumId w:val="25"/>
  </w:num>
  <w:num w:numId="14" w16cid:durableId="450980706">
    <w:abstractNumId w:val="24"/>
  </w:num>
  <w:num w:numId="15" w16cid:durableId="471211590">
    <w:abstractNumId w:val="10"/>
  </w:num>
  <w:num w:numId="16" w16cid:durableId="1127890990">
    <w:abstractNumId w:val="30"/>
  </w:num>
  <w:num w:numId="17" w16cid:durableId="1369066714">
    <w:abstractNumId w:val="13"/>
  </w:num>
  <w:num w:numId="18" w16cid:durableId="533734137">
    <w:abstractNumId w:val="2"/>
  </w:num>
  <w:num w:numId="19" w16cid:durableId="1716856498">
    <w:abstractNumId w:val="3"/>
  </w:num>
  <w:num w:numId="20" w16cid:durableId="540048525">
    <w:abstractNumId w:val="4"/>
  </w:num>
  <w:num w:numId="21" w16cid:durableId="1246646385">
    <w:abstractNumId w:val="21"/>
  </w:num>
  <w:num w:numId="22" w16cid:durableId="441803454">
    <w:abstractNumId w:val="8"/>
  </w:num>
  <w:num w:numId="23" w16cid:durableId="1448087797">
    <w:abstractNumId w:val="22"/>
  </w:num>
  <w:num w:numId="24" w16cid:durableId="993147530">
    <w:abstractNumId w:val="26"/>
  </w:num>
  <w:num w:numId="25" w16cid:durableId="2057923841">
    <w:abstractNumId w:val="6"/>
  </w:num>
  <w:num w:numId="26" w16cid:durableId="835535087">
    <w:abstractNumId w:val="28"/>
  </w:num>
  <w:num w:numId="27" w16cid:durableId="1074208065">
    <w:abstractNumId w:val="31"/>
  </w:num>
  <w:num w:numId="28" w16cid:durableId="94399385">
    <w:abstractNumId w:val="11"/>
  </w:num>
  <w:num w:numId="29" w16cid:durableId="1805538148">
    <w:abstractNumId w:val="19"/>
  </w:num>
  <w:num w:numId="30" w16cid:durableId="71583757">
    <w:abstractNumId w:val="18"/>
  </w:num>
  <w:num w:numId="31" w16cid:durableId="657467439">
    <w:abstractNumId w:val="1"/>
  </w:num>
  <w:num w:numId="32" w16cid:durableId="381563071">
    <w:abstractNumId w:val="9"/>
  </w:num>
  <w:num w:numId="33" w16cid:durableId="13584324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34"/>
    <w:rsid w:val="00000178"/>
    <w:rsid w:val="00000B90"/>
    <w:rsid w:val="00000C3D"/>
    <w:rsid w:val="00001212"/>
    <w:rsid w:val="0000163D"/>
    <w:rsid w:val="000020F0"/>
    <w:rsid w:val="0000229F"/>
    <w:rsid w:val="00002472"/>
    <w:rsid w:val="00002A83"/>
    <w:rsid w:val="00002D2A"/>
    <w:rsid w:val="00002E2F"/>
    <w:rsid w:val="00003DEE"/>
    <w:rsid w:val="000043D9"/>
    <w:rsid w:val="000053C8"/>
    <w:rsid w:val="00005912"/>
    <w:rsid w:val="000060A3"/>
    <w:rsid w:val="00006225"/>
    <w:rsid w:val="00007641"/>
    <w:rsid w:val="00011F9A"/>
    <w:rsid w:val="00012A87"/>
    <w:rsid w:val="00012C18"/>
    <w:rsid w:val="00012C3A"/>
    <w:rsid w:val="0001311B"/>
    <w:rsid w:val="00013671"/>
    <w:rsid w:val="00013B53"/>
    <w:rsid w:val="00013B5C"/>
    <w:rsid w:val="00014214"/>
    <w:rsid w:val="00014BD8"/>
    <w:rsid w:val="000150AE"/>
    <w:rsid w:val="000169B9"/>
    <w:rsid w:val="00016C7E"/>
    <w:rsid w:val="00017692"/>
    <w:rsid w:val="000179E7"/>
    <w:rsid w:val="000200D2"/>
    <w:rsid w:val="000206F9"/>
    <w:rsid w:val="000209A8"/>
    <w:rsid w:val="00021359"/>
    <w:rsid w:val="0002157E"/>
    <w:rsid w:val="00022015"/>
    <w:rsid w:val="00022A41"/>
    <w:rsid w:val="00023BB3"/>
    <w:rsid w:val="00024F9C"/>
    <w:rsid w:val="0002551D"/>
    <w:rsid w:val="00026120"/>
    <w:rsid w:val="000266BA"/>
    <w:rsid w:val="000268FB"/>
    <w:rsid w:val="000271AA"/>
    <w:rsid w:val="000273E1"/>
    <w:rsid w:val="0002760D"/>
    <w:rsid w:val="000301B7"/>
    <w:rsid w:val="00030682"/>
    <w:rsid w:val="0003087E"/>
    <w:rsid w:val="000308E1"/>
    <w:rsid w:val="00032062"/>
    <w:rsid w:val="000339CC"/>
    <w:rsid w:val="00033AC7"/>
    <w:rsid w:val="00033B32"/>
    <w:rsid w:val="00033E3B"/>
    <w:rsid w:val="0003440A"/>
    <w:rsid w:val="00034B51"/>
    <w:rsid w:val="00034E8C"/>
    <w:rsid w:val="00035EAD"/>
    <w:rsid w:val="00036594"/>
    <w:rsid w:val="00036D9D"/>
    <w:rsid w:val="00036EEC"/>
    <w:rsid w:val="0003707C"/>
    <w:rsid w:val="0003758D"/>
    <w:rsid w:val="000401DD"/>
    <w:rsid w:val="000408E7"/>
    <w:rsid w:val="000416CB"/>
    <w:rsid w:val="00043465"/>
    <w:rsid w:val="0004346D"/>
    <w:rsid w:val="000434BE"/>
    <w:rsid w:val="000435C9"/>
    <w:rsid w:val="0004378F"/>
    <w:rsid w:val="00043961"/>
    <w:rsid w:val="00043A14"/>
    <w:rsid w:val="0004485E"/>
    <w:rsid w:val="00046310"/>
    <w:rsid w:val="00047F8D"/>
    <w:rsid w:val="00050054"/>
    <w:rsid w:val="00050514"/>
    <w:rsid w:val="000505AD"/>
    <w:rsid w:val="00050994"/>
    <w:rsid w:val="00052B15"/>
    <w:rsid w:val="00053D19"/>
    <w:rsid w:val="00053E69"/>
    <w:rsid w:val="000555C3"/>
    <w:rsid w:val="000557AE"/>
    <w:rsid w:val="0005653C"/>
    <w:rsid w:val="000569EA"/>
    <w:rsid w:val="00056E37"/>
    <w:rsid w:val="00056FFD"/>
    <w:rsid w:val="0006008A"/>
    <w:rsid w:val="0006009E"/>
    <w:rsid w:val="0006027E"/>
    <w:rsid w:val="0006054D"/>
    <w:rsid w:val="00060744"/>
    <w:rsid w:val="00060E84"/>
    <w:rsid w:val="00062666"/>
    <w:rsid w:val="000629FF"/>
    <w:rsid w:val="0006300E"/>
    <w:rsid w:val="0006381D"/>
    <w:rsid w:val="00063ACA"/>
    <w:rsid w:val="00064429"/>
    <w:rsid w:val="000647DF"/>
    <w:rsid w:val="00065245"/>
    <w:rsid w:val="00065E42"/>
    <w:rsid w:val="00066F58"/>
    <w:rsid w:val="00067361"/>
    <w:rsid w:val="00067813"/>
    <w:rsid w:val="000703B1"/>
    <w:rsid w:val="00070589"/>
    <w:rsid w:val="000711E4"/>
    <w:rsid w:val="0007155D"/>
    <w:rsid w:val="0007199B"/>
    <w:rsid w:val="0007242A"/>
    <w:rsid w:val="0007276B"/>
    <w:rsid w:val="00072902"/>
    <w:rsid w:val="000733AC"/>
    <w:rsid w:val="0007370B"/>
    <w:rsid w:val="000747A3"/>
    <w:rsid w:val="00074E77"/>
    <w:rsid w:val="0007617A"/>
    <w:rsid w:val="000769FE"/>
    <w:rsid w:val="00077234"/>
    <w:rsid w:val="00077B2F"/>
    <w:rsid w:val="00080259"/>
    <w:rsid w:val="000808A8"/>
    <w:rsid w:val="000809A8"/>
    <w:rsid w:val="00081498"/>
    <w:rsid w:val="00081B00"/>
    <w:rsid w:val="00082E99"/>
    <w:rsid w:val="000867FE"/>
    <w:rsid w:val="0008791A"/>
    <w:rsid w:val="00087AA9"/>
    <w:rsid w:val="00090026"/>
    <w:rsid w:val="00090904"/>
    <w:rsid w:val="000913DD"/>
    <w:rsid w:val="00091427"/>
    <w:rsid w:val="000938A8"/>
    <w:rsid w:val="00093A06"/>
    <w:rsid w:val="000945A5"/>
    <w:rsid w:val="000954B4"/>
    <w:rsid w:val="000955ED"/>
    <w:rsid w:val="00096245"/>
    <w:rsid w:val="00096E95"/>
    <w:rsid w:val="00097122"/>
    <w:rsid w:val="000975B8"/>
    <w:rsid w:val="000A1519"/>
    <w:rsid w:val="000A1CD6"/>
    <w:rsid w:val="000A233F"/>
    <w:rsid w:val="000A2EAF"/>
    <w:rsid w:val="000A3244"/>
    <w:rsid w:val="000A3A54"/>
    <w:rsid w:val="000A3C1A"/>
    <w:rsid w:val="000A4127"/>
    <w:rsid w:val="000A4C8F"/>
    <w:rsid w:val="000A5561"/>
    <w:rsid w:val="000A560F"/>
    <w:rsid w:val="000A644F"/>
    <w:rsid w:val="000A6A62"/>
    <w:rsid w:val="000A7BDC"/>
    <w:rsid w:val="000B01C0"/>
    <w:rsid w:val="000B0AA3"/>
    <w:rsid w:val="000B1354"/>
    <w:rsid w:val="000B150D"/>
    <w:rsid w:val="000B39A2"/>
    <w:rsid w:val="000B3F68"/>
    <w:rsid w:val="000B403E"/>
    <w:rsid w:val="000B4263"/>
    <w:rsid w:val="000B447A"/>
    <w:rsid w:val="000B4CEA"/>
    <w:rsid w:val="000B5C5C"/>
    <w:rsid w:val="000B6F04"/>
    <w:rsid w:val="000B70B2"/>
    <w:rsid w:val="000C2000"/>
    <w:rsid w:val="000C260D"/>
    <w:rsid w:val="000C279C"/>
    <w:rsid w:val="000C2A97"/>
    <w:rsid w:val="000C2D59"/>
    <w:rsid w:val="000C307F"/>
    <w:rsid w:val="000C3310"/>
    <w:rsid w:val="000C3670"/>
    <w:rsid w:val="000C3802"/>
    <w:rsid w:val="000C47AA"/>
    <w:rsid w:val="000C50D6"/>
    <w:rsid w:val="000C557D"/>
    <w:rsid w:val="000C5D93"/>
    <w:rsid w:val="000C6C05"/>
    <w:rsid w:val="000C6D3E"/>
    <w:rsid w:val="000C725D"/>
    <w:rsid w:val="000C73C2"/>
    <w:rsid w:val="000C7766"/>
    <w:rsid w:val="000C7B8C"/>
    <w:rsid w:val="000D0515"/>
    <w:rsid w:val="000D0C2D"/>
    <w:rsid w:val="000D0E5F"/>
    <w:rsid w:val="000D15C9"/>
    <w:rsid w:val="000D1EDF"/>
    <w:rsid w:val="000D260F"/>
    <w:rsid w:val="000D301D"/>
    <w:rsid w:val="000D332E"/>
    <w:rsid w:val="000D3AF8"/>
    <w:rsid w:val="000D4273"/>
    <w:rsid w:val="000D48B1"/>
    <w:rsid w:val="000D4F9C"/>
    <w:rsid w:val="000D5B9A"/>
    <w:rsid w:val="000D6381"/>
    <w:rsid w:val="000D63E4"/>
    <w:rsid w:val="000D70BD"/>
    <w:rsid w:val="000D72A8"/>
    <w:rsid w:val="000D7456"/>
    <w:rsid w:val="000D76DF"/>
    <w:rsid w:val="000D77C9"/>
    <w:rsid w:val="000E011D"/>
    <w:rsid w:val="000E07C6"/>
    <w:rsid w:val="000E1014"/>
    <w:rsid w:val="000E13EC"/>
    <w:rsid w:val="000E169D"/>
    <w:rsid w:val="000E2009"/>
    <w:rsid w:val="000E209C"/>
    <w:rsid w:val="000E258D"/>
    <w:rsid w:val="000E2A96"/>
    <w:rsid w:val="000E2BDC"/>
    <w:rsid w:val="000E30FC"/>
    <w:rsid w:val="000E368B"/>
    <w:rsid w:val="000E37CD"/>
    <w:rsid w:val="000E3C64"/>
    <w:rsid w:val="000E40C1"/>
    <w:rsid w:val="000E4A56"/>
    <w:rsid w:val="000E52C6"/>
    <w:rsid w:val="000E57D5"/>
    <w:rsid w:val="000E5810"/>
    <w:rsid w:val="000E6190"/>
    <w:rsid w:val="000E653C"/>
    <w:rsid w:val="000E71E2"/>
    <w:rsid w:val="000E7D2F"/>
    <w:rsid w:val="000E7F47"/>
    <w:rsid w:val="000E7F68"/>
    <w:rsid w:val="000F0B28"/>
    <w:rsid w:val="000F0F75"/>
    <w:rsid w:val="000F0FA0"/>
    <w:rsid w:val="000F1600"/>
    <w:rsid w:val="000F1FEC"/>
    <w:rsid w:val="000F2B39"/>
    <w:rsid w:val="000F3695"/>
    <w:rsid w:val="000F38E3"/>
    <w:rsid w:val="000F4464"/>
    <w:rsid w:val="000F4AD4"/>
    <w:rsid w:val="000F4CB2"/>
    <w:rsid w:val="000F5038"/>
    <w:rsid w:val="000F59F9"/>
    <w:rsid w:val="000F6453"/>
    <w:rsid w:val="000F6959"/>
    <w:rsid w:val="000F75BD"/>
    <w:rsid w:val="000F79E3"/>
    <w:rsid w:val="00100477"/>
    <w:rsid w:val="001006CD"/>
    <w:rsid w:val="00101647"/>
    <w:rsid w:val="00101D1B"/>
    <w:rsid w:val="00103554"/>
    <w:rsid w:val="00104C93"/>
    <w:rsid w:val="00105105"/>
    <w:rsid w:val="00105319"/>
    <w:rsid w:val="001054E1"/>
    <w:rsid w:val="00105619"/>
    <w:rsid w:val="00106BAC"/>
    <w:rsid w:val="00110016"/>
    <w:rsid w:val="001101E2"/>
    <w:rsid w:val="00110D50"/>
    <w:rsid w:val="0011216E"/>
    <w:rsid w:val="001126BE"/>
    <w:rsid w:val="001126F1"/>
    <w:rsid w:val="00112FFE"/>
    <w:rsid w:val="00113123"/>
    <w:rsid w:val="001140BA"/>
    <w:rsid w:val="00114183"/>
    <w:rsid w:val="001143D0"/>
    <w:rsid w:val="001144B3"/>
    <w:rsid w:val="00114CC3"/>
    <w:rsid w:val="00115980"/>
    <w:rsid w:val="00115EBA"/>
    <w:rsid w:val="00116F49"/>
    <w:rsid w:val="001173DC"/>
    <w:rsid w:val="0011774F"/>
    <w:rsid w:val="001200FA"/>
    <w:rsid w:val="001205B3"/>
    <w:rsid w:val="00120CC5"/>
    <w:rsid w:val="00121565"/>
    <w:rsid w:val="00121ED8"/>
    <w:rsid w:val="0012227B"/>
    <w:rsid w:val="00122326"/>
    <w:rsid w:val="00122464"/>
    <w:rsid w:val="001225AC"/>
    <w:rsid w:val="0012285D"/>
    <w:rsid w:val="00122F7E"/>
    <w:rsid w:val="00123712"/>
    <w:rsid w:val="00123A61"/>
    <w:rsid w:val="00123C82"/>
    <w:rsid w:val="0012495A"/>
    <w:rsid w:val="00125148"/>
    <w:rsid w:val="001253A8"/>
    <w:rsid w:val="00125497"/>
    <w:rsid w:val="00125A6B"/>
    <w:rsid w:val="00126312"/>
    <w:rsid w:val="001264B8"/>
    <w:rsid w:val="001269B7"/>
    <w:rsid w:val="00126B8D"/>
    <w:rsid w:val="00126BAA"/>
    <w:rsid w:val="00127607"/>
    <w:rsid w:val="0012760D"/>
    <w:rsid w:val="00130195"/>
    <w:rsid w:val="0013019E"/>
    <w:rsid w:val="0013085B"/>
    <w:rsid w:val="00130B8B"/>
    <w:rsid w:val="00131777"/>
    <w:rsid w:val="00131CC3"/>
    <w:rsid w:val="00133C85"/>
    <w:rsid w:val="00133CFF"/>
    <w:rsid w:val="00133DB2"/>
    <w:rsid w:val="00134314"/>
    <w:rsid w:val="00134C23"/>
    <w:rsid w:val="00135136"/>
    <w:rsid w:val="0013547C"/>
    <w:rsid w:val="00135854"/>
    <w:rsid w:val="00135A59"/>
    <w:rsid w:val="00135C97"/>
    <w:rsid w:val="00135E4D"/>
    <w:rsid w:val="00136B18"/>
    <w:rsid w:val="00136E49"/>
    <w:rsid w:val="00137008"/>
    <w:rsid w:val="001370A4"/>
    <w:rsid w:val="001375C8"/>
    <w:rsid w:val="00137C55"/>
    <w:rsid w:val="001407EA"/>
    <w:rsid w:val="00141996"/>
    <w:rsid w:val="00141B20"/>
    <w:rsid w:val="00142864"/>
    <w:rsid w:val="00142AD6"/>
    <w:rsid w:val="0014319E"/>
    <w:rsid w:val="00143934"/>
    <w:rsid w:val="00143981"/>
    <w:rsid w:val="00145B8A"/>
    <w:rsid w:val="001461A9"/>
    <w:rsid w:val="00146BD7"/>
    <w:rsid w:val="001473C7"/>
    <w:rsid w:val="0015190A"/>
    <w:rsid w:val="00151AF3"/>
    <w:rsid w:val="00152289"/>
    <w:rsid w:val="001525AF"/>
    <w:rsid w:val="001527F4"/>
    <w:rsid w:val="00152B80"/>
    <w:rsid w:val="00153AEA"/>
    <w:rsid w:val="00153D49"/>
    <w:rsid w:val="0015497D"/>
    <w:rsid w:val="00154D96"/>
    <w:rsid w:val="00155A3F"/>
    <w:rsid w:val="00156CF2"/>
    <w:rsid w:val="00157479"/>
    <w:rsid w:val="0015798F"/>
    <w:rsid w:val="00160863"/>
    <w:rsid w:val="00160C04"/>
    <w:rsid w:val="0016115C"/>
    <w:rsid w:val="001613AE"/>
    <w:rsid w:val="00161605"/>
    <w:rsid w:val="00162BDE"/>
    <w:rsid w:val="0016326A"/>
    <w:rsid w:val="00163365"/>
    <w:rsid w:val="00163B8F"/>
    <w:rsid w:val="00163CEB"/>
    <w:rsid w:val="00164039"/>
    <w:rsid w:val="00164BA1"/>
    <w:rsid w:val="00165318"/>
    <w:rsid w:val="00166139"/>
    <w:rsid w:val="00166B0C"/>
    <w:rsid w:val="001671BC"/>
    <w:rsid w:val="0016738F"/>
    <w:rsid w:val="001677E7"/>
    <w:rsid w:val="001678B9"/>
    <w:rsid w:val="00170B98"/>
    <w:rsid w:val="00170D85"/>
    <w:rsid w:val="0017310B"/>
    <w:rsid w:val="0017331D"/>
    <w:rsid w:val="001741C7"/>
    <w:rsid w:val="00174556"/>
    <w:rsid w:val="0017532F"/>
    <w:rsid w:val="0017691B"/>
    <w:rsid w:val="001771D9"/>
    <w:rsid w:val="0017798F"/>
    <w:rsid w:val="0018069C"/>
    <w:rsid w:val="00180AD6"/>
    <w:rsid w:val="00182044"/>
    <w:rsid w:val="0018254D"/>
    <w:rsid w:val="00182B5C"/>
    <w:rsid w:val="0018404E"/>
    <w:rsid w:val="00184079"/>
    <w:rsid w:val="00184DA6"/>
    <w:rsid w:val="00184F26"/>
    <w:rsid w:val="00185E3D"/>
    <w:rsid w:val="00186865"/>
    <w:rsid w:val="00187045"/>
    <w:rsid w:val="00187332"/>
    <w:rsid w:val="00190FFF"/>
    <w:rsid w:val="0019115F"/>
    <w:rsid w:val="001912F1"/>
    <w:rsid w:val="00191541"/>
    <w:rsid w:val="00191564"/>
    <w:rsid w:val="00191B4D"/>
    <w:rsid w:val="0019282F"/>
    <w:rsid w:val="00192949"/>
    <w:rsid w:val="00193DDE"/>
    <w:rsid w:val="00194787"/>
    <w:rsid w:val="00195763"/>
    <w:rsid w:val="0019598D"/>
    <w:rsid w:val="00195C9D"/>
    <w:rsid w:val="00195CB9"/>
    <w:rsid w:val="00196845"/>
    <w:rsid w:val="00197B9C"/>
    <w:rsid w:val="00197CB6"/>
    <w:rsid w:val="00197CEC"/>
    <w:rsid w:val="00197D89"/>
    <w:rsid w:val="001A1102"/>
    <w:rsid w:val="001A1309"/>
    <w:rsid w:val="001A16D2"/>
    <w:rsid w:val="001A16EB"/>
    <w:rsid w:val="001A18E7"/>
    <w:rsid w:val="001A1CCA"/>
    <w:rsid w:val="001A23A0"/>
    <w:rsid w:val="001A2575"/>
    <w:rsid w:val="001A25FF"/>
    <w:rsid w:val="001A2776"/>
    <w:rsid w:val="001A28EA"/>
    <w:rsid w:val="001A28F2"/>
    <w:rsid w:val="001A29BC"/>
    <w:rsid w:val="001A44E4"/>
    <w:rsid w:val="001A49F4"/>
    <w:rsid w:val="001A5AE7"/>
    <w:rsid w:val="001A657C"/>
    <w:rsid w:val="001A6B0A"/>
    <w:rsid w:val="001A6E7C"/>
    <w:rsid w:val="001A7553"/>
    <w:rsid w:val="001A774F"/>
    <w:rsid w:val="001A7A87"/>
    <w:rsid w:val="001B0D0C"/>
    <w:rsid w:val="001B0F93"/>
    <w:rsid w:val="001B12F9"/>
    <w:rsid w:val="001B2DB2"/>
    <w:rsid w:val="001B32EE"/>
    <w:rsid w:val="001B76E7"/>
    <w:rsid w:val="001B779E"/>
    <w:rsid w:val="001B7F58"/>
    <w:rsid w:val="001C0204"/>
    <w:rsid w:val="001C1304"/>
    <w:rsid w:val="001C1F92"/>
    <w:rsid w:val="001C2DE9"/>
    <w:rsid w:val="001C3654"/>
    <w:rsid w:val="001C3CC4"/>
    <w:rsid w:val="001C3E06"/>
    <w:rsid w:val="001C4874"/>
    <w:rsid w:val="001C4B4D"/>
    <w:rsid w:val="001C5312"/>
    <w:rsid w:val="001C5B95"/>
    <w:rsid w:val="001C60E9"/>
    <w:rsid w:val="001C68A8"/>
    <w:rsid w:val="001C6E0E"/>
    <w:rsid w:val="001D02EA"/>
    <w:rsid w:val="001D10BC"/>
    <w:rsid w:val="001D17D1"/>
    <w:rsid w:val="001D1A45"/>
    <w:rsid w:val="001D2418"/>
    <w:rsid w:val="001D30DF"/>
    <w:rsid w:val="001D3343"/>
    <w:rsid w:val="001D3346"/>
    <w:rsid w:val="001D3561"/>
    <w:rsid w:val="001D35D1"/>
    <w:rsid w:val="001D36FD"/>
    <w:rsid w:val="001D3909"/>
    <w:rsid w:val="001D551F"/>
    <w:rsid w:val="001D565E"/>
    <w:rsid w:val="001D58C9"/>
    <w:rsid w:val="001D5F42"/>
    <w:rsid w:val="001D6164"/>
    <w:rsid w:val="001D6A13"/>
    <w:rsid w:val="001D6A7A"/>
    <w:rsid w:val="001D6D85"/>
    <w:rsid w:val="001D7089"/>
    <w:rsid w:val="001D79D5"/>
    <w:rsid w:val="001E0B23"/>
    <w:rsid w:val="001E0B2B"/>
    <w:rsid w:val="001E0D80"/>
    <w:rsid w:val="001E1F66"/>
    <w:rsid w:val="001E3A1A"/>
    <w:rsid w:val="001E435D"/>
    <w:rsid w:val="001E4BB3"/>
    <w:rsid w:val="001E516D"/>
    <w:rsid w:val="001E5256"/>
    <w:rsid w:val="001E5715"/>
    <w:rsid w:val="001E5AE6"/>
    <w:rsid w:val="001E69DA"/>
    <w:rsid w:val="001E6B7E"/>
    <w:rsid w:val="001F0B39"/>
    <w:rsid w:val="001F106D"/>
    <w:rsid w:val="001F1F10"/>
    <w:rsid w:val="001F2117"/>
    <w:rsid w:val="001F25F3"/>
    <w:rsid w:val="001F281A"/>
    <w:rsid w:val="001F2B8C"/>
    <w:rsid w:val="001F3820"/>
    <w:rsid w:val="001F383F"/>
    <w:rsid w:val="001F3D79"/>
    <w:rsid w:val="001F58A8"/>
    <w:rsid w:val="001F59B6"/>
    <w:rsid w:val="001F6874"/>
    <w:rsid w:val="001F7118"/>
    <w:rsid w:val="001F7B5A"/>
    <w:rsid w:val="001F7D9B"/>
    <w:rsid w:val="00200892"/>
    <w:rsid w:val="00200DB2"/>
    <w:rsid w:val="002012F7"/>
    <w:rsid w:val="00201385"/>
    <w:rsid w:val="0020173D"/>
    <w:rsid w:val="00201A12"/>
    <w:rsid w:val="00202222"/>
    <w:rsid w:val="00203C17"/>
    <w:rsid w:val="00204222"/>
    <w:rsid w:val="00204816"/>
    <w:rsid w:val="0020488A"/>
    <w:rsid w:val="0020494C"/>
    <w:rsid w:val="0020547E"/>
    <w:rsid w:val="00205F3B"/>
    <w:rsid w:val="0020660A"/>
    <w:rsid w:val="00206BE2"/>
    <w:rsid w:val="0020778D"/>
    <w:rsid w:val="002102BA"/>
    <w:rsid w:val="00210BA3"/>
    <w:rsid w:val="002110D0"/>
    <w:rsid w:val="002124FE"/>
    <w:rsid w:val="00212821"/>
    <w:rsid w:val="00212B8C"/>
    <w:rsid w:val="00212C68"/>
    <w:rsid w:val="00212ECC"/>
    <w:rsid w:val="002132E0"/>
    <w:rsid w:val="00213940"/>
    <w:rsid w:val="00213A6F"/>
    <w:rsid w:val="00215EDD"/>
    <w:rsid w:val="0021627C"/>
    <w:rsid w:val="0021672D"/>
    <w:rsid w:val="002171B1"/>
    <w:rsid w:val="0021752C"/>
    <w:rsid w:val="00220DFD"/>
    <w:rsid w:val="002210A5"/>
    <w:rsid w:val="00221587"/>
    <w:rsid w:val="00221930"/>
    <w:rsid w:val="00221B18"/>
    <w:rsid w:val="00221B5B"/>
    <w:rsid w:val="00222611"/>
    <w:rsid w:val="00222818"/>
    <w:rsid w:val="0022349B"/>
    <w:rsid w:val="00223AD9"/>
    <w:rsid w:val="00224386"/>
    <w:rsid w:val="002264FA"/>
    <w:rsid w:val="00226B56"/>
    <w:rsid w:val="00226DD7"/>
    <w:rsid w:val="002277C8"/>
    <w:rsid w:val="00230474"/>
    <w:rsid w:val="00230F4B"/>
    <w:rsid w:val="00231273"/>
    <w:rsid w:val="002319C1"/>
    <w:rsid w:val="00232E28"/>
    <w:rsid w:val="00232F48"/>
    <w:rsid w:val="00233686"/>
    <w:rsid w:val="00234504"/>
    <w:rsid w:val="00234672"/>
    <w:rsid w:val="00234AE7"/>
    <w:rsid w:val="0023547B"/>
    <w:rsid w:val="0023625E"/>
    <w:rsid w:val="0023657E"/>
    <w:rsid w:val="00236C35"/>
    <w:rsid w:val="0023768F"/>
    <w:rsid w:val="00237B0A"/>
    <w:rsid w:val="00237CBC"/>
    <w:rsid w:val="00240F5F"/>
    <w:rsid w:val="00241B22"/>
    <w:rsid w:val="00242504"/>
    <w:rsid w:val="00242DB3"/>
    <w:rsid w:val="00242FFB"/>
    <w:rsid w:val="00243D3D"/>
    <w:rsid w:val="00243D75"/>
    <w:rsid w:val="0024413D"/>
    <w:rsid w:val="002442E4"/>
    <w:rsid w:val="00244529"/>
    <w:rsid w:val="0024499B"/>
    <w:rsid w:val="002453D4"/>
    <w:rsid w:val="00245CF4"/>
    <w:rsid w:val="0025021B"/>
    <w:rsid w:val="0025047A"/>
    <w:rsid w:val="00250562"/>
    <w:rsid w:val="00250575"/>
    <w:rsid w:val="002509EA"/>
    <w:rsid w:val="00250CD2"/>
    <w:rsid w:val="00251054"/>
    <w:rsid w:val="002515D5"/>
    <w:rsid w:val="002518C6"/>
    <w:rsid w:val="00251B63"/>
    <w:rsid w:val="0025377A"/>
    <w:rsid w:val="002546C8"/>
    <w:rsid w:val="00254958"/>
    <w:rsid w:val="00254B57"/>
    <w:rsid w:val="00254FF5"/>
    <w:rsid w:val="00255037"/>
    <w:rsid w:val="00255D83"/>
    <w:rsid w:val="002560F9"/>
    <w:rsid w:val="00256623"/>
    <w:rsid w:val="002571F4"/>
    <w:rsid w:val="00257A85"/>
    <w:rsid w:val="00257C34"/>
    <w:rsid w:val="0026097D"/>
    <w:rsid w:val="0026154F"/>
    <w:rsid w:val="00262359"/>
    <w:rsid w:val="00262C3A"/>
    <w:rsid w:val="00263669"/>
    <w:rsid w:val="002644AF"/>
    <w:rsid w:val="002656B4"/>
    <w:rsid w:val="00265A6C"/>
    <w:rsid w:val="00265ACC"/>
    <w:rsid w:val="002663B8"/>
    <w:rsid w:val="002667C3"/>
    <w:rsid w:val="00266A0C"/>
    <w:rsid w:val="00266D24"/>
    <w:rsid w:val="0026705D"/>
    <w:rsid w:val="00267117"/>
    <w:rsid w:val="00267939"/>
    <w:rsid w:val="002700FC"/>
    <w:rsid w:val="00270814"/>
    <w:rsid w:val="002717C0"/>
    <w:rsid w:val="002732CE"/>
    <w:rsid w:val="00274BF4"/>
    <w:rsid w:val="00275A6E"/>
    <w:rsid w:val="00275B70"/>
    <w:rsid w:val="00280762"/>
    <w:rsid w:val="00280ACA"/>
    <w:rsid w:val="00281539"/>
    <w:rsid w:val="002819B8"/>
    <w:rsid w:val="0028217B"/>
    <w:rsid w:val="0028223D"/>
    <w:rsid w:val="002829FF"/>
    <w:rsid w:val="00282EBE"/>
    <w:rsid w:val="0028312D"/>
    <w:rsid w:val="00283C8B"/>
    <w:rsid w:val="00284A69"/>
    <w:rsid w:val="00285BF8"/>
    <w:rsid w:val="00286BA4"/>
    <w:rsid w:val="00287483"/>
    <w:rsid w:val="002874B2"/>
    <w:rsid w:val="00290BE0"/>
    <w:rsid w:val="002915FF"/>
    <w:rsid w:val="002916DA"/>
    <w:rsid w:val="0029188B"/>
    <w:rsid w:val="00292535"/>
    <w:rsid w:val="0029300C"/>
    <w:rsid w:val="00293094"/>
    <w:rsid w:val="002931D0"/>
    <w:rsid w:val="002935A3"/>
    <w:rsid w:val="002941BA"/>
    <w:rsid w:val="0029524E"/>
    <w:rsid w:val="00295F0F"/>
    <w:rsid w:val="00296036"/>
    <w:rsid w:val="00296153"/>
    <w:rsid w:val="002966F8"/>
    <w:rsid w:val="00297505"/>
    <w:rsid w:val="00297CAD"/>
    <w:rsid w:val="002A001B"/>
    <w:rsid w:val="002A052E"/>
    <w:rsid w:val="002A0571"/>
    <w:rsid w:val="002A0A3C"/>
    <w:rsid w:val="002A0B74"/>
    <w:rsid w:val="002A0BC9"/>
    <w:rsid w:val="002A24B5"/>
    <w:rsid w:val="002A24C0"/>
    <w:rsid w:val="002A2951"/>
    <w:rsid w:val="002A34EE"/>
    <w:rsid w:val="002A3A1E"/>
    <w:rsid w:val="002A3B85"/>
    <w:rsid w:val="002A3FD5"/>
    <w:rsid w:val="002A4015"/>
    <w:rsid w:val="002A41CA"/>
    <w:rsid w:val="002A44DF"/>
    <w:rsid w:val="002A45AB"/>
    <w:rsid w:val="002A46E3"/>
    <w:rsid w:val="002A5F70"/>
    <w:rsid w:val="002A6E7C"/>
    <w:rsid w:val="002A6F10"/>
    <w:rsid w:val="002A7243"/>
    <w:rsid w:val="002A739B"/>
    <w:rsid w:val="002B08D9"/>
    <w:rsid w:val="002B0BB8"/>
    <w:rsid w:val="002B0D69"/>
    <w:rsid w:val="002B0E9B"/>
    <w:rsid w:val="002B149C"/>
    <w:rsid w:val="002B28FC"/>
    <w:rsid w:val="002B2A0F"/>
    <w:rsid w:val="002B2A14"/>
    <w:rsid w:val="002B313B"/>
    <w:rsid w:val="002B32B3"/>
    <w:rsid w:val="002B3532"/>
    <w:rsid w:val="002B45CF"/>
    <w:rsid w:val="002B5788"/>
    <w:rsid w:val="002B5FEA"/>
    <w:rsid w:val="002B6BB7"/>
    <w:rsid w:val="002B6E15"/>
    <w:rsid w:val="002B7087"/>
    <w:rsid w:val="002B71A5"/>
    <w:rsid w:val="002B743A"/>
    <w:rsid w:val="002C0541"/>
    <w:rsid w:val="002C0CB8"/>
    <w:rsid w:val="002C0EAA"/>
    <w:rsid w:val="002C13B7"/>
    <w:rsid w:val="002C1582"/>
    <w:rsid w:val="002C1712"/>
    <w:rsid w:val="002C1C9D"/>
    <w:rsid w:val="002C2B1F"/>
    <w:rsid w:val="002C2CA9"/>
    <w:rsid w:val="002C3F6C"/>
    <w:rsid w:val="002C5B09"/>
    <w:rsid w:val="002C608E"/>
    <w:rsid w:val="002C6EA6"/>
    <w:rsid w:val="002C7249"/>
    <w:rsid w:val="002D00A0"/>
    <w:rsid w:val="002D0497"/>
    <w:rsid w:val="002D17FE"/>
    <w:rsid w:val="002D1DD1"/>
    <w:rsid w:val="002D21E9"/>
    <w:rsid w:val="002D23D4"/>
    <w:rsid w:val="002D2965"/>
    <w:rsid w:val="002D2980"/>
    <w:rsid w:val="002D2B65"/>
    <w:rsid w:val="002D3084"/>
    <w:rsid w:val="002D34E7"/>
    <w:rsid w:val="002D3A1D"/>
    <w:rsid w:val="002D433F"/>
    <w:rsid w:val="002D451C"/>
    <w:rsid w:val="002D48CC"/>
    <w:rsid w:val="002D4B5E"/>
    <w:rsid w:val="002D4ED9"/>
    <w:rsid w:val="002D4F02"/>
    <w:rsid w:val="002D68E9"/>
    <w:rsid w:val="002E03B5"/>
    <w:rsid w:val="002E1928"/>
    <w:rsid w:val="002E1C98"/>
    <w:rsid w:val="002E244D"/>
    <w:rsid w:val="002E30E3"/>
    <w:rsid w:val="002E3217"/>
    <w:rsid w:val="002E5506"/>
    <w:rsid w:val="002E5661"/>
    <w:rsid w:val="002E5A39"/>
    <w:rsid w:val="002E637D"/>
    <w:rsid w:val="002E6612"/>
    <w:rsid w:val="002E6B2F"/>
    <w:rsid w:val="002E6C32"/>
    <w:rsid w:val="002E77B3"/>
    <w:rsid w:val="002F012F"/>
    <w:rsid w:val="002F0130"/>
    <w:rsid w:val="002F18AE"/>
    <w:rsid w:val="002F22D6"/>
    <w:rsid w:val="002F244F"/>
    <w:rsid w:val="002F3437"/>
    <w:rsid w:val="002F4453"/>
    <w:rsid w:val="002F4921"/>
    <w:rsid w:val="002F4972"/>
    <w:rsid w:val="002F554E"/>
    <w:rsid w:val="002F6298"/>
    <w:rsid w:val="002F62E2"/>
    <w:rsid w:val="002F7138"/>
    <w:rsid w:val="002F71D5"/>
    <w:rsid w:val="002F79EB"/>
    <w:rsid w:val="002F7BEA"/>
    <w:rsid w:val="00300421"/>
    <w:rsid w:val="00300F40"/>
    <w:rsid w:val="00301277"/>
    <w:rsid w:val="00302234"/>
    <w:rsid w:val="00302B55"/>
    <w:rsid w:val="00302CED"/>
    <w:rsid w:val="003035FF"/>
    <w:rsid w:val="003038DC"/>
    <w:rsid w:val="00303A55"/>
    <w:rsid w:val="003049C1"/>
    <w:rsid w:val="00304E6D"/>
    <w:rsid w:val="00305E7E"/>
    <w:rsid w:val="0030708D"/>
    <w:rsid w:val="003079E4"/>
    <w:rsid w:val="00307D98"/>
    <w:rsid w:val="00310B9A"/>
    <w:rsid w:val="00311173"/>
    <w:rsid w:val="00311C4C"/>
    <w:rsid w:val="003130CD"/>
    <w:rsid w:val="0031484E"/>
    <w:rsid w:val="00315113"/>
    <w:rsid w:val="00315FFA"/>
    <w:rsid w:val="00316A55"/>
    <w:rsid w:val="00316B7A"/>
    <w:rsid w:val="0032020A"/>
    <w:rsid w:val="00320802"/>
    <w:rsid w:val="00320857"/>
    <w:rsid w:val="0032101A"/>
    <w:rsid w:val="003211AE"/>
    <w:rsid w:val="003215D0"/>
    <w:rsid w:val="0032199F"/>
    <w:rsid w:val="00322315"/>
    <w:rsid w:val="00322EE1"/>
    <w:rsid w:val="00322FCD"/>
    <w:rsid w:val="0032313D"/>
    <w:rsid w:val="00324342"/>
    <w:rsid w:val="003244BB"/>
    <w:rsid w:val="003244FD"/>
    <w:rsid w:val="00324504"/>
    <w:rsid w:val="003246F9"/>
    <w:rsid w:val="00324ADD"/>
    <w:rsid w:val="00324C65"/>
    <w:rsid w:val="00324DAC"/>
    <w:rsid w:val="003253CF"/>
    <w:rsid w:val="00325618"/>
    <w:rsid w:val="00325AA3"/>
    <w:rsid w:val="00325DBE"/>
    <w:rsid w:val="003260BB"/>
    <w:rsid w:val="00326337"/>
    <w:rsid w:val="0032679B"/>
    <w:rsid w:val="003273B5"/>
    <w:rsid w:val="00327699"/>
    <w:rsid w:val="003305DD"/>
    <w:rsid w:val="00331604"/>
    <w:rsid w:val="003317ED"/>
    <w:rsid w:val="00331873"/>
    <w:rsid w:val="003323E3"/>
    <w:rsid w:val="00332C6D"/>
    <w:rsid w:val="0033387D"/>
    <w:rsid w:val="00333AB5"/>
    <w:rsid w:val="0033417A"/>
    <w:rsid w:val="00334775"/>
    <w:rsid w:val="00335140"/>
    <w:rsid w:val="00340189"/>
    <w:rsid w:val="00342E05"/>
    <w:rsid w:val="00343337"/>
    <w:rsid w:val="00343716"/>
    <w:rsid w:val="00344C31"/>
    <w:rsid w:val="0034579F"/>
    <w:rsid w:val="00345CFE"/>
    <w:rsid w:val="00345F4B"/>
    <w:rsid w:val="00347348"/>
    <w:rsid w:val="003473C8"/>
    <w:rsid w:val="00347908"/>
    <w:rsid w:val="00350149"/>
    <w:rsid w:val="00350474"/>
    <w:rsid w:val="003507F7"/>
    <w:rsid w:val="00350D60"/>
    <w:rsid w:val="00350FFC"/>
    <w:rsid w:val="0035192F"/>
    <w:rsid w:val="00351C32"/>
    <w:rsid w:val="0035225A"/>
    <w:rsid w:val="00352A6E"/>
    <w:rsid w:val="00352DEF"/>
    <w:rsid w:val="003537B2"/>
    <w:rsid w:val="0035573D"/>
    <w:rsid w:val="003557B0"/>
    <w:rsid w:val="003557E1"/>
    <w:rsid w:val="00357283"/>
    <w:rsid w:val="003576F0"/>
    <w:rsid w:val="00357C67"/>
    <w:rsid w:val="003609D2"/>
    <w:rsid w:val="003611E7"/>
    <w:rsid w:val="00361360"/>
    <w:rsid w:val="003631EF"/>
    <w:rsid w:val="003632BC"/>
    <w:rsid w:val="00363513"/>
    <w:rsid w:val="00363881"/>
    <w:rsid w:val="00364427"/>
    <w:rsid w:val="00364A74"/>
    <w:rsid w:val="0036513C"/>
    <w:rsid w:val="003652C9"/>
    <w:rsid w:val="00365DF3"/>
    <w:rsid w:val="00366E11"/>
    <w:rsid w:val="003673CA"/>
    <w:rsid w:val="00367433"/>
    <w:rsid w:val="0036751E"/>
    <w:rsid w:val="00367F11"/>
    <w:rsid w:val="00370DF1"/>
    <w:rsid w:val="00370E7C"/>
    <w:rsid w:val="00371169"/>
    <w:rsid w:val="00372901"/>
    <w:rsid w:val="00372DE8"/>
    <w:rsid w:val="003732BF"/>
    <w:rsid w:val="00375123"/>
    <w:rsid w:val="003753FE"/>
    <w:rsid w:val="00375B12"/>
    <w:rsid w:val="00375DA9"/>
    <w:rsid w:val="00375E95"/>
    <w:rsid w:val="00375FA1"/>
    <w:rsid w:val="0037620B"/>
    <w:rsid w:val="003764A4"/>
    <w:rsid w:val="00376A11"/>
    <w:rsid w:val="00376DB3"/>
    <w:rsid w:val="00377208"/>
    <w:rsid w:val="0037747A"/>
    <w:rsid w:val="00377BD4"/>
    <w:rsid w:val="00377DB5"/>
    <w:rsid w:val="00380013"/>
    <w:rsid w:val="00380064"/>
    <w:rsid w:val="003803F8"/>
    <w:rsid w:val="00380AE0"/>
    <w:rsid w:val="00380BB5"/>
    <w:rsid w:val="00380D08"/>
    <w:rsid w:val="0038157F"/>
    <w:rsid w:val="00383FBB"/>
    <w:rsid w:val="00384364"/>
    <w:rsid w:val="0038573D"/>
    <w:rsid w:val="00385B87"/>
    <w:rsid w:val="00385FAC"/>
    <w:rsid w:val="003863B7"/>
    <w:rsid w:val="00386634"/>
    <w:rsid w:val="003878AB"/>
    <w:rsid w:val="003910A3"/>
    <w:rsid w:val="00391115"/>
    <w:rsid w:val="00391B80"/>
    <w:rsid w:val="00392642"/>
    <w:rsid w:val="003927C0"/>
    <w:rsid w:val="003930F6"/>
    <w:rsid w:val="003934CF"/>
    <w:rsid w:val="003946F2"/>
    <w:rsid w:val="00394F1E"/>
    <w:rsid w:val="0039655E"/>
    <w:rsid w:val="00396D27"/>
    <w:rsid w:val="00396E45"/>
    <w:rsid w:val="003979F3"/>
    <w:rsid w:val="00397A2A"/>
    <w:rsid w:val="00397DD6"/>
    <w:rsid w:val="003A08BC"/>
    <w:rsid w:val="003A1037"/>
    <w:rsid w:val="003A1191"/>
    <w:rsid w:val="003A159A"/>
    <w:rsid w:val="003A17F5"/>
    <w:rsid w:val="003A1D98"/>
    <w:rsid w:val="003A2026"/>
    <w:rsid w:val="003A319D"/>
    <w:rsid w:val="003A356D"/>
    <w:rsid w:val="003A387B"/>
    <w:rsid w:val="003A3AFD"/>
    <w:rsid w:val="003A4949"/>
    <w:rsid w:val="003A4DD7"/>
    <w:rsid w:val="003A5768"/>
    <w:rsid w:val="003A64FC"/>
    <w:rsid w:val="003A6C39"/>
    <w:rsid w:val="003A7793"/>
    <w:rsid w:val="003A77B8"/>
    <w:rsid w:val="003A7A3E"/>
    <w:rsid w:val="003B035C"/>
    <w:rsid w:val="003B0664"/>
    <w:rsid w:val="003B07EE"/>
    <w:rsid w:val="003B0C6B"/>
    <w:rsid w:val="003B0DE6"/>
    <w:rsid w:val="003B10EE"/>
    <w:rsid w:val="003B1FFB"/>
    <w:rsid w:val="003B2CC8"/>
    <w:rsid w:val="003B3687"/>
    <w:rsid w:val="003B3F43"/>
    <w:rsid w:val="003B3F77"/>
    <w:rsid w:val="003B4040"/>
    <w:rsid w:val="003B49EA"/>
    <w:rsid w:val="003B55B8"/>
    <w:rsid w:val="003B61F6"/>
    <w:rsid w:val="003B6254"/>
    <w:rsid w:val="003B6AEA"/>
    <w:rsid w:val="003B7717"/>
    <w:rsid w:val="003C01DF"/>
    <w:rsid w:val="003C1EDD"/>
    <w:rsid w:val="003C2F87"/>
    <w:rsid w:val="003C372D"/>
    <w:rsid w:val="003C3B7D"/>
    <w:rsid w:val="003C4E00"/>
    <w:rsid w:val="003C6204"/>
    <w:rsid w:val="003C788C"/>
    <w:rsid w:val="003C78B3"/>
    <w:rsid w:val="003C7B9A"/>
    <w:rsid w:val="003C7E4F"/>
    <w:rsid w:val="003D04AB"/>
    <w:rsid w:val="003D122B"/>
    <w:rsid w:val="003D196F"/>
    <w:rsid w:val="003D2A81"/>
    <w:rsid w:val="003D2F5B"/>
    <w:rsid w:val="003D39E9"/>
    <w:rsid w:val="003D3A3E"/>
    <w:rsid w:val="003D3CF0"/>
    <w:rsid w:val="003D4B79"/>
    <w:rsid w:val="003D5BA3"/>
    <w:rsid w:val="003D5CAC"/>
    <w:rsid w:val="003D5F57"/>
    <w:rsid w:val="003D67B4"/>
    <w:rsid w:val="003D6A92"/>
    <w:rsid w:val="003D70A4"/>
    <w:rsid w:val="003D7A2E"/>
    <w:rsid w:val="003E0309"/>
    <w:rsid w:val="003E075C"/>
    <w:rsid w:val="003E084A"/>
    <w:rsid w:val="003E10F1"/>
    <w:rsid w:val="003E159D"/>
    <w:rsid w:val="003E2CA8"/>
    <w:rsid w:val="003E3168"/>
    <w:rsid w:val="003E341A"/>
    <w:rsid w:val="003E41EF"/>
    <w:rsid w:val="003E44EC"/>
    <w:rsid w:val="003E473E"/>
    <w:rsid w:val="003E48CE"/>
    <w:rsid w:val="003E4E91"/>
    <w:rsid w:val="003E4ED7"/>
    <w:rsid w:val="003E533C"/>
    <w:rsid w:val="003E7B67"/>
    <w:rsid w:val="003E7C62"/>
    <w:rsid w:val="003E7F40"/>
    <w:rsid w:val="003F02B1"/>
    <w:rsid w:val="003F1326"/>
    <w:rsid w:val="003F1501"/>
    <w:rsid w:val="003F16FD"/>
    <w:rsid w:val="003F1A58"/>
    <w:rsid w:val="003F1F3B"/>
    <w:rsid w:val="003F29BB"/>
    <w:rsid w:val="003F3C66"/>
    <w:rsid w:val="003F42AF"/>
    <w:rsid w:val="003F4BDC"/>
    <w:rsid w:val="003F4F8D"/>
    <w:rsid w:val="003F53CC"/>
    <w:rsid w:val="003F5E3C"/>
    <w:rsid w:val="003F615A"/>
    <w:rsid w:val="003F6444"/>
    <w:rsid w:val="003F6610"/>
    <w:rsid w:val="003F679E"/>
    <w:rsid w:val="003F6828"/>
    <w:rsid w:val="003F6AC4"/>
    <w:rsid w:val="003F7B32"/>
    <w:rsid w:val="00400507"/>
    <w:rsid w:val="004009D5"/>
    <w:rsid w:val="00400BB4"/>
    <w:rsid w:val="0040199B"/>
    <w:rsid w:val="00401CFF"/>
    <w:rsid w:val="00401F38"/>
    <w:rsid w:val="004039ED"/>
    <w:rsid w:val="004043B7"/>
    <w:rsid w:val="004046A0"/>
    <w:rsid w:val="004049E5"/>
    <w:rsid w:val="00404DF4"/>
    <w:rsid w:val="00404F72"/>
    <w:rsid w:val="004050FF"/>
    <w:rsid w:val="00405409"/>
    <w:rsid w:val="0040547D"/>
    <w:rsid w:val="00405C20"/>
    <w:rsid w:val="00406314"/>
    <w:rsid w:val="00406740"/>
    <w:rsid w:val="004069B4"/>
    <w:rsid w:val="00407F7C"/>
    <w:rsid w:val="00410EDA"/>
    <w:rsid w:val="0041181F"/>
    <w:rsid w:val="004142A5"/>
    <w:rsid w:val="00414E44"/>
    <w:rsid w:val="00415477"/>
    <w:rsid w:val="00415576"/>
    <w:rsid w:val="00415AE7"/>
    <w:rsid w:val="0041633D"/>
    <w:rsid w:val="00416AC7"/>
    <w:rsid w:val="00417C0B"/>
    <w:rsid w:val="00420015"/>
    <w:rsid w:val="004201B4"/>
    <w:rsid w:val="004207C5"/>
    <w:rsid w:val="00420C9F"/>
    <w:rsid w:val="0042117C"/>
    <w:rsid w:val="004211C7"/>
    <w:rsid w:val="004222EA"/>
    <w:rsid w:val="004228C9"/>
    <w:rsid w:val="004229A1"/>
    <w:rsid w:val="004229D2"/>
    <w:rsid w:val="00422C7A"/>
    <w:rsid w:val="00423368"/>
    <w:rsid w:val="0042477B"/>
    <w:rsid w:val="00424DE4"/>
    <w:rsid w:val="004260C3"/>
    <w:rsid w:val="00426712"/>
    <w:rsid w:val="00426C3F"/>
    <w:rsid w:val="00426D18"/>
    <w:rsid w:val="00426EE4"/>
    <w:rsid w:val="00427A85"/>
    <w:rsid w:val="00427B06"/>
    <w:rsid w:val="00427E39"/>
    <w:rsid w:val="0043041C"/>
    <w:rsid w:val="00430A87"/>
    <w:rsid w:val="00430D59"/>
    <w:rsid w:val="00431FAD"/>
    <w:rsid w:val="00432684"/>
    <w:rsid w:val="00434DBA"/>
    <w:rsid w:val="00435F09"/>
    <w:rsid w:val="00435FEA"/>
    <w:rsid w:val="00436046"/>
    <w:rsid w:val="004375EE"/>
    <w:rsid w:val="00437FE1"/>
    <w:rsid w:val="004409E0"/>
    <w:rsid w:val="00440C66"/>
    <w:rsid w:val="00440EF6"/>
    <w:rsid w:val="0044124D"/>
    <w:rsid w:val="00441320"/>
    <w:rsid w:val="0044194B"/>
    <w:rsid w:val="00441DE7"/>
    <w:rsid w:val="004428F4"/>
    <w:rsid w:val="00444587"/>
    <w:rsid w:val="0044506B"/>
    <w:rsid w:val="004460D0"/>
    <w:rsid w:val="00446716"/>
    <w:rsid w:val="0044690B"/>
    <w:rsid w:val="00446E0C"/>
    <w:rsid w:val="00450515"/>
    <w:rsid w:val="004506DE"/>
    <w:rsid w:val="00450F17"/>
    <w:rsid w:val="0045197F"/>
    <w:rsid w:val="00451B5E"/>
    <w:rsid w:val="0045318F"/>
    <w:rsid w:val="00454798"/>
    <w:rsid w:val="004561D3"/>
    <w:rsid w:val="0045650B"/>
    <w:rsid w:val="00456566"/>
    <w:rsid w:val="004568A2"/>
    <w:rsid w:val="00456E98"/>
    <w:rsid w:val="00456EAE"/>
    <w:rsid w:val="00457CD3"/>
    <w:rsid w:val="00457E50"/>
    <w:rsid w:val="0046162F"/>
    <w:rsid w:val="00461A9E"/>
    <w:rsid w:val="0046290C"/>
    <w:rsid w:val="0046346E"/>
    <w:rsid w:val="00463A8C"/>
    <w:rsid w:val="00464E08"/>
    <w:rsid w:val="00465044"/>
    <w:rsid w:val="00465253"/>
    <w:rsid w:val="00466442"/>
    <w:rsid w:val="004669B4"/>
    <w:rsid w:val="00466B76"/>
    <w:rsid w:val="004672F3"/>
    <w:rsid w:val="00467588"/>
    <w:rsid w:val="00470D52"/>
    <w:rsid w:val="00470E67"/>
    <w:rsid w:val="00471070"/>
    <w:rsid w:val="0047112A"/>
    <w:rsid w:val="0047238C"/>
    <w:rsid w:val="00473185"/>
    <w:rsid w:val="004734D3"/>
    <w:rsid w:val="004737B6"/>
    <w:rsid w:val="00473D2E"/>
    <w:rsid w:val="00475A31"/>
    <w:rsid w:val="00476113"/>
    <w:rsid w:val="00476B90"/>
    <w:rsid w:val="00477115"/>
    <w:rsid w:val="004775D1"/>
    <w:rsid w:val="00477E80"/>
    <w:rsid w:val="00480DDE"/>
    <w:rsid w:val="0048196B"/>
    <w:rsid w:val="00481E32"/>
    <w:rsid w:val="00482071"/>
    <w:rsid w:val="004823E1"/>
    <w:rsid w:val="00483032"/>
    <w:rsid w:val="0048587C"/>
    <w:rsid w:val="00486B73"/>
    <w:rsid w:val="00487555"/>
    <w:rsid w:val="00487B38"/>
    <w:rsid w:val="00490124"/>
    <w:rsid w:val="00492067"/>
    <w:rsid w:val="00492579"/>
    <w:rsid w:val="00492A1C"/>
    <w:rsid w:val="00492CAB"/>
    <w:rsid w:val="00493406"/>
    <w:rsid w:val="00493DAB"/>
    <w:rsid w:val="004957C8"/>
    <w:rsid w:val="00497290"/>
    <w:rsid w:val="004973EF"/>
    <w:rsid w:val="0049761A"/>
    <w:rsid w:val="004A0211"/>
    <w:rsid w:val="004A0918"/>
    <w:rsid w:val="004A0A31"/>
    <w:rsid w:val="004A124F"/>
    <w:rsid w:val="004A1332"/>
    <w:rsid w:val="004A18C2"/>
    <w:rsid w:val="004A24FD"/>
    <w:rsid w:val="004A2F3F"/>
    <w:rsid w:val="004A3033"/>
    <w:rsid w:val="004A34CE"/>
    <w:rsid w:val="004A366B"/>
    <w:rsid w:val="004A3F3B"/>
    <w:rsid w:val="004A4B95"/>
    <w:rsid w:val="004A4DA1"/>
    <w:rsid w:val="004A6D7F"/>
    <w:rsid w:val="004A710C"/>
    <w:rsid w:val="004A7592"/>
    <w:rsid w:val="004A7C7B"/>
    <w:rsid w:val="004B0C70"/>
    <w:rsid w:val="004B19EB"/>
    <w:rsid w:val="004B1F1C"/>
    <w:rsid w:val="004B2D85"/>
    <w:rsid w:val="004B3A03"/>
    <w:rsid w:val="004B45C8"/>
    <w:rsid w:val="004B4DEA"/>
    <w:rsid w:val="004B56FD"/>
    <w:rsid w:val="004B58FB"/>
    <w:rsid w:val="004B680A"/>
    <w:rsid w:val="004B74B9"/>
    <w:rsid w:val="004B7599"/>
    <w:rsid w:val="004B7B7C"/>
    <w:rsid w:val="004C0318"/>
    <w:rsid w:val="004C0A40"/>
    <w:rsid w:val="004C0DDF"/>
    <w:rsid w:val="004C2E64"/>
    <w:rsid w:val="004C387F"/>
    <w:rsid w:val="004C3E49"/>
    <w:rsid w:val="004C45FB"/>
    <w:rsid w:val="004C49E2"/>
    <w:rsid w:val="004C4ACF"/>
    <w:rsid w:val="004C4BBF"/>
    <w:rsid w:val="004C4CCE"/>
    <w:rsid w:val="004C5050"/>
    <w:rsid w:val="004C5308"/>
    <w:rsid w:val="004C6369"/>
    <w:rsid w:val="004C672E"/>
    <w:rsid w:val="004C7042"/>
    <w:rsid w:val="004D1997"/>
    <w:rsid w:val="004D2D1E"/>
    <w:rsid w:val="004D3188"/>
    <w:rsid w:val="004D33EF"/>
    <w:rsid w:val="004D3693"/>
    <w:rsid w:val="004D3DD9"/>
    <w:rsid w:val="004D4163"/>
    <w:rsid w:val="004D43D5"/>
    <w:rsid w:val="004D488E"/>
    <w:rsid w:val="004D4FD3"/>
    <w:rsid w:val="004D5247"/>
    <w:rsid w:val="004D52EF"/>
    <w:rsid w:val="004D61FF"/>
    <w:rsid w:val="004D65BF"/>
    <w:rsid w:val="004D71E2"/>
    <w:rsid w:val="004D7780"/>
    <w:rsid w:val="004D7A76"/>
    <w:rsid w:val="004E0298"/>
    <w:rsid w:val="004E0838"/>
    <w:rsid w:val="004E0B73"/>
    <w:rsid w:val="004E281A"/>
    <w:rsid w:val="004E2D91"/>
    <w:rsid w:val="004E4081"/>
    <w:rsid w:val="004E4491"/>
    <w:rsid w:val="004E5141"/>
    <w:rsid w:val="004E53CC"/>
    <w:rsid w:val="004E5CC1"/>
    <w:rsid w:val="004E76ED"/>
    <w:rsid w:val="004F0FFD"/>
    <w:rsid w:val="004F0FFE"/>
    <w:rsid w:val="004F163E"/>
    <w:rsid w:val="004F17CA"/>
    <w:rsid w:val="004F200D"/>
    <w:rsid w:val="004F269C"/>
    <w:rsid w:val="004F2D74"/>
    <w:rsid w:val="004F3E4F"/>
    <w:rsid w:val="004F46F0"/>
    <w:rsid w:val="004F470F"/>
    <w:rsid w:val="004F4EC4"/>
    <w:rsid w:val="004F7651"/>
    <w:rsid w:val="004F7FF3"/>
    <w:rsid w:val="00500721"/>
    <w:rsid w:val="00500732"/>
    <w:rsid w:val="00500DB0"/>
    <w:rsid w:val="005010AD"/>
    <w:rsid w:val="00502115"/>
    <w:rsid w:val="00502BC0"/>
    <w:rsid w:val="00504006"/>
    <w:rsid w:val="00504597"/>
    <w:rsid w:val="00504930"/>
    <w:rsid w:val="00504BF4"/>
    <w:rsid w:val="00504DDA"/>
    <w:rsid w:val="00505634"/>
    <w:rsid w:val="0050620E"/>
    <w:rsid w:val="005066B5"/>
    <w:rsid w:val="005070FD"/>
    <w:rsid w:val="005073CF"/>
    <w:rsid w:val="005075DA"/>
    <w:rsid w:val="0050780E"/>
    <w:rsid w:val="00507B6F"/>
    <w:rsid w:val="00507DD6"/>
    <w:rsid w:val="0051004D"/>
    <w:rsid w:val="005106FE"/>
    <w:rsid w:val="005110FE"/>
    <w:rsid w:val="005121C7"/>
    <w:rsid w:val="00512382"/>
    <w:rsid w:val="00512C25"/>
    <w:rsid w:val="005143CE"/>
    <w:rsid w:val="00514558"/>
    <w:rsid w:val="005147C4"/>
    <w:rsid w:val="00514A36"/>
    <w:rsid w:val="00514E73"/>
    <w:rsid w:val="00515097"/>
    <w:rsid w:val="005153E5"/>
    <w:rsid w:val="0051630F"/>
    <w:rsid w:val="00516742"/>
    <w:rsid w:val="00516750"/>
    <w:rsid w:val="00516CC5"/>
    <w:rsid w:val="005170C2"/>
    <w:rsid w:val="00517632"/>
    <w:rsid w:val="005200A4"/>
    <w:rsid w:val="005201CE"/>
    <w:rsid w:val="0052024E"/>
    <w:rsid w:val="005208FD"/>
    <w:rsid w:val="00520A0D"/>
    <w:rsid w:val="00522AE5"/>
    <w:rsid w:val="00523FDC"/>
    <w:rsid w:val="00524BA2"/>
    <w:rsid w:val="00524F8F"/>
    <w:rsid w:val="005262DB"/>
    <w:rsid w:val="0052655D"/>
    <w:rsid w:val="0052779B"/>
    <w:rsid w:val="00527E6E"/>
    <w:rsid w:val="00530CB4"/>
    <w:rsid w:val="005328CC"/>
    <w:rsid w:val="005345F4"/>
    <w:rsid w:val="00534889"/>
    <w:rsid w:val="00534ADF"/>
    <w:rsid w:val="00536099"/>
    <w:rsid w:val="00536225"/>
    <w:rsid w:val="00536A98"/>
    <w:rsid w:val="00537283"/>
    <w:rsid w:val="005375AD"/>
    <w:rsid w:val="00537D43"/>
    <w:rsid w:val="00540158"/>
    <w:rsid w:val="00540D39"/>
    <w:rsid w:val="00540E8B"/>
    <w:rsid w:val="00541C1E"/>
    <w:rsid w:val="00541DF2"/>
    <w:rsid w:val="0054263E"/>
    <w:rsid w:val="00543325"/>
    <w:rsid w:val="00543F8C"/>
    <w:rsid w:val="005440C6"/>
    <w:rsid w:val="00544157"/>
    <w:rsid w:val="0054455D"/>
    <w:rsid w:val="00544B27"/>
    <w:rsid w:val="00544B7C"/>
    <w:rsid w:val="005458EB"/>
    <w:rsid w:val="0054685A"/>
    <w:rsid w:val="00547570"/>
    <w:rsid w:val="005504F6"/>
    <w:rsid w:val="005519D2"/>
    <w:rsid w:val="0055316B"/>
    <w:rsid w:val="00553B7D"/>
    <w:rsid w:val="00554445"/>
    <w:rsid w:val="00554815"/>
    <w:rsid w:val="00554D32"/>
    <w:rsid w:val="005574A0"/>
    <w:rsid w:val="005576AA"/>
    <w:rsid w:val="00557EBF"/>
    <w:rsid w:val="00560239"/>
    <w:rsid w:val="00560728"/>
    <w:rsid w:val="0056195F"/>
    <w:rsid w:val="00561D83"/>
    <w:rsid w:val="005621D9"/>
    <w:rsid w:val="005623B1"/>
    <w:rsid w:val="005627FE"/>
    <w:rsid w:val="00562B0A"/>
    <w:rsid w:val="0056382F"/>
    <w:rsid w:val="00563D75"/>
    <w:rsid w:val="005640FC"/>
    <w:rsid w:val="005648F6"/>
    <w:rsid w:val="00564B8B"/>
    <w:rsid w:val="00565722"/>
    <w:rsid w:val="00565D76"/>
    <w:rsid w:val="00567457"/>
    <w:rsid w:val="00570677"/>
    <w:rsid w:val="00570F58"/>
    <w:rsid w:val="00571445"/>
    <w:rsid w:val="005718D5"/>
    <w:rsid w:val="005719D4"/>
    <w:rsid w:val="005721CC"/>
    <w:rsid w:val="00572CEE"/>
    <w:rsid w:val="00573068"/>
    <w:rsid w:val="00573F86"/>
    <w:rsid w:val="00575231"/>
    <w:rsid w:val="00575E7D"/>
    <w:rsid w:val="00576709"/>
    <w:rsid w:val="00577AB0"/>
    <w:rsid w:val="00577F56"/>
    <w:rsid w:val="005801C7"/>
    <w:rsid w:val="005803D3"/>
    <w:rsid w:val="0058078A"/>
    <w:rsid w:val="00581833"/>
    <w:rsid w:val="00581FC9"/>
    <w:rsid w:val="0058236D"/>
    <w:rsid w:val="0058465C"/>
    <w:rsid w:val="00584A96"/>
    <w:rsid w:val="0058524A"/>
    <w:rsid w:val="00585900"/>
    <w:rsid w:val="00585BFF"/>
    <w:rsid w:val="00585C4F"/>
    <w:rsid w:val="00585C72"/>
    <w:rsid w:val="00585DFA"/>
    <w:rsid w:val="0058652D"/>
    <w:rsid w:val="0058670F"/>
    <w:rsid w:val="005867F9"/>
    <w:rsid w:val="0058733C"/>
    <w:rsid w:val="00587391"/>
    <w:rsid w:val="00587DA3"/>
    <w:rsid w:val="00590310"/>
    <w:rsid w:val="005907FA"/>
    <w:rsid w:val="005908F1"/>
    <w:rsid w:val="0059117A"/>
    <w:rsid w:val="00591CDF"/>
    <w:rsid w:val="005929D4"/>
    <w:rsid w:val="00593734"/>
    <w:rsid w:val="005937B5"/>
    <w:rsid w:val="00595398"/>
    <w:rsid w:val="00595E66"/>
    <w:rsid w:val="00596701"/>
    <w:rsid w:val="00596A15"/>
    <w:rsid w:val="00596F71"/>
    <w:rsid w:val="005979A1"/>
    <w:rsid w:val="005A02D2"/>
    <w:rsid w:val="005A1542"/>
    <w:rsid w:val="005A2B3C"/>
    <w:rsid w:val="005A2BEA"/>
    <w:rsid w:val="005A34E9"/>
    <w:rsid w:val="005A3898"/>
    <w:rsid w:val="005A3BA1"/>
    <w:rsid w:val="005A406B"/>
    <w:rsid w:val="005A4556"/>
    <w:rsid w:val="005A5333"/>
    <w:rsid w:val="005A5819"/>
    <w:rsid w:val="005A62C6"/>
    <w:rsid w:val="005A7667"/>
    <w:rsid w:val="005B03BC"/>
    <w:rsid w:val="005B15EB"/>
    <w:rsid w:val="005B204A"/>
    <w:rsid w:val="005B22B4"/>
    <w:rsid w:val="005B2634"/>
    <w:rsid w:val="005B2A52"/>
    <w:rsid w:val="005B2D67"/>
    <w:rsid w:val="005B36E9"/>
    <w:rsid w:val="005B38E7"/>
    <w:rsid w:val="005B3DA6"/>
    <w:rsid w:val="005B40A4"/>
    <w:rsid w:val="005B4100"/>
    <w:rsid w:val="005B6FF1"/>
    <w:rsid w:val="005B7CCE"/>
    <w:rsid w:val="005B7F9F"/>
    <w:rsid w:val="005C0063"/>
    <w:rsid w:val="005C0680"/>
    <w:rsid w:val="005C1090"/>
    <w:rsid w:val="005C1214"/>
    <w:rsid w:val="005C1310"/>
    <w:rsid w:val="005C16C7"/>
    <w:rsid w:val="005C1B51"/>
    <w:rsid w:val="005C2249"/>
    <w:rsid w:val="005C2B38"/>
    <w:rsid w:val="005C42BF"/>
    <w:rsid w:val="005C4968"/>
    <w:rsid w:val="005C49E7"/>
    <w:rsid w:val="005C4B29"/>
    <w:rsid w:val="005C535F"/>
    <w:rsid w:val="005C5367"/>
    <w:rsid w:val="005C56AB"/>
    <w:rsid w:val="005C6492"/>
    <w:rsid w:val="005C66C9"/>
    <w:rsid w:val="005C6D08"/>
    <w:rsid w:val="005C6FA6"/>
    <w:rsid w:val="005C7116"/>
    <w:rsid w:val="005C7CB2"/>
    <w:rsid w:val="005D0324"/>
    <w:rsid w:val="005D03F3"/>
    <w:rsid w:val="005D05E7"/>
    <w:rsid w:val="005D0F7B"/>
    <w:rsid w:val="005D1D78"/>
    <w:rsid w:val="005D35CB"/>
    <w:rsid w:val="005D49F6"/>
    <w:rsid w:val="005D4ACF"/>
    <w:rsid w:val="005D4BA3"/>
    <w:rsid w:val="005D5057"/>
    <w:rsid w:val="005D5856"/>
    <w:rsid w:val="005D6113"/>
    <w:rsid w:val="005D6287"/>
    <w:rsid w:val="005D6A5A"/>
    <w:rsid w:val="005D7CB7"/>
    <w:rsid w:val="005E038F"/>
    <w:rsid w:val="005E0705"/>
    <w:rsid w:val="005E1841"/>
    <w:rsid w:val="005E24B9"/>
    <w:rsid w:val="005E25DD"/>
    <w:rsid w:val="005E272B"/>
    <w:rsid w:val="005E2FD6"/>
    <w:rsid w:val="005E310E"/>
    <w:rsid w:val="005E3A1B"/>
    <w:rsid w:val="005E3B9D"/>
    <w:rsid w:val="005E47B7"/>
    <w:rsid w:val="005E4918"/>
    <w:rsid w:val="005F01B2"/>
    <w:rsid w:val="005F1E38"/>
    <w:rsid w:val="005F2E50"/>
    <w:rsid w:val="005F3655"/>
    <w:rsid w:val="005F40A9"/>
    <w:rsid w:val="005F4585"/>
    <w:rsid w:val="005F496E"/>
    <w:rsid w:val="005F5CBD"/>
    <w:rsid w:val="005F601F"/>
    <w:rsid w:val="005F62E4"/>
    <w:rsid w:val="005F6928"/>
    <w:rsid w:val="005F699C"/>
    <w:rsid w:val="005F75B5"/>
    <w:rsid w:val="005F7AB5"/>
    <w:rsid w:val="006003D4"/>
    <w:rsid w:val="00600C11"/>
    <w:rsid w:val="00601176"/>
    <w:rsid w:val="0060154F"/>
    <w:rsid w:val="0060186F"/>
    <w:rsid w:val="00601B50"/>
    <w:rsid w:val="00601CE8"/>
    <w:rsid w:val="00602225"/>
    <w:rsid w:val="00602560"/>
    <w:rsid w:val="00602864"/>
    <w:rsid w:val="006028F5"/>
    <w:rsid w:val="006030CB"/>
    <w:rsid w:val="006041DF"/>
    <w:rsid w:val="0060451C"/>
    <w:rsid w:val="00604F61"/>
    <w:rsid w:val="00605028"/>
    <w:rsid w:val="00605678"/>
    <w:rsid w:val="0060568B"/>
    <w:rsid w:val="00606871"/>
    <w:rsid w:val="00606FB9"/>
    <w:rsid w:val="006075C2"/>
    <w:rsid w:val="006078B5"/>
    <w:rsid w:val="00607949"/>
    <w:rsid w:val="006119A8"/>
    <w:rsid w:val="0061266C"/>
    <w:rsid w:val="00613047"/>
    <w:rsid w:val="0061315D"/>
    <w:rsid w:val="00613C2B"/>
    <w:rsid w:val="00614414"/>
    <w:rsid w:val="0061441A"/>
    <w:rsid w:val="00615F4F"/>
    <w:rsid w:val="00616375"/>
    <w:rsid w:val="00620035"/>
    <w:rsid w:val="006205EF"/>
    <w:rsid w:val="006213D9"/>
    <w:rsid w:val="0062153D"/>
    <w:rsid w:val="006218B9"/>
    <w:rsid w:val="00621BFB"/>
    <w:rsid w:val="00622092"/>
    <w:rsid w:val="0062330E"/>
    <w:rsid w:val="00623434"/>
    <w:rsid w:val="006236A7"/>
    <w:rsid w:val="006242B3"/>
    <w:rsid w:val="006244C8"/>
    <w:rsid w:val="00624732"/>
    <w:rsid w:val="006257D2"/>
    <w:rsid w:val="006262BF"/>
    <w:rsid w:val="00627C7F"/>
    <w:rsid w:val="00631EB6"/>
    <w:rsid w:val="00632BEC"/>
    <w:rsid w:val="00633668"/>
    <w:rsid w:val="00633DEE"/>
    <w:rsid w:val="00633E99"/>
    <w:rsid w:val="00634180"/>
    <w:rsid w:val="00634466"/>
    <w:rsid w:val="00634F66"/>
    <w:rsid w:val="00636315"/>
    <w:rsid w:val="00636427"/>
    <w:rsid w:val="006365A1"/>
    <w:rsid w:val="00636E3B"/>
    <w:rsid w:val="00636FB8"/>
    <w:rsid w:val="00637114"/>
    <w:rsid w:val="00637794"/>
    <w:rsid w:val="00637F4A"/>
    <w:rsid w:val="006403F2"/>
    <w:rsid w:val="00640B9F"/>
    <w:rsid w:val="006413A4"/>
    <w:rsid w:val="00641772"/>
    <w:rsid w:val="00641BC6"/>
    <w:rsid w:val="00641FAE"/>
    <w:rsid w:val="00644AE0"/>
    <w:rsid w:val="00645780"/>
    <w:rsid w:val="006459C9"/>
    <w:rsid w:val="00645A57"/>
    <w:rsid w:val="006468D7"/>
    <w:rsid w:val="00647309"/>
    <w:rsid w:val="00647F0C"/>
    <w:rsid w:val="006503A6"/>
    <w:rsid w:val="006506BD"/>
    <w:rsid w:val="00650812"/>
    <w:rsid w:val="0065107A"/>
    <w:rsid w:val="006525A7"/>
    <w:rsid w:val="00653690"/>
    <w:rsid w:val="0065417B"/>
    <w:rsid w:val="0065455D"/>
    <w:rsid w:val="006552F7"/>
    <w:rsid w:val="00655FDA"/>
    <w:rsid w:val="00656381"/>
    <w:rsid w:val="006577B2"/>
    <w:rsid w:val="00657F47"/>
    <w:rsid w:val="00660193"/>
    <w:rsid w:val="00660BF1"/>
    <w:rsid w:val="00661563"/>
    <w:rsid w:val="0066174C"/>
    <w:rsid w:val="006618FB"/>
    <w:rsid w:val="00661A15"/>
    <w:rsid w:val="00661F41"/>
    <w:rsid w:val="00662CA0"/>
    <w:rsid w:val="00662E57"/>
    <w:rsid w:val="00662FE3"/>
    <w:rsid w:val="00663BA2"/>
    <w:rsid w:val="00663F91"/>
    <w:rsid w:val="00664D7E"/>
    <w:rsid w:val="00664E95"/>
    <w:rsid w:val="00664ECA"/>
    <w:rsid w:val="00664FDC"/>
    <w:rsid w:val="0066507D"/>
    <w:rsid w:val="0066583F"/>
    <w:rsid w:val="00666098"/>
    <w:rsid w:val="00666C25"/>
    <w:rsid w:val="006672DC"/>
    <w:rsid w:val="00670216"/>
    <w:rsid w:val="00670222"/>
    <w:rsid w:val="00670539"/>
    <w:rsid w:val="006705DE"/>
    <w:rsid w:val="00670F54"/>
    <w:rsid w:val="0067267E"/>
    <w:rsid w:val="006728DF"/>
    <w:rsid w:val="006732F4"/>
    <w:rsid w:val="00673FAA"/>
    <w:rsid w:val="0067532B"/>
    <w:rsid w:val="00675BEC"/>
    <w:rsid w:val="00675F26"/>
    <w:rsid w:val="006761A0"/>
    <w:rsid w:val="0067675A"/>
    <w:rsid w:val="00676D28"/>
    <w:rsid w:val="00677F63"/>
    <w:rsid w:val="00680276"/>
    <w:rsid w:val="006805C0"/>
    <w:rsid w:val="0068061C"/>
    <w:rsid w:val="006807F1"/>
    <w:rsid w:val="00680901"/>
    <w:rsid w:val="00680A73"/>
    <w:rsid w:val="0068100C"/>
    <w:rsid w:val="0068162F"/>
    <w:rsid w:val="00681697"/>
    <w:rsid w:val="00681C13"/>
    <w:rsid w:val="00681DF9"/>
    <w:rsid w:val="0068221B"/>
    <w:rsid w:val="0068264C"/>
    <w:rsid w:val="0068284E"/>
    <w:rsid w:val="00682DF8"/>
    <w:rsid w:val="006832A8"/>
    <w:rsid w:val="006833FC"/>
    <w:rsid w:val="00684634"/>
    <w:rsid w:val="006846C2"/>
    <w:rsid w:val="006849EB"/>
    <w:rsid w:val="00685724"/>
    <w:rsid w:val="006867B0"/>
    <w:rsid w:val="00686EE1"/>
    <w:rsid w:val="00687056"/>
    <w:rsid w:val="006873D8"/>
    <w:rsid w:val="00687915"/>
    <w:rsid w:val="00687B70"/>
    <w:rsid w:val="00690159"/>
    <w:rsid w:val="006903BD"/>
    <w:rsid w:val="006919D3"/>
    <w:rsid w:val="00691B4E"/>
    <w:rsid w:val="00691F8C"/>
    <w:rsid w:val="006935C0"/>
    <w:rsid w:val="006936ED"/>
    <w:rsid w:val="006937CE"/>
    <w:rsid w:val="00693E57"/>
    <w:rsid w:val="0069484E"/>
    <w:rsid w:val="006961C0"/>
    <w:rsid w:val="006971C5"/>
    <w:rsid w:val="00697E2D"/>
    <w:rsid w:val="006A14CF"/>
    <w:rsid w:val="006A230D"/>
    <w:rsid w:val="006A23C6"/>
    <w:rsid w:val="006A2A8C"/>
    <w:rsid w:val="006A2AA8"/>
    <w:rsid w:val="006A31C7"/>
    <w:rsid w:val="006A343D"/>
    <w:rsid w:val="006A3DBD"/>
    <w:rsid w:val="006A3E15"/>
    <w:rsid w:val="006A5F07"/>
    <w:rsid w:val="006A6111"/>
    <w:rsid w:val="006A616F"/>
    <w:rsid w:val="006A66A5"/>
    <w:rsid w:val="006A7398"/>
    <w:rsid w:val="006A78B6"/>
    <w:rsid w:val="006B0ABC"/>
    <w:rsid w:val="006B1885"/>
    <w:rsid w:val="006B2029"/>
    <w:rsid w:val="006B2BC7"/>
    <w:rsid w:val="006B2E7D"/>
    <w:rsid w:val="006B36FB"/>
    <w:rsid w:val="006B3987"/>
    <w:rsid w:val="006B43E2"/>
    <w:rsid w:val="006B4CE0"/>
    <w:rsid w:val="006B57FA"/>
    <w:rsid w:val="006B639B"/>
    <w:rsid w:val="006B6AFA"/>
    <w:rsid w:val="006B6FB8"/>
    <w:rsid w:val="006B7B89"/>
    <w:rsid w:val="006C0946"/>
    <w:rsid w:val="006C38EC"/>
    <w:rsid w:val="006C47B3"/>
    <w:rsid w:val="006C48CA"/>
    <w:rsid w:val="006C491C"/>
    <w:rsid w:val="006C5341"/>
    <w:rsid w:val="006C70B6"/>
    <w:rsid w:val="006C798E"/>
    <w:rsid w:val="006C7C92"/>
    <w:rsid w:val="006C7EDA"/>
    <w:rsid w:val="006D018F"/>
    <w:rsid w:val="006D0236"/>
    <w:rsid w:val="006D0C27"/>
    <w:rsid w:val="006D1DE3"/>
    <w:rsid w:val="006D2F95"/>
    <w:rsid w:val="006D322D"/>
    <w:rsid w:val="006D3C44"/>
    <w:rsid w:val="006D4733"/>
    <w:rsid w:val="006D5307"/>
    <w:rsid w:val="006D5562"/>
    <w:rsid w:val="006D596F"/>
    <w:rsid w:val="006D5DFB"/>
    <w:rsid w:val="006D6F6E"/>
    <w:rsid w:val="006D70B9"/>
    <w:rsid w:val="006D71D5"/>
    <w:rsid w:val="006D7819"/>
    <w:rsid w:val="006D7C43"/>
    <w:rsid w:val="006E008F"/>
    <w:rsid w:val="006E146D"/>
    <w:rsid w:val="006E2671"/>
    <w:rsid w:val="006E2CB0"/>
    <w:rsid w:val="006E2D2E"/>
    <w:rsid w:val="006E32BC"/>
    <w:rsid w:val="006E4342"/>
    <w:rsid w:val="006E50B5"/>
    <w:rsid w:val="006E55D9"/>
    <w:rsid w:val="006E5B81"/>
    <w:rsid w:val="006E6161"/>
    <w:rsid w:val="006E6781"/>
    <w:rsid w:val="006E771F"/>
    <w:rsid w:val="006E787D"/>
    <w:rsid w:val="006F0692"/>
    <w:rsid w:val="006F06F1"/>
    <w:rsid w:val="006F0932"/>
    <w:rsid w:val="006F2A3A"/>
    <w:rsid w:val="006F2C75"/>
    <w:rsid w:val="006F2DCF"/>
    <w:rsid w:val="006F2DFB"/>
    <w:rsid w:val="006F2FC1"/>
    <w:rsid w:val="006F3335"/>
    <w:rsid w:val="006F3A7F"/>
    <w:rsid w:val="006F3F47"/>
    <w:rsid w:val="006F49DB"/>
    <w:rsid w:val="006F4A65"/>
    <w:rsid w:val="006F4DB2"/>
    <w:rsid w:val="006F5C56"/>
    <w:rsid w:val="006F65CF"/>
    <w:rsid w:val="006F6E3F"/>
    <w:rsid w:val="006F7602"/>
    <w:rsid w:val="006F79C2"/>
    <w:rsid w:val="006F7B97"/>
    <w:rsid w:val="007004E8"/>
    <w:rsid w:val="00701255"/>
    <w:rsid w:val="0070165B"/>
    <w:rsid w:val="0070284F"/>
    <w:rsid w:val="00702B14"/>
    <w:rsid w:val="00703251"/>
    <w:rsid w:val="00703801"/>
    <w:rsid w:val="00703A1F"/>
    <w:rsid w:val="00704151"/>
    <w:rsid w:val="00704801"/>
    <w:rsid w:val="007053AE"/>
    <w:rsid w:val="0070579D"/>
    <w:rsid w:val="00706408"/>
    <w:rsid w:val="00706429"/>
    <w:rsid w:val="0070655F"/>
    <w:rsid w:val="00706619"/>
    <w:rsid w:val="00706E8C"/>
    <w:rsid w:val="00707B98"/>
    <w:rsid w:val="0071008B"/>
    <w:rsid w:val="007102BE"/>
    <w:rsid w:val="0071068F"/>
    <w:rsid w:val="00710F41"/>
    <w:rsid w:val="007114D5"/>
    <w:rsid w:val="007133E2"/>
    <w:rsid w:val="00713ADC"/>
    <w:rsid w:val="00715028"/>
    <w:rsid w:val="00715F78"/>
    <w:rsid w:val="00716272"/>
    <w:rsid w:val="00716383"/>
    <w:rsid w:val="0071641E"/>
    <w:rsid w:val="0071644B"/>
    <w:rsid w:val="00716D62"/>
    <w:rsid w:val="007172DF"/>
    <w:rsid w:val="00717728"/>
    <w:rsid w:val="0071789A"/>
    <w:rsid w:val="00717C85"/>
    <w:rsid w:val="00720356"/>
    <w:rsid w:val="00720FC7"/>
    <w:rsid w:val="00721260"/>
    <w:rsid w:val="007215BE"/>
    <w:rsid w:val="00721A50"/>
    <w:rsid w:val="007222DF"/>
    <w:rsid w:val="007223AF"/>
    <w:rsid w:val="00722628"/>
    <w:rsid w:val="00723B73"/>
    <w:rsid w:val="0072481E"/>
    <w:rsid w:val="00724BCB"/>
    <w:rsid w:val="00724F72"/>
    <w:rsid w:val="007268DD"/>
    <w:rsid w:val="007270E5"/>
    <w:rsid w:val="00727B53"/>
    <w:rsid w:val="0073052A"/>
    <w:rsid w:val="0073203A"/>
    <w:rsid w:val="00733088"/>
    <w:rsid w:val="007331F4"/>
    <w:rsid w:val="00733357"/>
    <w:rsid w:val="007335AC"/>
    <w:rsid w:val="007338F6"/>
    <w:rsid w:val="00733E9E"/>
    <w:rsid w:val="00734083"/>
    <w:rsid w:val="007346EF"/>
    <w:rsid w:val="00734820"/>
    <w:rsid w:val="0073490D"/>
    <w:rsid w:val="007354D2"/>
    <w:rsid w:val="00735D7F"/>
    <w:rsid w:val="00736389"/>
    <w:rsid w:val="007373FE"/>
    <w:rsid w:val="007376A0"/>
    <w:rsid w:val="00737BA1"/>
    <w:rsid w:val="0074080A"/>
    <w:rsid w:val="007409D1"/>
    <w:rsid w:val="00741EC7"/>
    <w:rsid w:val="00742AF7"/>
    <w:rsid w:val="00743483"/>
    <w:rsid w:val="007434EA"/>
    <w:rsid w:val="00743CFB"/>
    <w:rsid w:val="00743DC0"/>
    <w:rsid w:val="007468E9"/>
    <w:rsid w:val="00746B55"/>
    <w:rsid w:val="00746D87"/>
    <w:rsid w:val="00750030"/>
    <w:rsid w:val="00750092"/>
    <w:rsid w:val="00750B83"/>
    <w:rsid w:val="00751081"/>
    <w:rsid w:val="00751CB7"/>
    <w:rsid w:val="00751D70"/>
    <w:rsid w:val="0075275D"/>
    <w:rsid w:val="00753042"/>
    <w:rsid w:val="0075364D"/>
    <w:rsid w:val="007537A3"/>
    <w:rsid w:val="007537ED"/>
    <w:rsid w:val="007538B3"/>
    <w:rsid w:val="00753A82"/>
    <w:rsid w:val="00753C4C"/>
    <w:rsid w:val="00754BC2"/>
    <w:rsid w:val="00755C1C"/>
    <w:rsid w:val="00755E95"/>
    <w:rsid w:val="0075662D"/>
    <w:rsid w:val="00756E85"/>
    <w:rsid w:val="00756EED"/>
    <w:rsid w:val="00757B19"/>
    <w:rsid w:val="00760236"/>
    <w:rsid w:val="00760668"/>
    <w:rsid w:val="00760D7C"/>
    <w:rsid w:val="007614B1"/>
    <w:rsid w:val="00761E98"/>
    <w:rsid w:val="0076289F"/>
    <w:rsid w:val="00762AB2"/>
    <w:rsid w:val="00762B7B"/>
    <w:rsid w:val="0076343A"/>
    <w:rsid w:val="007639B7"/>
    <w:rsid w:val="00763E1C"/>
    <w:rsid w:val="007641E4"/>
    <w:rsid w:val="007642D4"/>
    <w:rsid w:val="00765918"/>
    <w:rsid w:val="00766091"/>
    <w:rsid w:val="00767062"/>
    <w:rsid w:val="007704D0"/>
    <w:rsid w:val="007708F2"/>
    <w:rsid w:val="00770FD7"/>
    <w:rsid w:val="007710D2"/>
    <w:rsid w:val="0077123E"/>
    <w:rsid w:val="00772D77"/>
    <w:rsid w:val="00772E2C"/>
    <w:rsid w:val="00772EEA"/>
    <w:rsid w:val="00773B3B"/>
    <w:rsid w:val="00773C8C"/>
    <w:rsid w:val="00773EE0"/>
    <w:rsid w:val="007756EB"/>
    <w:rsid w:val="0077789C"/>
    <w:rsid w:val="00777FD2"/>
    <w:rsid w:val="00781583"/>
    <w:rsid w:val="00781772"/>
    <w:rsid w:val="007823DB"/>
    <w:rsid w:val="00782727"/>
    <w:rsid w:val="007828D4"/>
    <w:rsid w:val="007829A8"/>
    <w:rsid w:val="00783D26"/>
    <w:rsid w:val="00783D3D"/>
    <w:rsid w:val="00784A89"/>
    <w:rsid w:val="00785191"/>
    <w:rsid w:val="00785654"/>
    <w:rsid w:val="00786B4B"/>
    <w:rsid w:val="00787028"/>
    <w:rsid w:val="0078733C"/>
    <w:rsid w:val="007905E6"/>
    <w:rsid w:val="00790633"/>
    <w:rsid w:val="00790678"/>
    <w:rsid w:val="007910BC"/>
    <w:rsid w:val="00791E84"/>
    <w:rsid w:val="00792061"/>
    <w:rsid w:val="00792306"/>
    <w:rsid w:val="007927F7"/>
    <w:rsid w:val="00793254"/>
    <w:rsid w:val="00793813"/>
    <w:rsid w:val="007940E7"/>
    <w:rsid w:val="00794CA5"/>
    <w:rsid w:val="00795199"/>
    <w:rsid w:val="0079522E"/>
    <w:rsid w:val="007965CB"/>
    <w:rsid w:val="00796EC3"/>
    <w:rsid w:val="00796FB2"/>
    <w:rsid w:val="007973AD"/>
    <w:rsid w:val="00797716"/>
    <w:rsid w:val="007978A7"/>
    <w:rsid w:val="007A06CF"/>
    <w:rsid w:val="007A086D"/>
    <w:rsid w:val="007A1328"/>
    <w:rsid w:val="007A1D4E"/>
    <w:rsid w:val="007A22B4"/>
    <w:rsid w:val="007A2DC2"/>
    <w:rsid w:val="007A3AAD"/>
    <w:rsid w:val="007A3C15"/>
    <w:rsid w:val="007A402A"/>
    <w:rsid w:val="007A4B87"/>
    <w:rsid w:val="007A5048"/>
    <w:rsid w:val="007A597B"/>
    <w:rsid w:val="007A5F09"/>
    <w:rsid w:val="007A6848"/>
    <w:rsid w:val="007A6EC8"/>
    <w:rsid w:val="007B0D34"/>
    <w:rsid w:val="007B1BCF"/>
    <w:rsid w:val="007B3231"/>
    <w:rsid w:val="007B52E5"/>
    <w:rsid w:val="007B615B"/>
    <w:rsid w:val="007B6DBA"/>
    <w:rsid w:val="007B7B27"/>
    <w:rsid w:val="007C0313"/>
    <w:rsid w:val="007C0CD2"/>
    <w:rsid w:val="007C12F6"/>
    <w:rsid w:val="007C2684"/>
    <w:rsid w:val="007C3ADD"/>
    <w:rsid w:val="007C3BD8"/>
    <w:rsid w:val="007C5462"/>
    <w:rsid w:val="007C589F"/>
    <w:rsid w:val="007C5A33"/>
    <w:rsid w:val="007C5AA9"/>
    <w:rsid w:val="007C5D38"/>
    <w:rsid w:val="007C685F"/>
    <w:rsid w:val="007C694A"/>
    <w:rsid w:val="007C6B9B"/>
    <w:rsid w:val="007C7050"/>
    <w:rsid w:val="007C72EB"/>
    <w:rsid w:val="007C7374"/>
    <w:rsid w:val="007D04A6"/>
    <w:rsid w:val="007D07CF"/>
    <w:rsid w:val="007D0A31"/>
    <w:rsid w:val="007D1D97"/>
    <w:rsid w:val="007D200F"/>
    <w:rsid w:val="007D2F00"/>
    <w:rsid w:val="007D2F44"/>
    <w:rsid w:val="007D33D1"/>
    <w:rsid w:val="007D4053"/>
    <w:rsid w:val="007D4DEC"/>
    <w:rsid w:val="007D5039"/>
    <w:rsid w:val="007D63B5"/>
    <w:rsid w:val="007D64E5"/>
    <w:rsid w:val="007D659A"/>
    <w:rsid w:val="007D6B89"/>
    <w:rsid w:val="007D706B"/>
    <w:rsid w:val="007D7392"/>
    <w:rsid w:val="007E183F"/>
    <w:rsid w:val="007E25AC"/>
    <w:rsid w:val="007E2631"/>
    <w:rsid w:val="007E3332"/>
    <w:rsid w:val="007E35BC"/>
    <w:rsid w:val="007E39FE"/>
    <w:rsid w:val="007E3FF6"/>
    <w:rsid w:val="007E500F"/>
    <w:rsid w:val="007E5036"/>
    <w:rsid w:val="007E5264"/>
    <w:rsid w:val="007E534A"/>
    <w:rsid w:val="007E64F3"/>
    <w:rsid w:val="007E67EA"/>
    <w:rsid w:val="007E680D"/>
    <w:rsid w:val="007E71B2"/>
    <w:rsid w:val="007E7528"/>
    <w:rsid w:val="007F006F"/>
    <w:rsid w:val="007F0936"/>
    <w:rsid w:val="007F10F8"/>
    <w:rsid w:val="007F13FF"/>
    <w:rsid w:val="007F19AE"/>
    <w:rsid w:val="007F1A03"/>
    <w:rsid w:val="007F2176"/>
    <w:rsid w:val="007F2185"/>
    <w:rsid w:val="007F2D68"/>
    <w:rsid w:val="007F3A32"/>
    <w:rsid w:val="007F48C8"/>
    <w:rsid w:val="007F4E62"/>
    <w:rsid w:val="007F5092"/>
    <w:rsid w:val="007F56CC"/>
    <w:rsid w:val="007F6534"/>
    <w:rsid w:val="007F6AF9"/>
    <w:rsid w:val="007F6DA9"/>
    <w:rsid w:val="00800DDF"/>
    <w:rsid w:val="008026C6"/>
    <w:rsid w:val="0080273E"/>
    <w:rsid w:val="00802B0A"/>
    <w:rsid w:val="008043A9"/>
    <w:rsid w:val="00804C31"/>
    <w:rsid w:val="00804D30"/>
    <w:rsid w:val="00804EDF"/>
    <w:rsid w:val="00805023"/>
    <w:rsid w:val="00805E7E"/>
    <w:rsid w:val="008062D3"/>
    <w:rsid w:val="00806356"/>
    <w:rsid w:val="0080731A"/>
    <w:rsid w:val="00807CC8"/>
    <w:rsid w:val="00810000"/>
    <w:rsid w:val="008102CE"/>
    <w:rsid w:val="00810771"/>
    <w:rsid w:val="00810AC0"/>
    <w:rsid w:val="00812069"/>
    <w:rsid w:val="00812365"/>
    <w:rsid w:val="00812AA3"/>
    <w:rsid w:val="00812DC3"/>
    <w:rsid w:val="00812DDD"/>
    <w:rsid w:val="00812DE1"/>
    <w:rsid w:val="00813789"/>
    <w:rsid w:val="008145DF"/>
    <w:rsid w:val="008147C8"/>
    <w:rsid w:val="00814B46"/>
    <w:rsid w:val="00815122"/>
    <w:rsid w:val="00815480"/>
    <w:rsid w:val="008163AB"/>
    <w:rsid w:val="0081689F"/>
    <w:rsid w:val="008177C3"/>
    <w:rsid w:val="00820F37"/>
    <w:rsid w:val="0082121E"/>
    <w:rsid w:val="00821766"/>
    <w:rsid w:val="00823624"/>
    <w:rsid w:val="00823E28"/>
    <w:rsid w:val="00823EEC"/>
    <w:rsid w:val="0082458F"/>
    <w:rsid w:val="008251C3"/>
    <w:rsid w:val="00826660"/>
    <w:rsid w:val="00826D0C"/>
    <w:rsid w:val="0083049A"/>
    <w:rsid w:val="00830B57"/>
    <w:rsid w:val="00830DF6"/>
    <w:rsid w:val="00830F4E"/>
    <w:rsid w:val="0083225D"/>
    <w:rsid w:val="008323FD"/>
    <w:rsid w:val="00832B8F"/>
    <w:rsid w:val="0083363E"/>
    <w:rsid w:val="00833D85"/>
    <w:rsid w:val="00834115"/>
    <w:rsid w:val="00834914"/>
    <w:rsid w:val="0083534D"/>
    <w:rsid w:val="008361FA"/>
    <w:rsid w:val="00836726"/>
    <w:rsid w:val="00836E8C"/>
    <w:rsid w:val="00836EC3"/>
    <w:rsid w:val="0084022F"/>
    <w:rsid w:val="0084027D"/>
    <w:rsid w:val="008402BE"/>
    <w:rsid w:val="00840767"/>
    <w:rsid w:val="00841131"/>
    <w:rsid w:val="00842AB6"/>
    <w:rsid w:val="00843A55"/>
    <w:rsid w:val="00843F2D"/>
    <w:rsid w:val="008445BB"/>
    <w:rsid w:val="00846831"/>
    <w:rsid w:val="00846EB6"/>
    <w:rsid w:val="00847A77"/>
    <w:rsid w:val="00847D82"/>
    <w:rsid w:val="00850206"/>
    <w:rsid w:val="008507BB"/>
    <w:rsid w:val="00851CBD"/>
    <w:rsid w:val="00852A6C"/>
    <w:rsid w:val="008532DB"/>
    <w:rsid w:val="008534A5"/>
    <w:rsid w:val="00853A30"/>
    <w:rsid w:val="00854352"/>
    <w:rsid w:val="00854CAE"/>
    <w:rsid w:val="008562B9"/>
    <w:rsid w:val="008570A1"/>
    <w:rsid w:val="008579DD"/>
    <w:rsid w:val="00860950"/>
    <w:rsid w:val="00860AC3"/>
    <w:rsid w:val="00861498"/>
    <w:rsid w:val="0086237A"/>
    <w:rsid w:val="00862BD0"/>
    <w:rsid w:val="008630A0"/>
    <w:rsid w:val="00863DC6"/>
    <w:rsid w:val="00863DCA"/>
    <w:rsid w:val="00864171"/>
    <w:rsid w:val="00864813"/>
    <w:rsid w:val="00866054"/>
    <w:rsid w:val="008661F8"/>
    <w:rsid w:val="008677FD"/>
    <w:rsid w:val="008678AE"/>
    <w:rsid w:val="008701FD"/>
    <w:rsid w:val="00870449"/>
    <w:rsid w:val="00871282"/>
    <w:rsid w:val="00871635"/>
    <w:rsid w:val="008726F8"/>
    <w:rsid w:val="00872D8D"/>
    <w:rsid w:val="00872E75"/>
    <w:rsid w:val="00873E56"/>
    <w:rsid w:val="00874034"/>
    <w:rsid w:val="00874191"/>
    <w:rsid w:val="0087470F"/>
    <w:rsid w:val="00874AFC"/>
    <w:rsid w:val="00874E3D"/>
    <w:rsid w:val="00874F53"/>
    <w:rsid w:val="00875886"/>
    <w:rsid w:val="00875F20"/>
    <w:rsid w:val="00875FE8"/>
    <w:rsid w:val="008765B5"/>
    <w:rsid w:val="00876DD3"/>
    <w:rsid w:val="0087770C"/>
    <w:rsid w:val="008777E4"/>
    <w:rsid w:val="00880206"/>
    <w:rsid w:val="00880BE9"/>
    <w:rsid w:val="0088100A"/>
    <w:rsid w:val="0088219D"/>
    <w:rsid w:val="008826EF"/>
    <w:rsid w:val="00883FD5"/>
    <w:rsid w:val="008840D6"/>
    <w:rsid w:val="008854FE"/>
    <w:rsid w:val="008863D2"/>
    <w:rsid w:val="00886CC1"/>
    <w:rsid w:val="008878BC"/>
    <w:rsid w:val="0089094C"/>
    <w:rsid w:val="00891546"/>
    <w:rsid w:val="0089310B"/>
    <w:rsid w:val="008939D8"/>
    <w:rsid w:val="00894BCC"/>
    <w:rsid w:val="008951C9"/>
    <w:rsid w:val="00895AA0"/>
    <w:rsid w:val="00895CEE"/>
    <w:rsid w:val="00896610"/>
    <w:rsid w:val="00897517"/>
    <w:rsid w:val="00897EF8"/>
    <w:rsid w:val="008A04F0"/>
    <w:rsid w:val="008A059B"/>
    <w:rsid w:val="008A1011"/>
    <w:rsid w:val="008A1BD1"/>
    <w:rsid w:val="008A28C8"/>
    <w:rsid w:val="008A2D5E"/>
    <w:rsid w:val="008A33A1"/>
    <w:rsid w:val="008A3439"/>
    <w:rsid w:val="008A3681"/>
    <w:rsid w:val="008A400D"/>
    <w:rsid w:val="008A58F5"/>
    <w:rsid w:val="008A5D83"/>
    <w:rsid w:val="008A785F"/>
    <w:rsid w:val="008B067A"/>
    <w:rsid w:val="008B08F4"/>
    <w:rsid w:val="008B0C0B"/>
    <w:rsid w:val="008B0C7C"/>
    <w:rsid w:val="008B0CDB"/>
    <w:rsid w:val="008B15C5"/>
    <w:rsid w:val="008B284A"/>
    <w:rsid w:val="008B37DA"/>
    <w:rsid w:val="008B42B2"/>
    <w:rsid w:val="008B48C7"/>
    <w:rsid w:val="008B509C"/>
    <w:rsid w:val="008B5FE3"/>
    <w:rsid w:val="008B6643"/>
    <w:rsid w:val="008B764D"/>
    <w:rsid w:val="008B7C61"/>
    <w:rsid w:val="008C038F"/>
    <w:rsid w:val="008C06A6"/>
    <w:rsid w:val="008C1D02"/>
    <w:rsid w:val="008C205B"/>
    <w:rsid w:val="008C23FD"/>
    <w:rsid w:val="008C2E33"/>
    <w:rsid w:val="008C3A1F"/>
    <w:rsid w:val="008C3AD6"/>
    <w:rsid w:val="008C43C1"/>
    <w:rsid w:val="008C46D6"/>
    <w:rsid w:val="008C53B5"/>
    <w:rsid w:val="008C66ED"/>
    <w:rsid w:val="008C74CC"/>
    <w:rsid w:val="008C7639"/>
    <w:rsid w:val="008D065D"/>
    <w:rsid w:val="008D20E4"/>
    <w:rsid w:val="008D29C4"/>
    <w:rsid w:val="008D32EF"/>
    <w:rsid w:val="008D33A1"/>
    <w:rsid w:val="008D3DA9"/>
    <w:rsid w:val="008D3ED6"/>
    <w:rsid w:val="008D4521"/>
    <w:rsid w:val="008D4F0B"/>
    <w:rsid w:val="008D4F6A"/>
    <w:rsid w:val="008D66D1"/>
    <w:rsid w:val="008D791F"/>
    <w:rsid w:val="008E0A80"/>
    <w:rsid w:val="008E0D45"/>
    <w:rsid w:val="008E10EF"/>
    <w:rsid w:val="008E2B5E"/>
    <w:rsid w:val="008E2E80"/>
    <w:rsid w:val="008E32F7"/>
    <w:rsid w:val="008E3635"/>
    <w:rsid w:val="008E36E0"/>
    <w:rsid w:val="008E3F47"/>
    <w:rsid w:val="008E4216"/>
    <w:rsid w:val="008E493B"/>
    <w:rsid w:val="008E4BC2"/>
    <w:rsid w:val="008E4E33"/>
    <w:rsid w:val="008E7CF4"/>
    <w:rsid w:val="008F023F"/>
    <w:rsid w:val="008F0FD7"/>
    <w:rsid w:val="008F1434"/>
    <w:rsid w:val="008F15B7"/>
    <w:rsid w:val="008F22B8"/>
    <w:rsid w:val="008F23D0"/>
    <w:rsid w:val="008F2930"/>
    <w:rsid w:val="008F32C1"/>
    <w:rsid w:val="008F3896"/>
    <w:rsid w:val="008F3E90"/>
    <w:rsid w:val="008F43CC"/>
    <w:rsid w:val="008F4454"/>
    <w:rsid w:val="008F5361"/>
    <w:rsid w:val="008F6201"/>
    <w:rsid w:val="008F6C39"/>
    <w:rsid w:val="008F7401"/>
    <w:rsid w:val="008F7930"/>
    <w:rsid w:val="008F7B96"/>
    <w:rsid w:val="008F7FAB"/>
    <w:rsid w:val="009002A9"/>
    <w:rsid w:val="009002F9"/>
    <w:rsid w:val="0090051F"/>
    <w:rsid w:val="009007CF"/>
    <w:rsid w:val="00900C83"/>
    <w:rsid w:val="00902756"/>
    <w:rsid w:val="00903778"/>
    <w:rsid w:val="00903D44"/>
    <w:rsid w:val="00903D55"/>
    <w:rsid w:val="009049D9"/>
    <w:rsid w:val="00906406"/>
    <w:rsid w:val="00906C66"/>
    <w:rsid w:val="009077EA"/>
    <w:rsid w:val="009079CF"/>
    <w:rsid w:val="0091168A"/>
    <w:rsid w:val="009125EF"/>
    <w:rsid w:val="00913235"/>
    <w:rsid w:val="00913303"/>
    <w:rsid w:val="0091368D"/>
    <w:rsid w:val="00913D3C"/>
    <w:rsid w:val="009148A3"/>
    <w:rsid w:val="00914E1E"/>
    <w:rsid w:val="00915EF0"/>
    <w:rsid w:val="00916192"/>
    <w:rsid w:val="00920EEC"/>
    <w:rsid w:val="009215B3"/>
    <w:rsid w:val="00922F4B"/>
    <w:rsid w:val="00924F6B"/>
    <w:rsid w:val="00924FF8"/>
    <w:rsid w:val="009251EC"/>
    <w:rsid w:val="009263F3"/>
    <w:rsid w:val="00927773"/>
    <w:rsid w:val="00930084"/>
    <w:rsid w:val="009302E1"/>
    <w:rsid w:val="0093074F"/>
    <w:rsid w:val="00930AFD"/>
    <w:rsid w:val="00931A49"/>
    <w:rsid w:val="00931D9C"/>
    <w:rsid w:val="00931FE8"/>
    <w:rsid w:val="00932014"/>
    <w:rsid w:val="009322C5"/>
    <w:rsid w:val="00932D66"/>
    <w:rsid w:val="0093308A"/>
    <w:rsid w:val="009335E8"/>
    <w:rsid w:val="00933C1F"/>
    <w:rsid w:val="0093413B"/>
    <w:rsid w:val="009348DD"/>
    <w:rsid w:val="00935190"/>
    <w:rsid w:val="00935221"/>
    <w:rsid w:val="00936104"/>
    <w:rsid w:val="009365EA"/>
    <w:rsid w:val="00936A34"/>
    <w:rsid w:val="00936E5B"/>
    <w:rsid w:val="009372D0"/>
    <w:rsid w:val="00937B07"/>
    <w:rsid w:val="00937B08"/>
    <w:rsid w:val="00940990"/>
    <w:rsid w:val="00940CAA"/>
    <w:rsid w:val="00940D17"/>
    <w:rsid w:val="00941820"/>
    <w:rsid w:val="00941FDE"/>
    <w:rsid w:val="00942CF8"/>
    <w:rsid w:val="00944BF8"/>
    <w:rsid w:val="00944D31"/>
    <w:rsid w:val="00945134"/>
    <w:rsid w:val="0094518B"/>
    <w:rsid w:val="009455C3"/>
    <w:rsid w:val="009456A3"/>
    <w:rsid w:val="00945A5F"/>
    <w:rsid w:val="00945BB4"/>
    <w:rsid w:val="00945D59"/>
    <w:rsid w:val="00946E1E"/>
    <w:rsid w:val="0094741E"/>
    <w:rsid w:val="009513A7"/>
    <w:rsid w:val="0095254E"/>
    <w:rsid w:val="009526A8"/>
    <w:rsid w:val="00952A60"/>
    <w:rsid w:val="00952BB2"/>
    <w:rsid w:val="00953D29"/>
    <w:rsid w:val="00953E74"/>
    <w:rsid w:val="009540A9"/>
    <w:rsid w:val="00954F2B"/>
    <w:rsid w:val="009558AF"/>
    <w:rsid w:val="00960188"/>
    <w:rsid w:val="009601F9"/>
    <w:rsid w:val="00961351"/>
    <w:rsid w:val="00962511"/>
    <w:rsid w:val="009625F3"/>
    <w:rsid w:val="00963D83"/>
    <w:rsid w:val="00963F86"/>
    <w:rsid w:val="00964362"/>
    <w:rsid w:val="00964C7B"/>
    <w:rsid w:val="00965551"/>
    <w:rsid w:val="00965A44"/>
    <w:rsid w:val="009666D5"/>
    <w:rsid w:val="009668BE"/>
    <w:rsid w:val="009675D8"/>
    <w:rsid w:val="0096779B"/>
    <w:rsid w:val="00967F42"/>
    <w:rsid w:val="0097037D"/>
    <w:rsid w:val="0097095D"/>
    <w:rsid w:val="009723A2"/>
    <w:rsid w:val="00972830"/>
    <w:rsid w:val="00973C29"/>
    <w:rsid w:val="00973F28"/>
    <w:rsid w:val="00974437"/>
    <w:rsid w:val="009766EF"/>
    <w:rsid w:val="00976BA1"/>
    <w:rsid w:val="009774AB"/>
    <w:rsid w:val="00977D9A"/>
    <w:rsid w:val="00980556"/>
    <w:rsid w:val="009808A1"/>
    <w:rsid w:val="00980AD1"/>
    <w:rsid w:val="00980DF6"/>
    <w:rsid w:val="00980E09"/>
    <w:rsid w:val="0098119B"/>
    <w:rsid w:val="00981400"/>
    <w:rsid w:val="00982C2C"/>
    <w:rsid w:val="00983A01"/>
    <w:rsid w:val="00983F47"/>
    <w:rsid w:val="00983FA3"/>
    <w:rsid w:val="0098429D"/>
    <w:rsid w:val="009848EF"/>
    <w:rsid w:val="00984A4A"/>
    <w:rsid w:val="00984E51"/>
    <w:rsid w:val="009851FB"/>
    <w:rsid w:val="009856B9"/>
    <w:rsid w:val="00985A15"/>
    <w:rsid w:val="0098645C"/>
    <w:rsid w:val="009871C2"/>
    <w:rsid w:val="0098747E"/>
    <w:rsid w:val="00990266"/>
    <w:rsid w:val="00990B82"/>
    <w:rsid w:val="00990C30"/>
    <w:rsid w:val="009921A4"/>
    <w:rsid w:val="009924A5"/>
    <w:rsid w:val="009928E8"/>
    <w:rsid w:val="00992A26"/>
    <w:rsid w:val="009933CD"/>
    <w:rsid w:val="009934BF"/>
    <w:rsid w:val="00993A3B"/>
    <w:rsid w:val="00993CB5"/>
    <w:rsid w:val="00993D1C"/>
    <w:rsid w:val="00993DEB"/>
    <w:rsid w:val="009942DD"/>
    <w:rsid w:val="00994416"/>
    <w:rsid w:val="00994993"/>
    <w:rsid w:val="00995322"/>
    <w:rsid w:val="0099567A"/>
    <w:rsid w:val="00995B69"/>
    <w:rsid w:val="0099614C"/>
    <w:rsid w:val="0099632C"/>
    <w:rsid w:val="0099640A"/>
    <w:rsid w:val="0099734A"/>
    <w:rsid w:val="00997FA0"/>
    <w:rsid w:val="009A0A72"/>
    <w:rsid w:val="009A0B60"/>
    <w:rsid w:val="009A13A0"/>
    <w:rsid w:val="009A1DB5"/>
    <w:rsid w:val="009A230D"/>
    <w:rsid w:val="009A2684"/>
    <w:rsid w:val="009A31D4"/>
    <w:rsid w:val="009A34A1"/>
    <w:rsid w:val="009A34DE"/>
    <w:rsid w:val="009A3618"/>
    <w:rsid w:val="009A3FF7"/>
    <w:rsid w:val="009A4461"/>
    <w:rsid w:val="009A543D"/>
    <w:rsid w:val="009A69A0"/>
    <w:rsid w:val="009A6AA2"/>
    <w:rsid w:val="009A7B52"/>
    <w:rsid w:val="009B069C"/>
    <w:rsid w:val="009B1CCF"/>
    <w:rsid w:val="009B2EDC"/>
    <w:rsid w:val="009B2F62"/>
    <w:rsid w:val="009B3538"/>
    <w:rsid w:val="009B38AB"/>
    <w:rsid w:val="009B3BA1"/>
    <w:rsid w:val="009B40E7"/>
    <w:rsid w:val="009B43B6"/>
    <w:rsid w:val="009B5160"/>
    <w:rsid w:val="009B527A"/>
    <w:rsid w:val="009B5805"/>
    <w:rsid w:val="009B5CF4"/>
    <w:rsid w:val="009B5F12"/>
    <w:rsid w:val="009B619F"/>
    <w:rsid w:val="009B67C0"/>
    <w:rsid w:val="009B6A80"/>
    <w:rsid w:val="009B6F19"/>
    <w:rsid w:val="009B7117"/>
    <w:rsid w:val="009B7F5B"/>
    <w:rsid w:val="009C0A55"/>
    <w:rsid w:val="009C1B95"/>
    <w:rsid w:val="009C1C13"/>
    <w:rsid w:val="009C1EF6"/>
    <w:rsid w:val="009C20DF"/>
    <w:rsid w:val="009C21FA"/>
    <w:rsid w:val="009C3069"/>
    <w:rsid w:val="009C37C0"/>
    <w:rsid w:val="009C39C0"/>
    <w:rsid w:val="009C42B1"/>
    <w:rsid w:val="009C5FD5"/>
    <w:rsid w:val="009C6035"/>
    <w:rsid w:val="009C6152"/>
    <w:rsid w:val="009C6591"/>
    <w:rsid w:val="009C6D5F"/>
    <w:rsid w:val="009C78C5"/>
    <w:rsid w:val="009D02F1"/>
    <w:rsid w:val="009D07DE"/>
    <w:rsid w:val="009D0965"/>
    <w:rsid w:val="009D132E"/>
    <w:rsid w:val="009D20C3"/>
    <w:rsid w:val="009D25C0"/>
    <w:rsid w:val="009D264C"/>
    <w:rsid w:val="009D2DC9"/>
    <w:rsid w:val="009D37C3"/>
    <w:rsid w:val="009D502D"/>
    <w:rsid w:val="009D5467"/>
    <w:rsid w:val="009D5654"/>
    <w:rsid w:val="009D57C9"/>
    <w:rsid w:val="009D5C18"/>
    <w:rsid w:val="009D60CA"/>
    <w:rsid w:val="009D6103"/>
    <w:rsid w:val="009D6A1E"/>
    <w:rsid w:val="009D6BE4"/>
    <w:rsid w:val="009D7832"/>
    <w:rsid w:val="009E1564"/>
    <w:rsid w:val="009E15E9"/>
    <w:rsid w:val="009E2112"/>
    <w:rsid w:val="009E22B5"/>
    <w:rsid w:val="009E25EE"/>
    <w:rsid w:val="009E2CE3"/>
    <w:rsid w:val="009E3382"/>
    <w:rsid w:val="009E3D2A"/>
    <w:rsid w:val="009E43AB"/>
    <w:rsid w:val="009E44FB"/>
    <w:rsid w:val="009E4942"/>
    <w:rsid w:val="009E4A37"/>
    <w:rsid w:val="009E4A7F"/>
    <w:rsid w:val="009E4CA5"/>
    <w:rsid w:val="009E5A29"/>
    <w:rsid w:val="009E5EC8"/>
    <w:rsid w:val="009E6C99"/>
    <w:rsid w:val="009E6CDB"/>
    <w:rsid w:val="009E70D8"/>
    <w:rsid w:val="009E7844"/>
    <w:rsid w:val="009F0C67"/>
    <w:rsid w:val="009F1B4D"/>
    <w:rsid w:val="009F1B65"/>
    <w:rsid w:val="009F1F17"/>
    <w:rsid w:val="009F22BE"/>
    <w:rsid w:val="009F2439"/>
    <w:rsid w:val="009F2E41"/>
    <w:rsid w:val="009F32F9"/>
    <w:rsid w:val="009F39F7"/>
    <w:rsid w:val="009F3A1E"/>
    <w:rsid w:val="009F3D47"/>
    <w:rsid w:val="009F4C03"/>
    <w:rsid w:val="009F59B2"/>
    <w:rsid w:val="009F5BCB"/>
    <w:rsid w:val="009F63C0"/>
    <w:rsid w:val="009F6B8F"/>
    <w:rsid w:val="009F6D93"/>
    <w:rsid w:val="00A0034F"/>
    <w:rsid w:val="00A00632"/>
    <w:rsid w:val="00A00D3D"/>
    <w:rsid w:val="00A02266"/>
    <w:rsid w:val="00A024C7"/>
    <w:rsid w:val="00A0406F"/>
    <w:rsid w:val="00A04F52"/>
    <w:rsid w:val="00A05457"/>
    <w:rsid w:val="00A05723"/>
    <w:rsid w:val="00A05ABE"/>
    <w:rsid w:val="00A062D2"/>
    <w:rsid w:val="00A07112"/>
    <w:rsid w:val="00A07662"/>
    <w:rsid w:val="00A0780B"/>
    <w:rsid w:val="00A102BD"/>
    <w:rsid w:val="00A11270"/>
    <w:rsid w:val="00A11327"/>
    <w:rsid w:val="00A113B5"/>
    <w:rsid w:val="00A12703"/>
    <w:rsid w:val="00A13046"/>
    <w:rsid w:val="00A1371E"/>
    <w:rsid w:val="00A137DF"/>
    <w:rsid w:val="00A13C81"/>
    <w:rsid w:val="00A13D50"/>
    <w:rsid w:val="00A17031"/>
    <w:rsid w:val="00A1795E"/>
    <w:rsid w:val="00A17A74"/>
    <w:rsid w:val="00A17ED2"/>
    <w:rsid w:val="00A20F28"/>
    <w:rsid w:val="00A21364"/>
    <w:rsid w:val="00A21AD4"/>
    <w:rsid w:val="00A2297F"/>
    <w:rsid w:val="00A22D03"/>
    <w:rsid w:val="00A2340E"/>
    <w:rsid w:val="00A2368A"/>
    <w:rsid w:val="00A23933"/>
    <w:rsid w:val="00A23CEE"/>
    <w:rsid w:val="00A241EA"/>
    <w:rsid w:val="00A24B87"/>
    <w:rsid w:val="00A24F9F"/>
    <w:rsid w:val="00A25C7D"/>
    <w:rsid w:val="00A25CD7"/>
    <w:rsid w:val="00A25DE0"/>
    <w:rsid w:val="00A25F2D"/>
    <w:rsid w:val="00A27175"/>
    <w:rsid w:val="00A274D0"/>
    <w:rsid w:val="00A27BA6"/>
    <w:rsid w:val="00A27C69"/>
    <w:rsid w:val="00A307AC"/>
    <w:rsid w:val="00A307AF"/>
    <w:rsid w:val="00A309DA"/>
    <w:rsid w:val="00A310EB"/>
    <w:rsid w:val="00A3114D"/>
    <w:rsid w:val="00A31616"/>
    <w:rsid w:val="00A32328"/>
    <w:rsid w:val="00A33019"/>
    <w:rsid w:val="00A33083"/>
    <w:rsid w:val="00A33F85"/>
    <w:rsid w:val="00A353DE"/>
    <w:rsid w:val="00A37148"/>
    <w:rsid w:val="00A41807"/>
    <w:rsid w:val="00A418E4"/>
    <w:rsid w:val="00A4191A"/>
    <w:rsid w:val="00A42484"/>
    <w:rsid w:val="00A42B6D"/>
    <w:rsid w:val="00A436E6"/>
    <w:rsid w:val="00A44444"/>
    <w:rsid w:val="00A44605"/>
    <w:rsid w:val="00A44646"/>
    <w:rsid w:val="00A44721"/>
    <w:rsid w:val="00A44D2C"/>
    <w:rsid w:val="00A44D8D"/>
    <w:rsid w:val="00A451F0"/>
    <w:rsid w:val="00A451F5"/>
    <w:rsid w:val="00A452E1"/>
    <w:rsid w:val="00A4573F"/>
    <w:rsid w:val="00A46E98"/>
    <w:rsid w:val="00A470B5"/>
    <w:rsid w:val="00A477FE"/>
    <w:rsid w:val="00A47819"/>
    <w:rsid w:val="00A479BA"/>
    <w:rsid w:val="00A5097C"/>
    <w:rsid w:val="00A514EA"/>
    <w:rsid w:val="00A51618"/>
    <w:rsid w:val="00A51DC6"/>
    <w:rsid w:val="00A53DD6"/>
    <w:rsid w:val="00A53EEE"/>
    <w:rsid w:val="00A5524A"/>
    <w:rsid w:val="00A55B4B"/>
    <w:rsid w:val="00A56205"/>
    <w:rsid w:val="00A566BB"/>
    <w:rsid w:val="00A574D0"/>
    <w:rsid w:val="00A60A07"/>
    <w:rsid w:val="00A6269A"/>
    <w:rsid w:val="00A62C8E"/>
    <w:rsid w:val="00A62FFA"/>
    <w:rsid w:val="00A632BD"/>
    <w:rsid w:val="00A633EF"/>
    <w:rsid w:val="00A63751"/>
    <w:rsid w:val="00A637A3"/>
    <w:rsid w:val="00A644F3"/>
    <w:rsid w:val="00A64F40"/>
    <w:rsid w:val="00A65A4C"/>
    <w:rsid w:val="00A664E3"/>
    <w:rsid w:val="00A674C3"/>
    <w:rsid w:val="00A676B7"/>
    <w:rsid w:val="00A67D1B"/>
    <w:rsid w:val="00A70A4A"/>
    <w:rsid w:val="00A70D6F"/>
    <w:rsid w:val="00A714BC"/>
    <w:rsid w:val="00A72596"/>
    <w:rsid w:val="00A72EAB"/>
    <w:rsid w:val="00A72FFC"/>
    <w:rsid w:val="00A730ED"/>
    <w:rsid w:val="00A73C1D"/>
    <w:rsid w:val="00A73E53"/>
    <w:rsid w:val="00A74F07"/>
    <w:rsid w:val="00A76E2E"/>
    <w:rsid w:val="00A77322"/>
    <w:rsid w:val="00A77F7C"/>
    <w:rsid w:val="00A80932"/>
    <w:rsid w:val="00A80EE8"/>
    <w:rsid w:val="00A80F3D"/>
    <w:rsid w:val="00A81678"/>
    <w:rsid w:val="00A8214D"/>
    <w:rsid w:val="00A822AB"/>
    <w:rsid w:val="00A82342"/>
    <w:rsid w:val="00A8268A"/>
    <w:rsid w:val="00A833B7"/>
    <w:rsid w:val="00A83467"/>
    <w:rsid w:val="00A836E4"/>
    <w:rsid w:val="00A83802"/>
    <w:rsid w:val="00A84214"/>
    <w:rsid w:val="00A8476C"/>
    <w:rsid w:val="00A84906"/>
    <w:rsid w:val="00A84B19"/>
    <w:rsid w:val="00A85438"/>
    <w:rsid w:val="00A85A0B"/>
    <w:rsid w:val="00A85B3A"/>
    <w:rsid w:val="00A86427"/>
    <w:rsid w:val="00A8657A"/>
    <w:rsid w:val="00A86B5C"/>
    <w:rsid w:val="00A879F5"/>
    <w:rsid w:val="00A87CB8"/>
    <w:rsid w:val="00A90B7E"/>
    <w:rsid w:val="00A90BBC"/>
    <w:rsid w:val="00A919FB"/>
    <w:rsid w:val="00A91F8E"/>
    <w:rsid w:val="00A920EB"/>
    <w:rsid w:val="00A927CC"/>
    <w:rsid w:val="00A93537"/>
    <w:rsid w:val="00A94340"/>
    <w:rsid w:val="00A946E4"/>
    <w:rsid w:val="00A947CD"/>
    <w:rsid w:val="00A95495"/>
    <w:rsid w:val="00A95649"/>
    <w:rsid w:val="00A9662E"/>
    <w:rsid w:val="00A96F0B"/>
    <w:rsid w:val="00AA0996"/>
    <w:rsid w:val="00AA10E4"/>
    <w:rsid w:val="00AA1BF8"/>
    <w:rsid w:val="00AA290D"/>
    <w:rsid w:val="00AA32AC"/>
    <w:rsid w:val="00AA384B"/>
    <w:rsid w:val="00AA3CC4"/>
    <w:rsid w:val="00AA4BDA"/>
    <w:rsid w:val="00AA56BA"/>
    <w:rsid w:val="00AA58AA"/>
    <w:rsid w:val="00AA5FC9"/>
    <w:rsid w:val="00AA6030"/>
    <w:rsid w:val="00AA7407"/>
    <w:rsid w:val="00AA76BA"/>
    <w:rsid w:val="00AA78C3"/>
    <w:rsid w:val="00AB0EE5"/>
    <w:rsid w:val="00AB0EFB"/>
    <w:rsid w:val="00AB1BFD"/>
    <w:rsid w:val="00AB223F"/>
    <w:rsid w:val="00AB2592"/>
    <w:rsid w:val="00AB26D7"/>
    <w:rsid w:val="00AB271C"/>
    <w:rsid w:val="00AB2A19"/>
    <w:rsid w:val="00AB4785"/>
    <w:rsid w:val="00AB49B6"/>
    <w:rsid w:val="00AB4D4A"/>
    <w:rsid w:val="00AB571B"/>
    <w:rsid w:val="00AB5ABB"/>
    <w:rsid w:val="00AB6556"/>
    <w:rsid w:val="00AB69DA"/>
    <w:rsid w:val="00AB6D7D"/>
    <w:rsid w:val="00AB6FAC"/>
    <w:rsid w:val="00AC0270"/>
    <w:rsid w:val="00AC028E"/>
    <w:rsid w:val="00AC090E"/>
    <w:rsid w:val="00AC0ABC"/>
    <w:rsid w:val="00AC13FA"/>
    <w:rsid w:val="00AC16B0"/>
    <w:rsid w:val="00AC17C3"/>
    <w:rsid w:val="00AC19BA"/>
    <w:rsid w:val="00AC41CF"/>
    <w:rsid w:val="00AC48E6"/>
    <w:rsid w:val="00AC6AA6"/>
    <w:rsid w:val="00AC6EDC"/>
    <w:rsid w:val="00AC71C2"/>
    <w:rsid w:val="00AC73F8"/>
    <w:rsid w:val="00AC769A"/>
    <w:rsid w:val="00AD0F99"/>
    <w:rsid w:val="00AD13F3"/>
    <w:rsid w:val="00AD2756"/>
    <w:rsid w:val="00AD325B"/>
    <w:rsid w:val="00AD4398"/>
    <w:rsid w:val="00AD43D2"/>
    <w:rsid w:val="00AD45C9"/>
    <w:rsid w:val="00AD6148"/>
    <w:rsid w:val="00AD6835"/>
    <w:rsid w:val="00AD6B4A"/>
    <w:rsid w:val="00AD6F67"/>
    <w:rsid w:val="00AD75BA"/>
    <w:rsid w:val="00AD7995"/>
    <w:rsid w:val="00AD7E01"/>
    <w:rsid w:val="00AD7EE0"/>
    <w:rsid w:val="00AE0CEC"/>
    <w:rsid w:val="00AE1480"/>
    <w:rsid w:val="00AE19C1"/>
    <w:rsid w:val="00AE266B"/>
    <w:rsid w:val="00AE408A"/>
    <w:rsid w:val="00AE40BF"/>
    <w:rsid w:val="00AE4C27"/>
    <w:rsid w:val="00AE4CCE"/>
    <w:rsid w:val="00AE531E"/>
    <w:rsid w:val="00AE575A"/>
    <w:rsid w:val="00AE5A57"/>
    <w:rsid w:val="00AE5F34"/>
    <w:rsid w:val="00AE681A"/>
    <w:rsid w:val="00AE6ABA"/>
    <w:rsid w:val="00AE760A"/>
    <w:rsid w:val="00AF0992"/>
    <w:rsid w:val="00AF132E"/>
    <w:rsid w:val="00AF1404"/>
    <w:rsid w:val="00AF1689"/>
    <w:rsid w:val="00AF20CD"/>
    <w:rsid w:val="00AF2951"/>
    <w:rsid w:val="00AF2CD3"/>
    <w:rsid w:val="00AF3151"/>
    <w:rsid w:val="00AF3EA2"/>
    <w:rsid w:val="00AF3ECD"/>
    <w:rsid w:val="00AF43C7"/>
    <w:rsid w:val="00AF5F5F"/>
    <w:rsid w:val="00AF605D"/>
    <w:rsid w:val="00AF6337"/>
    <w:rsid w:val="00AF64AF"/>
    <w:rsid w:val="00AF697D"/>
    <w:rsid w:val="00B0103B"/>
    <w:rsid w:val="00B032B1"/>
    <w:rsid w:val="00B033E7"/>
    <w:rsid w:val="00B03D2C"/>
    <w:rsid w:val="00B03E7F"/>
    <w:rsid w:val="00B041A8"/>
    <w:rsid w:val="00B04D70"/>
    <w:rsid w:val="00B05098"/>
    <w:rsid w:val="00B05A9C"/>
    <w:rsid w:val="00B063BE"/>
    <w:rsid w:val="00B06CA0"/>
    <w:rsid w:val="00B06DEC"/>
    <w:rsid w:val="00B0701F"/>
    <w:rsid w:val="00B076BC"/>
    <w:rsid w:val="00B07ED3"/>
    <w:rsid w:val="00B115F6"/>
    <w:rsid w:val="00B11632"/>
    <w:rsid w:val="00B1295A"/>
    <w:rsid w:val="00B137B4"/>
    <w:rsid w:val="00B139BA"/>
    <w:rsid w:val="00B14318"/>
    <w:rsid w:val="00B14A62"/>
    <w:rsid w:val="00B14A6C"/>
    <w:rsid w:val="00B14AAD"/>
    <w:rsid w:val="00B14AED"/>
    <w:rsid w:val="00B14C5E"/>
    <w:rsid w:val="00B151C9"/>
    <w:rsid w:val="00B1556F"/>
    <w:rsid w:val="00B1585C"/>
    <w:rsid w:val="00B15BD3"/>
    <w:rsid w:val="00B15E83"/>
    <w:rsid w:val="00B16206"/>
    <w:rsid w:val="00B162F7"/>
    <w:rsid w:val="00B1666B"/>
    <w:rsid w:val="00B179C9"/>
    <w:rsid w:val="00B21BCB"/>
    <w:rsid w:val="00B225AE"/>
    <w:rsid w:val="00B22E49"/>
    <w:rsid w:val="00B22E4E"/>
    <w:rsid w:val="00B2318C"/>
    <w:rsid w:val="00B247F1"/>
    <w:rsid w:val="00B24A60"/>
    <w:rsid w:val="00B25866"/>
    <w:rsid w:val="00B26197"/>
    <w:rsid w:val="00B26A41"/>
    <w:rsid w:val="00B300E7"/>
    <w:rsid w:val="00B30234"/>
    <w:rsid w:val="00B30A0F"/>
    <w:rsid w:val="00B30BBB"/>
    <w:rsid w:val="00B3183F"/>
    <w:rsid w:val="00B31FC6"/>
    <w:rsid w:val="00B33234"/>
    <w:rsid w:val="00B33671"/>
    <w:rsid w:val="00B33C92"/>
    <w:rsid w:val="00B34161"/>
    <w:rsid w:val="00B353CA"/>
    <w:rsid w:val="00B35744"/>
    <w:rsid w:val="00B3611C"/>
    <w:rsid w:val="00B3615E"/>
    <w:rsid w:val="00B3673C"/>
    <w:rsid w:val="00B37527"/>
    <w:rsid w:val="00B3779B"/>
    <w:rsid w:val="00B401E7"/>
    <w:rsid w:val="00B4089D"/>
    <w:rsid w:val="00B409F8"/>
    <w:rsid w:val="00B4175D"/>
    <w:rsid w:val="00B42696"/>
    <w:rsid w:val="00B4286C"/>
    <w:rsid w:val="00B42CEC"/>
    <w:rsid w:val="00B42E34"/>
    <w:rsid w:val="00B43A1A"/>
    <w:rsid w:val="00B4426E"/>
    <w:rsid w:val="00B44386"/>
    <w:rsid w:val="00B44B05"/>
    <w:rsid w:val="00B44C29"/>
    <w:rsid w:val="00B44CE1"/>
    <w:rsid w:val="00B4712E"/>
    <w:rsid w:val="00B472FA"/>
    <w:rsid w:val="00B476F6"/>
    <w:rsid w:val="00B4790A"/>
    <w:rsid w:val="00B501EF"/>
    <w:rsid w:val="00B50843"/>
    <w:rsid w:val="00B50855"/>
    <w:rsid w:val="00B50DD3"/>
    <w:rsid w:val="00B515B3"/>
    <w:rsid w:val="00B5198A"/>
    <w:rsid w:val="00B51D52"/>
    <w:rsid w:val="00B53210"/>
    <w:rsid w:val="00B53523"/>
    <w:rsid w:val="00B53C13"/>
    <w:rsid w:val="00B5422C"/>
    <w:rsid w:val="00B54878"/>
    <w:rsid w:val="00B55BF7"/>
    <w:rsid w:val="00B560CA"/>
    <w:rsid w:val="00B568BE"/>
    <w:rsid w:val="00B56AC5"/>
    <w:rsid w:val="00B57AF8"/>
    <w:rsid w:val="00B57C04"/>
    <w:rsid w:val="00B57D23"/>
    <w:rsid w:val="00B57D2C"/>
    <w:rsid w:val="00B61939"/>
    <w:rsid w:val="00B6207A"/>
    <w:rsid w:val="00B62648"/>
    <w:rsid w:val="00B62E09"/>
    <w:rsid w:val="00B64887"/>
    <w:rsid w:val="00B64A76"/>
    <w:rsid w:val="00B65166"/>
    <w:rsid w:val="00B65642"/>
    <w:rsid w:val="00B6575D"/>
    <w:rsid w:val="00B66DF5"/>
    <w:rsid w:val="00B66E01"/>
    <w:rsid w:val="00B67923"/>
    <w:rsid w:val="00B7189C"/>
    <w:rsid w:val="00B71CB8"/>
    <w:rsid w:val="00B7304D"/>
    <w:rsid w:val="00B737F2"/>
    <w:rsid w:val="00B73D5D"/>
    <w:rsid w:val="00B73EF1"/>
    <w:rsid w:val="00B74204"/>
    <w:rsid w:val="00B744A4"/>
    <w:rsid w:val="00B753B0"/>
    <w:rsid w:val="00B75B2E"/>
    <w:rsid w:val="00B75DD3"/>
    <w:rsid w:val="00B770A9"/>
    <w:rsid w:val="00B772A6"/>
    <w:rsid w:val="00B7764D"/>
    <w:rsid w:val="00B80276"/>
    <w:rsid w:val="00B811B6"/>
    <w:rsid w:val="00B81989"/>
    <w:rsid w:val="00B828A1"/>
    <w:rsid w:val="00B82D12"/>
    <w:rsid w:val="00B82E0C"/>
    <w:rsid w:val="00B83224"/>
    <w:rsid w:val="00B832C9"/>
    <w:rsid w:val="00B8358D"/>
    <w:rsid w:val="00B83926"/>
    <w:rsid w:val="00B84ACE"/>
    <w:rsid w:val="00B84E26"/>
    <w:rsid w:val="00B84E2A"/>
    <w:rsid w:val="00B84E3F"/>
    <w:rsid w:val="00B84F17"/>
    <w:rsid w:val="00B860B9"/>
    <w:rsid w:val="00B87B7C"/>
    <w:rsid w:val="00B904A7"/>
    <w:rsid w:val="00B90F16"/>
    <w:rsid w:val="00B91B7F"/>
    <w:rsid w:val="00B926AA"/>
    <w:rsid w:val="00B92996"/>
    <w:rsid w:val="00B93072"/>
    <w:rsid w:val="00B93684"/>
    <w:rsid w:val="00B942DA"/>
    <w:rsid w:val="00B94854"/>
    <w:rsid w:val="00B95CB8"/>
    <w:rsid w:val="00B97045"/>
    <w:rsid w:val="00B97AB4"/>
    <w:rsid w:val="00B97C43"/>
    <w:rsid w:val="00BA00E6"/>
    <w:rsid w:val="00BA01E6"/>
    <w:rsid w:val="00BA03F3"/>
    <w:rsid w:val="00BA1DCB"/>
    <w:rsid w:val="00BA1EF3"/>
    <w:rsid w:val="00BA20B1"/>
    <w:rsid w:val="00BA3565"/>
    <w:rsid w:val="00BA3761"/>
    <w:rsid w:val="00BA3CEF"/>
    <w:rsid w:val="00BA4ED3"/>
    <w:rsid w:val="00BA6CE7"/>
    <w:rsid w:val="00BA79F5"/>
    <w:rsid w:val="00BB0287"/>
    <w:rsid w:val="00BB2BD1"/>
    <w:rsid w:val="00BB382C"/>
    <w:rsid w:val="00BB3F8E"/>
    <w:rsid w:val="00BB4DD7"/>
    <w:rsid w:val="00BB4E78"/>
    <w:rsid w:val="00BB50B0"/>
    <w:rsid w:val="00BB5950"/>
    <w:rsid w:val="00BB6942"/>
    <w:rsid w:val="00BB711C"/>
    <w:rsid w:val="00BB72BE"/>
    <w:rsid w:val="00BB7BBB"/>
    <w:rsid w:val="00BB7CE4"/>
    <w:rsid w:val="00BB7EB0"/>
    <w:rsid w:val="00BC0F6E"/>
    <w:rsid w:val="00BC136F"/>
    <w:rsid w:val="00BC1931"/>
    <w:rsid w:val="00BC1993"/>
    <w:rsid w:val="00BC1D6C"/>
    <w:rsid w:val="00BC1E41"/>
    <w:rsid w:val="00BC340F"/>
    <w:rsid w:val="00BC413A"/>
    <w:rsid w:val="00BC43B5"/>
    <w:rsid w:val="00BC4445"/>
    <w:rsid w:val="00BC4C55"/>
    <w:rsid w:val="00BC528F"/>
    <w:rsid w:val="00BC5360"/>
    <w:rsid w:val="00BC5FA8"/>
    <w:rsid w:val="00BC6E9C"/>
    <w:rsid w:val="00BD055A"/>
    <w:rsid w:val="00BD06F7"/>
    <w:rsid w:val="00BD07AA"/>
    <w:rsid w:val="00BD0A3D"/>
    <w:rsid w:val="00BD0EAB"/>
    <w:rsid w:val="00BD12F4"/>
    <w:rsid w:val="00BD14C4"/>
    <w:rsid w:val="00BD1515"/>
    <w:rsid w:val="00BD1D15"/>
    <w:rsid w:val="00BD2903"/>
    <w:rsid w:val="00BD2A04"/>
    <w:rsid w:val="00BD3345"/>
    <w:rsid w:val="00BD3864"/>
    <w:rsid w:val="00BD4792"/>
    <w:rsid w:val="00BD4960"/>
    <w:rsid w:val="00BD4EDB"/>
    <w:rsid w:val="00BD5FA5"/>
    <w:rsid w:val="00BD623D"/>
    <w:rsid w:val="00BD662E"/>
    <w:rsid w:val="00BE0177"/>
    <w:rsid w:val="00BE028B"/>
    <w:rsid w:val="00BE05C9"/>
    <w:rsid w:val="00BE0DF0"/>
    <w:rsid w:val="00BE0E26"/>
    <w:rsid w:val="00BE0F70"/>
    <w:rsid w:val="00BE1AC7"/>
    <w:rsid w:val="00BE238B"/>
    <w:rsid w:val="00BE2BAC"/>
    <w:rsid w:val="00BE2E29"/>
    <w:rsid w:val="00BE3AA9"/>
    <w:rsid w:val="00BE4280"/>
    <w:rsid w:val="00BE436D"/>
    <w:rsid w:val="00BE4665"/>
    <w:rsid w:val="00BE5AE0"/>
    <w:rsid w:val="00BE69CB"/>
    <w:rsid w:val="00BE6DDC"/>
    <w:rsid w:val="00BF0216"/>
    <w:rsid w:val="00BF0A54"/>
    <w:rsid w:val="00BF0F91"/>
    <w:rsid w:val="00BF127A"/>
    <w:rsid w:val="00BF150E"/>
    <w:rsid w:val="00BF15EB"/>
    <w:rsid w:val="00BF167A"/>
    <w:rsid w:val="00BF1DAA"/>
    <w:rsid w:val="00BF2FC9"/>
    <w:rsid w:val="00BF31D5"/>
    <w:rsid w:val="00BF330B"/>
    <w:rsid w:val="00BF35C6"/>
    <w:rsid w:val="00BF3921"/>
    <w:rsid w:val="00BF3D90"/>
    <w:rsid w:val="00BF52A9"/>
    <w:rsid w:val="00BF6AB6"/>
    <w:rsid w:val="00BF6AEF"/>
    <w:rsid w:val="00BF71EF"/>
    <w:rsid w:val="00BF74D9"/>
    <w:rsid w:val="00BF7877"/>
    <w:rsid w:val="00C00104"/>
    <w:rsid w:val="00C00B17"/>
    <w:rsid w:val="00C012D3"/>
    <w:rsid w:val="00C0147A"/>
    <w:rsid w:val="00C018F3"/>
    <w:rsid w:val="00C02305"/>
    <w:rsid w:val="00C025B4"/>
    <w:rsid w:val="00C0287F"/>
    <w:rsid w:val="00C03DB3"/>
    <w:rsid w:val="00C042F3"/>
    <w:rsid w:val="00C044B1"/>
    <w:rsid w:val="00C04C53"/>
    <w:rsid w:val="00C04D4C"/>
    <w:rsid w:val="00C053BF"/>
    <w:rsid w:val="00C05789"/>
    <w:rsid w:val="00C05A72"/>
    <w:rsid w:val="00C060E6"/>
    <w:rsid w:val="00C064A6"/>
    <w:rsid w:val="00C102E3"/>
    <w:rsid w:val="00C10B30"/>
    <w:rsid w:val="00C11189"/>
    <w:rsid w:val="00C11EAC"/>
    <w:rsid w:val="00C123A9"/>
    <w:rsid w:val="00C1312C"/>
    <w:rsid w:val="00C13797"/>
    <w:rsid w:val="00C138FE"/>
    <w:rsid w:val="00C15361"/>
    <w:rsid w:val="00C157DC"/>
    <w:rsid w:val="00C1606D"/>
    <w:rsid w:val="00C17233"/>
    <w:rsid w:val="00C17D6D"/>
    <w:rsid w:val="00C17E0A"/>
    <w:rsid w:val="00C20A4E"/>
    <w:rsid w:val="00C213E6"/>
    <w:rsid w:val="00C21799"/>
    <w:rsid w:val="00C219E9"/>
    <w:rsid w:val="00C226B3"/>
    <w:rsid w:val="00C22F22"/>
    <w:rsid w:val="00C23F5D"/>
    <w:rsid w:val="00C247C3"/>
    <w:rsid w:val="00C24905"/>
    <w:rsid w:val="00C24B0B"/>
    <w:rsid w:val="00C25120"/>
    <w:rsid w:val="00C2540A"/>
    <w:rsid w:val="00C25823"/>
    <w:rsid w:val="00C258F4"/>
    <w:rsid w:val="00C25D98"/>
    <w:rsid w:val="00C26AB2"/>
    <w:rsid w:val="00C26B41"/>
    <w:rsid w:val="00C26CFD"/>
    <w:rsid w:val="00C26F56"/>
    <w:rsid w:val="00C27422"/>
    <w:rsid w:val="00C27A3A"/>
    <w:rsid w:val="00C30C7D"/>
    <w:rsid w:val="00C3144D"/>
    <w:rsid w:val="00C31CE8"/>
    <w:rsid w:val="00C31FA0"/>
    <w:rsid w:val="00C327B6"/>
    <w:rsid w:val="00C3289F"/>
    <w:rsid w:val="00C32D64"/>
    <w:rsid w:val="00C33379"/>
    <w:rsid w:val="00C333E7"/>
    <w:rsid w:val="00C34A88"/>
    <w:rsid w:val="00C34FDC"/>
    <w:rsid w:val="00C36214"/>
    <w:rsid w:val="00C3677D"/>
    <w:rsid w:val="00C36D48"/>
    <w:rsid w:val="00C36E15"/>
    <w:rsid w:val="00C37555"/>
    <w:rsid w:val="00C377F1"/>
    <w:rsid w:val="00C37963"/>
    <w:rsid w:val="00C379EB"/>
    <w:rsid w:val="00C41567"/>
    <w:rsid w:val="00C41879"/>
    <w:rsid w:val="00C41DE8"/>
    <w:rsid w:val="00C42536"/>
    <w:rsid w:val="00C4345D"/>
    <w:rsid w:val="00C4351B"/>
    <w:rsid w:val="00C439F3"/>
    <w:rsid w:val="00C440A9"/>
    <w:rsid w:val="00C442F2"/>
    <w:rsid w:val="00C4459B"/>
    <w:rsid w:val="00C4498B"/>
    <w:rsid w:val="00C44A47"/>
    <w:rsid w:val="00C44DBC"/>
    <w:rsid w:val="00C4548C"/>
    <w:rsid w:val="00C467CC"/>
    <w:rsid w:val="00C46BB1"/>
    <w:rsid w:val="00C46C10"/>
    <w:rsid w:val="00C47B19"/>
    <w:rsid w:val="00C47B89"/>
    <w:rsid w:val="00C47ED1"/>
    <w:rsid w:val="00C520C3"/>
    <w:rsid w:val="00C5239F"/>
    <w:rsid w:val="00C527E5"/>
    <w:rsid w:val="00C5374B"/>
    <w:rsid w:val="00C5391B"/>
    <w:rsid w:val="00C53D4A"/>
    <w:rsid w:val="00C54420"/>
    <w:rsid w:val="00C54CA3"/>
    <w:rsid w:val="00C55183"/>
    <w:rsid w:val="00C552A1"/>
    <w:rsid w:val="00C55739"/>
    <w:rsid w:val="00C56F1B"/>
    <w:rsid w:val="00C571F4"/>
    <w:rsid w:val="00C57510"/>
    <w:rsid w:val="00C6006F"/>
    <w:rsid w:val="00C60386"/>
    <w:rsid w:val="00C60C65"/>
    <w:rsid w:val="00C60D80"/>
    <w:rsid w:val="00C60F68"/>
    <w:rsid w:val="00C6130D"/>
    <w:rsid w:val="00C61686"/>
    <w:rsid w:val="00C62E63"/>
    <w:rsid w:val="00C647B6"/>
    <w:rsid w:val="00C64E8C"/>
    <w:rsid w:val="00C66452"/>
    <w:rsid w:val="00C6665F"/>
    <w:rsid w:val="00C67493"/>
    <w:rsid w:val="00C67A31"/>
    <w:rsid w:val="00C67FB7"/>
    <w:rsid w:val="00C705CB"/>
    <w:rsid w:val="00C707AB"/>
    <w:rsid w:val="00C70A00"/>
    <w:rsid w:val="00C70F33"/>
    <w:rsid w:val="00C71224"/>
    <w:rsid w:val="00C712FC"/>
    <w:rsid w:val="00C715B5"/>
    <w:rsid w:val="00C728BB"/>
    <w:rsid w:val="00C73FD4"/>
    <w:rsid w:val="00C7420D"/>
    <w:rsid w:val="00C74218"/>
    <w:rsid w:val="00C74802"/>
    <w:rsid w:val="00C74B1B"/>
    <w:rsid w:val="00C75E88"/>
    <w:rsid w:val="00C76F92"/>
    <w:rsid w:val="00C774BA"/>
    <w:rsid w:val="00C81A8D"/>
    <w:rsid w:val="00C82AE2"/>
    <w:rsid w:val="00C82FB5"/>
    <w:rsid w:val="00C82FD2"/>
    <w:rsid w:val="00C830D0"/>
    <w:rsid w:val="00C833D0"/>
    <w:rsid w:val="00C83627"/>
    <w:rsid w:val="00C83767"/>
    <w:rsid w:val="00C83A2B"/>
    <w:rsid w:val="00C84369"/>
    <w:rsid w:val="00C84637"/>
    <w:rsid w:val="00C84A7C"/>
    <w:rsid w:val="00C84CC6"/>
    <w:rsid w:val="00C858C8"/>
    <w:rsid w:val="00C85D40"/>
    <w:rsid w:val="00C8672A"/>
    <w:rsid w:val="00C8754B"/>
    <w:rsid w:val="00C87817"/>
    <w:rsid w:val="00C90266"/>
    <w:rsid w:val="00C907EB"/>
    <w:rsid w:val="00C91516"/>
    <w:rsid w:val="00C91605"/>
    <w:rsid w:val="00C91673"/>
    <w:rsid w:val="00C91752"/>
    <w:rsid w:val="00C91772"/>
    <w:rsid w:val="00C91964"/>
    <w:rsid w:val="00C91F38"/>
    <w:rsid w:val="00C936DC"/>
    <w:rsid w:val="00C9372C"/>
    <w:rsid w:val="00C93937"/>
    <w:rsid w:val="00C94160"/>
    <w:rsid w:val="00C947C7"/>
    <w:rsid w:val="00C94EA8"/>
    <w:rsid w:val="00C9562E"/>
    <w:rsid w:val="00C95F16"/>
    <w:rsid w:val="00C96B51"/>
    <w:rsid w:val="00C970AA"/>
    <w:rsid w:val="00C97858"/>
    <w:rsid w:val="00C97A65"/>
    <w:rsid w:val="00C97B1F"/>
    <w:rsid w:val="00C97B95"/>
    <w:rsid w:val="00C97F82"/>
    <w:rsid w:val="00CA0346"/>
    <w:rsid w:val="00CA06D0"/>
    <w:rsid w:val="00CA0AA0"/>
    <w:rsid w:val="00CA10D6"/>
    <w:rsid w:val="00CA154E"/>
    <w:rsid w:val="00CA2056"/>
    <w:rsid w:val="00CA49C6"/>
    <w:rsid w:val="00CA49CC"/>
    <w:rsid w:val="00CA4C10"/>
    <w:rsid w:val="00CA57AA"/>
    <w:rsid w:val="00CA5E53"/>
    <w:rsid w:val="00CA6794"/>
    <w:rsid w:val="00CA6B29"/>
    <w:rsid w:val="00CA7B75"/>
    <w:rsid w:val="00CB0005"/>
    <w:rsid w:val="00CB0334"/>
    <w:rsid w:val="00CB0509"/>
    <w:rsid w:val="00CB054F"/>
    <w:rsid w:val="00CB06ED"/>
    <w:rsid w:val="00CB137B"/>
    <w:rsid w:val="00CB1928"/>
    <w:rsid w:val="00CB1ABC"/>
    <w:rsid w:val="00CB2106"/>
    <w:rsid w:val="00CB2ACB"/>
    <w:rsid w:val="00CB31B4"/>
    <w:rsid w:val="00CB33D7"/>
    <w:rsid w:val="00CB3C87"/>
    <w:rsid w:val="00CB46FD"/>
    <w:rsid w:val="00CB48D1"/>
    <w:rsid w:val="00CB5946"/>
    <w:rsid w:val="00CB6185"/>
    <w:rsid w:val="00CB6C96"/>
    <w:rsid w:val="00CB6FD1"/>
    <w:rsid w:val="00CB79D6"/>
    <w:rsid w:val="00CC021F"/>
    <w:rsid w:val="00CC0A59"/>
    <w:rsid w:val="00CC1CDD"/>
    <w:rsid w:val="00CC22AD"/>
    <w:rsid w:val="00CC2611"/>
    <w:rsid w:val="00CC2892"/>
    <w:rsid w:val="00CC2C65"/>
    <w:rsid w:val="00CC36A7"/>
    <w:rsid w:val="00CC37AF"/>
    <w:rsid w:val="00CC38A5"/>
    <w:rsid w:val="00CC3A30"/>
    <w:rsid w:val="00CC3D52"/>
    <w:rsid w:val="00CC416D"/>
    <w:rsid w:val="00CC4937"/>
    <w:rsid w:val="00CC55DD"/>
    <w:rsid w:val="00CC5A22"/>
    <w:rsid w:val="00CC6587"/>
    <w:rsid w:val="00CC6A86"/>
    <w:rsid w:val="00CC79E1"/>
    <w:rsid w:val="00CD07D5"/>
    <w:rsid w:val="00CD14F6"/>
    <w:rsid w:val="00CD15E9"/>
    <w:rsid w:val="00CD1956"/>
    <w:rsid w:val="00CD196B"/>
    <w:rsid w:val="00CD22A0"/>
    <w:rsid w:val="00CD2802"/>
    <w:rsid w:val="00CD2A4D"/>
    <w:rsid w:val="00CD36C9"/>
    <w:rsid w:val="00CD4089"/>
    <w:rsid w:val="00CD44DC"/>
    <w:rsid w:val="00CD47DD"/>
    <w:rsid w:val="00CD48CD"/>
    <w:rsid w:val="00CD5C76"/>
    <w:rsid w:val="00CD5FD3"/>
    <w:rsid w:val="00CD6A0D"/>
    <w:rsid w:val="00CD6D25"/>
    <w:rsid w:val="00CD717E"/>
    <w:rsid w:val="00CD71BC"/>
    <w:rsid w:val="00CD76B7"/>
    <w:rsid w:val="00CD7D6D"/>
    <w:rsid w:val="00CE0CEE"/>
    <w:rsid w:val="00CE2357"/>
    <w:rsid w:val="00CE3744"/>
    <w:rsid w:val="00CE3934"/>
    <w:rsid w:val="00CE3CAE"/>
    <w:rsid w:val="00CE4093"/>
    <w:rsid w:val="00CE4CD9"/>
    <w:rsid w:val="00CE5238"/>
    <w:rsid w:val="00CE56EC"/>
    <w:rsid w:val="00CE582C"/>
    <w:rsid w:val="00CE6412"/>
    <w:rsid w:val="00CE6E01"/>
    <w:rsid w:val="00CE73BB"/>
    <w:rsid w:val="00CE7DCD"/>
    <w:rsid w:val="00CF0B87"/>
    <w:rsid w:val="00CF12D3"/>
    <w:rsid w:val="00CF165F"/>
    <w:rsid w:val="00CF1779"/>
    <w:rsid w:val="00CF1DAC"/>
    <w:rsid w:val="00CF25AE"/>
    <w:rsid w:val="00CF2892"/>
    <w:rsid w:val="00CF2AB3"/>
    <w:rsid w:val="00CF4153"/>
    <w:rsid w:val="00CF46B7"/>
    <w:rsid w:val="00CF4A63"/>
    <w:rsid w:val="00CF707D"/>
    <w:rsid w:val="00D01151"/>
    <w:rsid w:val="00D015D1"/>
    <w:rsid w:val="00D01752"/>
    <w:rsid w:val="00D01E27"/>
    <w:rsid w:val="00D021B7"/>
    <w:rsid w:val="00D0234F"/>
    <w:rsid w:val="00D02921"/>
    <w:rsid w:val="00D04233"/>
    <w:rsid w:val="00D0436A"/>
    <w:rsid w:val="00D04738"/>
    <w:rsid w:val="00D0522B"/>
    <w:rsid w:val="00D058B9"/>
    <w:rsid w:val="00D05B13"/>
    <w:rsid w:val="00D061DB"/>
    <w:rsid w:val="00D065B1"/>
    <w:rsid w:val="00D06613"/>
    <w:rsid w:val="00D06883"/>
    <w:rsid w:val="00D06983"/>
    <w:rsid w:val="00D06CA2"/>
    <w:rsid w:val="00D073EC"/>
    <w:rsid w:val="00D07995"/>
    <w:rsid w:val="00D07A54"/>
    <w:rsid w:val="00D10045"/>
    <w:rsid w:val="00D1006C"/>
    <w:rsid w:val="00D10768"/>
    <w:rsid w:val="00D11891"/>
    <w:rsid w:val="00D13F6D"/>
    <w:rsid w:val="00D149EA"/>
    <w:rsid w:val="00D14C6B"/>
    <w:rsid w:val="00D15162"/>
    <w:rsid w:val="00D15BD1"/>
    <w:rsid w:val="00D16211"/>
    <w:rsid w:val="00D1713B"/>
    <w:rsid w:val="00D17C10"/>
    <w:rsid w:val="00D209F1"/>
    <w:rsid w:val="00D212EE"/>
    <w:rsid w:val="00D2183A"/>
    <w:rsid w:val="00D222EF"/>
    <w:rsid w:val="00D2352F"/>
    <w:rsid w:val="00D23F61"/>
    <w:rsid w:val="00D24253"/>
    <w:rsid w:val="00D243DD"/>
    <w:rsid w:val="00D243F2"/>
    <w:rsid w:val="00D24724"/>
    <w:rsid w:val="00D24989"/>
    <w:rsid w:val="00D25357"/>
    <w:rsid w:val="00D2567B"/>
    <w:rsid w:val="00D259AE"/>
    <w:rsid w:val="00D25F5B"/>
    <w:rsid w:val="00D26644"/>
    <w:rsid w:val="00D27DE1"/>
    <w:rsid w:val="00D3083B"/>
    <w:rsid w:val="00D3134A"/>
    <w:rsid w:val="00D330FB"/>
    <w:rsid w:val="00D33484"/>
    <w:rsid w:val="00D33A6E"/>
    <w:rsid w:val="00D34043"/>
    <w:rsid w:val="00D3417B"/>
    <w:rsid w:val="00D34C3C"/>
    <w:rsid w:val="00D34FCC"/>
    <w:rsid w:val="00D35098"/>
    <w:rsid w:val="00D3514D"/>
    <w:rsid w:val="00D359EC"/>
    <w:rsid w:val="00D35C22"/>
    <w:rsid w:val="00D3616B"/>
    <w:rsid w:val="00D37418"/>
    <w:rsid w:val="00D379AD"/>
    <w:rsid w:val="00D37A9B"/>
    <w:rsid w:val="00D37CE4"/>
    <w:rsid w:val="00D40AA5"/>
    <w:rsid w:val="00D43662"/>
    <w:rsid w:val="00D44112"/>
    <w:rsid w:val="00D452D3"/>
    <w:rsid w:val="00D4547F"/>
    <w:rsid w:val="00D45594"/>
    <w:rsid w:val="00D456F5"/>
    <w:rsid w:val="00D45A25"/>
    <w:rsid w:val="00D45B5F"/>
    <w:rsid w:val="00D45EFE"/>
    <w:rsid w:val="00D464C8"/>
    <w:rsid w:val="00D46D2A"/>
    <w:rsid w:val="00D505DC"/>
    <w:rsid w:val="00D50D24"/>
    <w:rsid w:val="00D50EE0"/>
    <w:rsid w:val="00D50FE1"/>
    <w:rsid w:val="00D51D2A"/>
    <w:rsid w:val="00D51EE4"/>
    <w:rsid w:val="00D52527"/>
    <w:rsid w:val="00D54027"/>
    <w:rsid w:val="00D540EB"/>
    <w:rsid w:val="00D54195"/>
    <w:rsid w:val="00D5503A"/>
    <w:rsid w:val="00D550A7"/>
    <w:rsid w:val="00D553F1"/>
    <w:rsid w:val="00D55C4C"/>
    <w:rsid w:val="00D56D2B"/>
    <w:rsid w:val="00D570C7"/>
    <w:rsid w:val="00D57273"/>
    <w:rsid w:val="00D57426"/>
    <w:rsid w:val="00D60BE7"/>
    <w:rsid w:val="00D61CCD"/>
    <w:rsid w:val="00D62C63"/>
    <w:rsid w:val="00D63826"/>
    <w:rsid w:val="00D63A6E"/>
    <w:rsid w:val="00D63A9F"/>
    <w:rsid w:val="00D63CC9"/>
    <w:rsid w:val="00D64564"/>
    <w:rsid w:val="00D64B64"/>
    <w:rsid w:val="00D6574A"/>
    <w:rsid w:val="00D668BE"/>
    <w:rsid w:val="00D66967"/>
    <w:rsid w:val="00D66BBA"/>
    <w:rsid w:val="00D66E77"/>
    <w:rsid w:val="00D709F1"/>
    <w:rsid w:val="00D72D0C"/>
    <w:rsid w:val="00D73D03"/>
    <w:rsid w:val="00D756CF"/>
    <w:rsid w:val="00D756F2"/>
    <w:rsid w:val="00D774B0"/>
    <w:rsid w:val="00D77E7F"/>
    <w:rsid w:val="00D803D8"/>
    <w:rsid w:val="00D8050F"/>
    <w:rsid w:val="00D80C94"/>
    <w:rsid w:val="00D815FC"/>
    <w:rsid w:val="00D819EA"/>
    <w:rsid w:val="00D82C1E"/>
    <w:rsid w:val="00D8317B"/>
    <w:rsid w:val="00D83608"/>
    <w:rsid w:val="00D84411"/>
    <w:rsid w:val="00D844D2"/>
    <w:rsid w:val="00D8450A"/>
    <w:rsid w:val="00D85190"/>
    <w:rsid w:val="00D8557C"/>
    <w:rsid w:val="00D860D9"/>
    <w:rsid w:val="00D86176"/>
    <w:rsid w:val="00D86CA8"/>
    <w:rsid w:val="00D87057"/>
    <w:rsid w:val="00D876CB"/>
    <w:rsid w:val="00D876F3"/>
    <w:rsid w:val="00D904FE"/>
    <w:rsid w:val="00D91ADE"/>
    <w:rsid w:val="00D91AE2"/>
    <w:rsid w:val="00D91C18"/>
    <w:rsid w:val="00D92962"/>
    <w:rsid w:val="00D92D9D"/>
    <w:rsid w:val="00D93327"/>
    <w:rsid w:val="00D93940"/>
    <w:rsid w:val="00D93BDE"/>
    <w:rsid w:val="00D945BE"/>
    <w:rsid w:val="00D947EA"/>
    <w:rsid w:val="00D949B0"/>
    <w:rsid w:val="00D95267"/>
    <w:rsid w:val="00D95A5B"/>
    <w:rsid w:val="00D95D51"/>
    <w:rsid w:val="00D97257"/>
    <w:rsid w:val="00DA006D"/>
    <w:rsid w:val="00DA034B"/>
    <w:rsid w:val="00DA09DA"/>
    <w:rsid w:val="00DA1658"/>
    <w:rsid w:val="00DA1A06"/>
    <w:rsid w:val="00DA2614"/>
    <w:rsid w:val="00DA45FD"/>
    <w:rsid w:val="00DA4751"/>
    <w:rsid w:val="00DA4995"/>
    <w:rsid w:val="00DA4ACD"/>
    <w:rsid w:val="00DA6A00"/>
    <w:rsid w:val="00DA77C8"/>
    <w:rsid w:val="00DA7976"/>
    <w:rsid w:val="00DB011E"/>
    <w:rsid w:val="00DB05AB"/>
    <w:rsid w:val="00DB0795"/>
    <w:rsid w:val="00DB0A15"/>
    <w:rsid w:val="00DB0B57"/>
    <w:rsid w:val="00DB1504"/>
    <w:rsid w:val="00DB1EEF"/>
    <w:rsid w:val="00DB2852"/>
    <w:rsid w:val="00DB47D8"/>
    <w:rsid w:val="00DB53A9"/>
    <w:rsid w:val="00DB5940"/>
    <w:rsid w:val="00DB5CD1"/>
    <w:rsid w:val="00DB5FDC"/>
    <w:rsid w:val="00DB633D"/>
    <w:rsid w:val="00DB649C"/>
    <w:rsid w:val="00DB6E12"/>
    <w:rsid w:val="00DB6E3F"/>
    <w:rsid w:val="00DB7B4A"/>
    <w:rsid w:val="00DB7BC7"/>
    <w:rsid w:val="00DB7C71"/>
    <w:rsid w:val="00DC166A"/>
    <w:rsid w:val="00DC1AD1"/>
    <w:rsid w:val="00DC1D0C"/>
    <w:rsid w:val="00DC2A69"/>
    <w:rsid w:val="00DC3078"/>
    <w:rsid w:val="00DC37B0"/>
    <w:rsid w:val="00DC3B36"/>
    <w:rsid w:val="00DC4DCA"/>
    <w:rsid w:val="00DC5539"/>
    <w:rsid w:val="00DC6125"/>
    <w:rsid w:val="00DC6B9C"/>
    <w:rsid w:val="00DC6D08"/>
    <w:rsid w:val="00DC6EAD"/>
    <w:rsid w:val="00DC7072"/>
    <w:rsid w:val="00DC73BA"/>
    <w:rsid w:val="00DD07CE"/>
    <w:rsid w:val="00DD09C7"/>
    <w:rsid w:val="00DD0BF7"/>
    <w:rsid w:val="00DD0CB2"/>
    <w:rsid w:val="00DD1ADE"/>
    <w:rsid w:val="00DD1E50"/>
    <w:rsid w:val="00DD1E97"/>
    <w:rsid w:val="00DD3629"/>
    <w:rsid w:val="00DD477F"/>
    <w:rsid w:val="00DD4BCF"/>
    <w:rsid w:val="00DD5C68"/>
    <w:rsid w:val="00DD65CA"/>
    <w:rsid w:val="00DD6C21"/>
    <w:rsid w:val="00DE0EDA"/>
    <w:rsid w:val="00DE1050"/>
    <w:rsid w:val="00DE1404"/>
    <w:rsid w:val="00DE1FDA"/>
    <w:rsid w:val="00DE233D"/>
    <w:rsid w:val="00DE2CB6"/>
    <w:rsid w:val="00DE304F"/>
    <w:rsid w:val="00DE37F4"/>
    <w:rsid w:val="00DE3A79"/>
    <w:rsid w:val="00DE40D1"/>
    <w:rsid w:val="00DE5060"/>
    <w:rsid w:val="00DE55A9"/>
    <w:rsid w:val="00DE62A0"/>
    <w:rsid w:val="00DE6343"/>
    <w:rsid w:val="00DE7BBB"/>
    <w:rsid w:val="00DE7BEC"/>
    <w:rsid w:val="00DF01BE"/>
    <w:rsid w:val="00DF2601"/>
    <w:rsid w:val="00DF367E"/>
    <w:rsid w:val="00DF3927"/>
    <w:rsid w:val="00DF4785"/>
    <w:rsid w:val="00DF4B4B"/>
    <w:rsid w:val="00DF53FB"/>
    <w:rsid w:val="00DF6130"/>
    <w:rsid w:val="00DF73B9"/>
    <w:rsid w:val="00DF749A"/>
    <w:rsid w:val="00E00531"/>
    <w:rsid w:val="00E00558"/>
    <w:rsid w:val="00E0081D"/>
    <w:rsid w:val="00E00FCE"/>
    <w:rsid w:val="00E034F7"/>
    <w:rsid w:val="00E03E87"/>
    <w:rsid w:val="00E04251"/>
    <w:rsid w:val="00E0560E"/>
    <w:rsid w:val="00E056C3"/>
    <w:rsid w:val="00E0605F"/>
    <w:rsid w:val="00E06E86"/>
    <w:rsid w:val="00E07EED"/>
    <w:rsid w:val="00E106D8"/>
    <w:rsid w:val="00E1082E"/>
    <w:rsid w:val="00E10EBD"/>
    <w:rsid w:val="00E11750"/>
    <w:rsid w:val="00E12318"/>
    <w:rsid w:val="00E12D11"/>
    <w:rsid w:val="00E1329E"/>
    <w:rsid w:val="00E136D3"/>
    <w:rsid w:val="00E145BE"/>
    <w:rsid w:val="00E1499F"/>
    <w:rsid w:val="00E15598"/>
    <w:rsid w:val="00E15961"/>
    <w:rsid w:val="00E16EDF"/>
    <w:rsid w:val="00E174BC"/>
    <w:rsid w:val="00E20C1A"/>
    <w:rsid w:val="00E20FEE"/>
    <w:rsid w:val="00E214DE"/>
    <w:rsid w:val="00E21821"/>
    <w:rsid w:val="00E22606"/>
    <w:rsid w:val="00E22A59"/>
    <w:rsid w:val="00E2452F"/>
    <w:rsid w:val="00E25B62"/>
    <w:rsid w:val="00E25D46"/>
    <w:rsid w:val="00E26DB4"/>
    <w:rsid w:val="00E2775F"/>
    <w:rsid w:val="00E27FF8"/>
    <w:rsid w:val="00E30F5F"/>
    <w:rsid w:val="00E320CE"/>
    <w:rsid w:val="00E32299"/>
    <w:rsid w:val="00E32846"/>
    <w:rsid w:val="00E33884"/>
    <w:rsid w:val="00E33DBE"/>
    <w:rsid w:val="00E34355"/>
    <w:rsid w:val="00E344CF"/>
    <w:rsid w:val="00E35C38"/>
    <w:rsid w:val="00E3629F"/>
    <w:rsid w:val="00E36C14"/>
    <w:rsid w:val="00E37215"/>
    <w:rsid w:val="00E37AA0"/>
    <w:rsid w:val="00E420AB"/>
    <w:rsid w:val="00E431CD"/>
    <w:rsid w:val="00E43469"/>
    <w:rsid w:val="00E438E6"/>
    <w:rsid w:val="00E43FF5"/>
    <w:rsid w:val="00E447DC"/>
    <w:rsid w:val="00E4565A"/>
    <w:rsid w:val="00E45B94"/>
    <w:rsid w:val="00E46864"/>
    <w:rsid w:val="00E46E0A"/>
    <w:rsid w:val="00E46FEE"/>
    <w:rsid w:val="00E4701F"/>
    <w:rsid w:val="00E50117"/>
    <w:rsid w:val="00E50436"/>
    <w:rsid w:val="00E50D52"/>
    <w:rsid w:val="00E517BA"/>
    <w:rsid w:val="00E519F1"/>
    <w:rsid w:val="00E51F04"/>
    <w:rsid w:val="00E5223D"/>
    <w:rsid w:val="00E5243E"/>
    <w:rsid w:val="00E530EF"/>
    <w:rsid w:val="00E55CDF"/>
    <w:rsid w:val="00E55F12"/>
    <w:rsid w:val="00E562D8"/>
    <w:rsid w:val="00E56EC3"/>
    <w:rsid w:val="00E574E4"/>
    <w:rsid w:val="00E57826"/>
    <w:rsid w:val="00E6062E"/>
    <w:rsid w:val="00E60CA5"/>
    <w:rsid w:val="00E60F39"/>
    <w:rsid w:val="00E61CCB"/>
    <w:rsid w:val="00E61D5A"/>
    <w:rsid w:val="00E62818"/>
    <w:rsid w:val="00E66219"/>
    <w:rsid w:val="00E6645B"/>
    <w:rsid w:val="00E66492"/>
    <w:rsid w:val="00E666FB"/>
    <w:rsid w:val="00E70D6B"/>
    <w:rsid w:val="00E71AA4"/>
    <w:rsid w:val="00E71D17"/>
    <w:rsid w:val="00E71E3F"/>
    <w:rsid w:val="00E7239B"/>
    <w:rsid w:val="00E72426"/>
    <w:rsid w:val="00E72762"/>
    <w:rsid w:val="00E735C6"/>
    <w:rsid w:val="00E737F9"/>
    <w:rsid w:val="00E7394A"/>
    <w:rsid w:val="00E758D8"/>
    <w:rsid w:val="00E75976"/>
    <w:rsid w:val="00E76518"/>
    <w:rsid w:val="00E76800"/>
    <w:rsid w:val="00E77885"/>
    <w:rsid w:val="00E77B23"/>
    <w:rsid w:val="00E80C7E"/>
    <w:rsid w:val="00E80F5C"/>
    <w:rsid w:val="00E814F2"/>
    <w:rsid w:val="00E82159"/>
    <w:rsid w:val="00E824E2"/>
    <w:rsid w:val="00E828C3"/>
    <w:rsid w:val="00E832FB"/>
    <w:rsid w:val="00E8404F"/>
    <w:rsid w:val="00E8473A"/>
    <w:rsid w:val="00E8504E"/>
    <w:rsid w:val="00E86A91"/>
    <w:rsid w:val="00E87722"/>
    <w:rsid w:val="00E87F7A"/>
    <w:rsid w:val="00E9010E"/>
    <w:rsid w:val="00E90B54"/>
    <w:rsid w:val="00E910BD"/>
    <w:rsid w:val="00E915B1"/>
    <w:rsid w:val="00E918E3"/>
    <w:rsid w:val="00E92E70"/>
    <w:rsid w:val="00E93CEA"/>
    <w:rsid w:val="00E93F50"/>
    <w:rsid w:val="00E94507"/>
    <w:rsid w:val="00E94551"/>
    <w:rsid w:val="00E95171"/>
    <w:rsid w:val="00E9568B"/>
    <w:rsid w:val="00E956DB"/>
    <w:rsid w:val="00E957F8"/>
    <w:rsid w:val="00E95AF9"/>
    <w:rsid w:val="00E9602C"/>
    <w:rsid w:val="00E964EB"/>
    <w:rsid w:val="00E9781B"/>
    <w:rsid w:val="00EA0A06"/>
    <w:rsid w:val="00EA16C3"/>
    <w:rsid w:val="00EA2984"/>
    <w:rsid w:val="00EA33C0"/>
    <w:rsid w:val="00EA3A9E"/>
    <w:rsid w:val="00EA412F"/>
    <w:rsid w:val="00EA5C98"/>
    <w:rsid w:val="00EA61AB"/>
    <w:rsid w:val="00EA6550"/>
    <w:rsid w:val="00EA76EE"/>
    <w:rsid w:val="00EA77F7"/>
    <w:rsid w:val="00EB1196"/>
    <w:rsid w:val="00EB125C"/>
    <w:rsid w:val="00EB2035"/>
    <w:rsid w:val="00EB226C"/>
    <w:rsid w:val="00EB24F5"/>
    <w:rsid w:val="00EB2A41"/>
    <w:rsid w:val="00EB335E"/>
    <w:rsid w:val="00EB3872"/>
    <w:rsid w:val="00EB4905"/>
    <w:rsid w:val="00EB4D7C"/>
    <w:rsid w:val="00EB5650"/>
    <w:rsid w:val="00EB5A9C"/>
    <w:rsid w:val="00EB5BE6"/>
    <w:rsid w:val="00EB61EF"/>
    <w:rsid w:val="00EB6A41"/>
    <w:rsid w:val="00EB7231"/>
    <w:rsid w:val="00EB75DB"/>
    <w:rsid w:val="00EC0DBA"/>
    <w:rsid w:val="00EC16FF"/>
    <w:rsid w:val="00EC1A41"/>
    <w:rsid w:val="00EC1F6F"/>
    <w:rsid w:val="00EC290D"/>
    <w:rsid w:val="00EC399F"/>
    <w:rsid w:val="00EC3D21"/>
    <w:rsid w:val="00EC47E6"/>
    <w:rsid w:val="00EC4915"/>
    <w:rsid w:val="00EC4916"/>
    <w:rsid w:val="00EC49D2"/>
    <w:rsid w:val="00EC645E"/>
    <w:rsid w:val="00EC6D2D"/>
    <w:rsid w:val="00EC6D57"/>
    <w:rsid w:val="00EC7445"/>
    <w:rsid w:val="00EC7951"/>
    <w:rsid w:val="00ED054A"/>
    <w:rsid w:val="00ED0B5A"/>
    <w:rsid w:val="00ED1800"/>
    <w:rsid w:val="00ED1C43"/>
    <w:rsid w:val="00ED1D97"/>
    <w:rsid w:val="00ED34F9"/>
    <w:rsid w:val="00ED387E"/>
    <w:rsid w:val="00ED438C"/>
    <w:rsid w:val="00ED4850"/>
    <w:rsid w:val="00ED5307"/>
    <w:rsid w:val="00ED5419"/>
    <w:rsid w:val="00ED6453"/>
    <w:rsid w:val="00ED67FA"/>
    <w:rsid w:val="00ED6D06"/>
    <w:rsid w:val="00ED7B94"/>
    <w:rsid w:val="00EE1312"/>
    <w:rsid w:val="00EE164F"/>
    <w:rsid w:val="00EE1F3D"/>
    <w:rsid w:val="00EE1FB5"/>
    <w:rsid w:val="00EE252E"/>
    <w:rsid w:val="00EE2E25"/>
    <w:rsid w:val="00EE32B1"/>
    <w:rsid w:val="00EE33DE"/>
    <w:rsid w:val="00EE4F5C"/>
    <w:rsid w:val="00EE532A"/>
    <w:rsid w:val="00EE54C2"/>
    <w:rsid w:val="00EE5BCD"/>
    <w:rsid w:val="00EE5C87"/>
    <w:rsid w:val="00EE5E5A"/>
    <w:rsid w:val="00EE7064"/>
    <w:rsid w:val="00EE743C"/>
    <w:rsid w:val="00EE770C"/>
    <w:rsid w:val="00EE7E8F"/>
    <w:rsid w:val="00EF0479"/>
    <w:rsid w:val="00EF0480"/>
    <w:rsid w:val="00EF060E"/>
    <w:rsid w:val="00EF0E97"/>
    <w:rsid w:val="00EF1104"/>
    <w:rsid w:val="00EF14A9"/>
    <w:rsid w:val="00EF1ADB"/>
    <w:rsid w:val="00EF1DB7"/>
    <w:rsid w:val="00EF2857"/>
    <w:rsid w:val="00EF3300"/>
    <w:rsid w:val="00EF3464"/>
    <w:rsid w:val="00EF35DD"/>
    <w:rsid w:val="00EF41DE"/>
    <w:rsid w:val="00EF4E07"/>
    <w:rsid w:val="00EF52D7"/>
    <w:rsid w:val="00EF54CD"/>
    <w:rsid w:val="00EF62D5"/>
    <w:rsid w:val="00EF63CC"/>
    <w:rsid w:val="00EF6D8A"/>
    <w:rsid w:val="00EF780C"/>
    <w:rsid w:val="00F0092B"/>
    <w:rsid w:val="00F00BA8"/>
    <w:rsid w:val="00F00D57"/>
    <w:rsid w:val="00F01C0D"/>
    <w:rsid w:val="00F02145"/>
    <w:rsid w:val="00F022DB"/>
    <w:rsid w:val="00F022F3"/>
    <w:rsid w:val="00F0249C"/>
    <w:rsid w:val="00F02811"/>
    <w:rsid w:val="00F02A9F"/>
    <w:rsid w:val="00F02C1D"/>
    <w:rsid w:val="00F02E9E"/>
    <w:rsid w:val="00F04F29"/>
    <w:rsid w:val="00F0503F"/>
    <w:rsid w:val="00F05B8E"/>
    <w:rsid w:val="00F05D1C"/>
    <w:rsid w:val="00F05F19"/>
    <w:rsid w:val="00F06C25"/>
    <w:rsid w:val="00F073B9"/>
    <w:rsid w:val="00F10187"/>
    <w:rsid w:val="00F104E1"/>
    <w:rsid w:val="00F10AD3"/>
    <w:rsid w:val="00F11216"/>
    <w:rsid w:val="00F11E61"/>
    <w:rsid w:val="00F12D1A"/>
    <w:rsid w:val="00F13C8A"/>
    <w:rsid w:val="00F14F04"/>
    <w:rsid w:val="00F15B10"/>
    <w:rsid w:val="00F15F32"/>
    <w:rsid w:val="00F15F55"/>
    <w:rsid w:val="00F16B82"/>
    <w:rsid w:val="00F21384"/>
    <w:rsid w:val="00F2167A"/>
    <w:rsid w:val="00F21A51"/>
    <w:rsid w:val="00F224B0"/>
    <w:rsid w:val="00F230E0"/>
    <w:rsid w:val="00F23661"/>
    <w:rsid w:val="00F24BE3"/>
    <w:rsid w:val="00F254B0"/>
    <w:rsid w:val="00F25F5F"/>
    <w:rsid w:val="00F26419"/>
    <w:rsid w:val="00F26C11"/>
    <w:rsid w:val="00F27943"/>
    <w:rsid w:val="00F27DF5"/>
    <w:rsid w:val="00F3046A"/>
    <w:rsid w:val="00F32E95"/>
    <w:rsid w:val="00F32F52"/>
    <w:rsid w:val="00F340AE"/>
    <w:rsid w:val="00F3564C"/>
    <w:rsid w:val="00F35E7E"/>
    <w:rsid w:val="00F36B59"/>
    <w:rsid w:val="00F36D8B"/>
    <w:rsid w:val="00F3711C"/>
    <w:rsid w:val="00F37374"/>
    <w:rsid w:val="00F37C54"/>
    <w:rsid w:val="00F40F3B"/>
    <w:rsid w:val="00F42B78"/>
    <w:rsid w:val="00F42B89"/>
    <w:rsid w:val="00F4313C"/>
    <w:rsid w:val="00F43A94"/>
    <w:rsid w:val="00F4435F"/>
    <w:rsid w:val="00F4479E"/>
    <w:rsid w:val="00F44AD8"/>
    <w:rsid w:val="00F44DF2"/>
    <w:rsid w:val="00F4595D"/>
    <w:rsid w:val="00F45B36"/>
    <w:rsid w:val="00F45F64"/>
    <w:rsid w:val="00F460CD"/>
    <w:rsid w:val="00F46D3C"/>
    <w:rsid w:val="00F47EA9"/>
    <w:rsid w:val="00F47F3B"/>
    <w:rsid w:val="00F504BE"/>
    <w:rsid w:val="00F50ABF"/>
    <w:rsid w:val="00F50AC1"/>
    <w:rsid w:val="00F50FE0"/>
    <w:rsid w:val="00F511CA"/>
    <w:rsid w:val="00F5172E"/>
    <w:rsid w:val="00F51F94"/>
    <w:rsid w:val="00F5257C"/>
    <w:rsid w:val="00F531C5"/>
    <w:rsid w:val="00F56A35"/>
    <w:rsid w:val="00F5759A"/>
    <w:rsid w:val="00F57E92"/>
    <w:rsid w:val="00F57F25"/>
    <w:rsid w:val="00F6026B"/>
    <w:rsid w:val="00F607E3"/>
    <w:rsid w:val="00F610B8"/>
    <w:rsid w:val="00F61BA8"/>
    <w:rsid w:val="00F62108"/>
    <w:rsid w:val="00F62B3F"/>
    <w:rsid w:val="00F63D76"/>
    <w:rsid w:val="00F63EEE"/>
    <w:rsid w:val="00F64C29"/>
    <w:rsid w:val="00F64C63"/>
    <w:rsid w:val="00F65A2F"/>
    <w:rsid w:val="00F65CA1"/>
    <w:rsid w:val="00F65FB5"/>
    <w:rsid w:val="00F6633E"/>
    <w:rsid w:val="00F66C2B"/>
    <w:rsid w:val="00F67A60"/>
    <w:rsid w:val="00F67AE3"/>
    <w:rsid w:val="00F70DDC"/>
    <w:rsid w:val="00F71730"/>
    <w:rsid w:val="00F72723"/>
    <w:rsid w:val="00F72A93"/>
    <w:rsid w:val="00F72E81"/>
    <w:rsid w:val="00F7355C"/>
    <w:rsid w:val="00F73767"/>
    <w:rsid w:val="00F73D46"/>
    <w:rsid w:val="00F74376"/>
    <w:rsid w:val="00F746ED"/>
    <w:rsid w:val="00F74A87"/>
    <w:rsid w:val="00F75275"/>
    <w:rsid w:val="00F752B8"/>
    <w:rsid w:val="00F758FD"/>
    <w:rsid w:val="00F76063"/>
    <w:rsid w:val="00F77AC1"/>
    <w:rsid w:val="00F77BE2"/>
    <w:rsid w:val="00F77E0F"/>
    <w:rsid w:val="00F77ECC"/>
    <w:rsid w:val="00F8058F"/>
    <w:rsid w:val="00F805D6"/>
    <w:rsid w:val="00F80CBE"/>
    <w:rsid w:val="00F81920"/>
    <w:rsid w:val="00F8192D"/>
    <w:rsid w:val="00F81BB3"/>
    <w:rsid w:val="00F823BA"/>
    <w:rsid w:val="00F826F8"/>
    <w:rsid w:val="00F82A71"/>
    <w:rsid w:val="00F8390B"/>
    <w:rsid w:val="00F8393A"/>
    <w:rsid w:val="00F84505"/>
    <w:rsid w:val="00F851F0"/>
    <w:rsid w:val="00F85815"/>
    <w:rsid w:val="00F85CA9"/>
    <w:rsid w:val="00F90529"/>
    <w:rsid w:val="00F906EE"/>
    <w:rsid w:val="00F9095A"/>
    <w:rsid w:val="00F90972"/>
    <w:rsid w:val="00F915F2"/>
    <w:rsid w:val="00F91735"/>
    <w:rsid w:val="00F9193E"/>
    <w:rsid w:val="00F919FD"/>
    <w:rsid w:val="00F91B14"/>
    <w:rsid w:val="00F91E7E"/>
    <w:rsid w:val="00F91FBD"/>
    <w:rsid w:val="00F9307C"/>
    <w:rsid w:val="00F93358"/>
    <w:rsid w:val="00F94930"/>
    <w:rsid w:val="00F94971"/>
    <w:rsid w:val="00F94A7E"/>
    <w:rsid w:val="00F9547E"/>
    <w:rsid w:val="00F95617"/>
    <w:rsid w:val="00F9672A"/>
    <w:rsid w:val="00F96C70"/>
    <w:rsid w:val="00F97374"/>
    <w:rsid w:val="00F973A9"/>
    <w:rsid w:val="00FA02A4"/>
    <w:rsid w:val="00FA02DE"/>
    <w:rsid w:val="00FA053C"/>
    <w:rsid w:val="00FA0BA5"/>
    <w:rsid w:val="00FA2659"/>
    <w:rsid w:val="00FA2D50"/>
    <w:rsid w:val="00FA2E78"/>
    <w:rsid w:val="00FA322B"/>
    <w:rsid w:val="00FA3D27"/>
    <w:rsid w:val="00FA3E58"/>
    <w:rsid w:val="00FA3EFF"/>
    <w:rsid w:val="00FA487E"/>
    <w:rsid w:val="00FA5D46"/>
    <w:rsid w:val="00FA65F8"/>
    <w:rsid w:val="00FA6EFA"/>
    <w:rsid w:val="00FA6F55"/>
    <w:rsid w:val="00FA7104"/>
    <w:rsid w:val="00FA72B0"/>
    <w:rsid w:val="00FA7849"/>
    <w:rsid w:val="00FA7C43"/>
    <w:rsid w:val="00FB0674"/>
    <w:rsid w:val="00FB0AC1"/>
    <w:rsid w:val="00FB0CD7"/>
    <w:rsid w:val="00FB160D"/>
    <w:rsid w:val="00FB1B45"/>
    <w:rsid w:val="00FB1D97"/>
    <w:rsid w:val="00FB36A1"/>
    <w:rsid w:val="00FB3B82"/>
    <w:rsid w:val="00FB3BD8"/>
    <w:rsid w:val="00FB3DBE"/>
    <w:rsid w:val="00FB4034"/>
    <w:rsid w:val="00FB42BA"/>
    <w:rsid w:val="00FB43BA"/>
    <w:rsid w:val="00FB4EBE"/>
    <w:rsid w:val="00FB59CF"/>
    <w:rsid w:val="00FB59D9"/>
    <w:rsid w:val="00FB5A86"/>
    <w:rsid w:val="00FB5B4C"/>
    <w:rsid w:val="00FB5E9F"/>
    <w:rsid w:val="00FB7227"/>
    <w:rsid w:val="00FB77DE"/>
    <w:rsid w:val="00FC044A"/>
    <w:rsid w:val="00FC0453"/>
    <w:rsid w:val="00FC0801"/>
    <w:rsid w:val="00FC18DA"/>
    <w:rsid w:val="00FC218F"/>
    <w:rsid w:val="00FC2948"/>
    <w:rsid w:val="00FC400E"/>
    <w:rsid w:val="00FC44A8"/>
    <w:rsid w:val="00FC457D"/>
    <w:rsid w:val="00FC4B92"/>
    <w:rsid w:val="00FC558B"/>
    <w:rsid w:val="00FC600A"/>
    <w:rsid w:val="00FC6E71"/>
    <w:rsid w:val="00FC7515"/>
    <w:rsid w:val="00FC7A1B"/>
    <w:rsid w:val="00FC7B05"/>
    <w:rsid w:val="00FD04D6"/>
    <w:rsid w:val="00FD0769"/>
    <w:rsid w:val="00FD17B1"/>
    <w:rsid w:val="00FD1B68"/>
    <w:rsid w:val="00FD2122"/>
    <w:rsid w:val="00FD227C"/>
    <w:rsid w:val="00FD244C"/>
    <w:rsid w:val="00FD2A75"/>
    <w:rsid w:val="00FD301F"/>
    <w:rsid w:val="00FD32F4"/>
    <w:rsid w:val="00FD46A3"/>
    <w:rsid w:val="00FD4E2B"/>
    <w:rsid w:val="00FD51E2"/>
    <w:rsid w:val="00FD52B6"/>
    <w:rsid w:val="00FD5984"/>
    <w:rsid w:val="00FD5F1F"/>
    <w:rsid w:val="00FD67F9"/>
    <w:rsid w:val="00FD6B69"/>
    <w:rsid w:val="00FD7795"/>
    <w:rsid w:val="00FE0413"/>
    <w:rsid w:val="00FE066E"/>
    <w:rsid w:val="00FE14C5"/>
    <w:rsid w:val="00FE265A"/>
    <w:rsid w:val="00FE38F2"/>
    <w:rsid w:val="00FE48A7"/>
    <w:rsid w:val="00FE4BBC"/>
    <w:rsid w:val="00FE62B3"/>
    <w:rsid w:val="00FE634B"/>
    <w:rsid w:val="00FE63A2"/>
    <w:rsid w:val="00FE69C8"/>
    <w:rsid w:val="00FE6DBE"/>
    <w:rsid w:val="00FE7000"/>
    <w:rsid w:val="00FF0857"/>
    <w:rsid w:val="00FF182D"/>
    <w:rsid w:val="00FF1B58"/>
    <w:rsid w:val="00FF1ED1"/>
    <w:rsid w:val="00FF1F39"/>
    <w:rsid w:val="00FF2C86"/>
    <w:rsid w:val="00FF3010"/>
    <w:rsid w:val="00FF338A"/>
    <w:rsid w:val="00FF372D"/>
    <w:rsid w:val="00FF3E1C"/>
    <w:rsid w:val="00FF4C50"/>
    <w:rsid w:val="00FF4FB8"/>
    <w:rsid w:val="00FF5458"/>
    <w:rsid w:val="00FF5E90"/>
    <w:rsid w:val="00FF5F57"/>
    <w:rsid w:val="00FF5FF3"/>
    <w:rsid w:val="00FF6811"/>
    <w:rsid w:val="00FF74DD"/>
    <w:rsid w:val="00FF759E"/>
    <w:rsid w:val="00FF7B6C"/>
    <w:rsid w:val="00FF7F71"/>
    <w:rsid w:val="012641E0"/>
    <w:rsid w:val="01265E73"/>
    <w:rsid w:val="01353CCF"/>
    <w:rsid w:val="02F744FF"/>
    <w:rsid w:val="03AB5D34"/>
    <w:rsid w:val="048C23F0"/>
    <w:rsid w:val="077EF84C"/>
    <w:rsid w:val="07E23868"/>
    <w:rsid w:val="08462871"/>
    <w:rsid w:val="0982FE23"/>
    <w:rsid w:val="09BC8A33"/>
    <w:rsid w:val="0B0188B3"/>
    <w:rsid w:val="0B465F8B"/>
    <w:rsid w:val="0D02363F"/>
    <w:rsid w:val="0EDF2E52"/>
    <w:rsid w:val="11A11FEC"/>
    <w:rsid w:val="16547299"/>
    <w:rsid w:val="16785C32"/>
    <w:rsid w:val="189F33D3"/>
    <w:rsid w:val="19CB5584"/>
    <w:rsid w:val="1C4EC2A0"/>
    <w:rsid w:val="1C990396"/>
    <w:rsid w:val="1F56B372"/>
    <w:rsid w:val="20F29850"/>
    <w:rsid w:val="2502250D"/>
    <w:rsid w:val="26686FC0"/>
    <w:rsid w:val="268B37A2"/>
    <w:rsid w:val="26AE6874"/>
    <w:rsid w:val="29BE3995"/>
    <w:rsid w:val="29E8328B"/>
    <w:rsid w:val="2A3A7B0C"/>
    <w:rsid w:val="2C804ECA"/>
    <w:rsid w:val="3401ECB1"/>
    <w:rsid w:val="346B9308"/>
    <w:rsid w:val="39954BF5"/>
    <w:rsid w:val="3AC73412"/>
    <w:rsid w:val="3D480AF8"/>
    <w:rsid w:val="3F309C47"/>
    <w:rsid w:val="42A4FD69"/>
    <w:rsid w:val="46DDE463"/>
    <w:rsid w:val="47AEE031"/>
    <w:rsid w:val="497247DC"/>
    <w:rsid w:val="49E783C6"/>
    <w:rsid w:val="4A1DAE87"/>
    <w:rsid w:val="4A3752BA"/>
    <w:rsid w:val="4BF2D2FA"/>
    <w:rsid w:val="4D1397CC"/>
    <w:rsid w:val="4E9331D5"/>
    <w:rsid w:val="51B91434"/>
    <w:rsid w:val="52119A55"/>
    <w:rsid w:val="53E8951F"/>
    <w:rsid w:val="573E041F"/>
    <w:rsid w:val="579597AE"/>
    <w:rsid w:val="5B42ABCD"/>
    <w:rsid w:val="5C3DB18C"/>
    <w:rsid w:val="5E487521"/>
    <w:rsid w:val="5E72D156"/>
    <w:rsid w:val="5F251D9B"/>
    <w:rsid w:val="6059AE79"/>
    <w:rsid w:val="63DE36BE"/>
    <w:rsid w:val="666515C3"/>
    <w:rsid w:val="66656C66"/>
    <w:rsid w:val="691E34D6"/>
    <w:rsid w:val="6A1E8E7D"/>
    <w:rsid w:val="6E0ED775"/>
    <w:rsid w:val="712EFBA9"/>
    <w:rsid w:val="7155FEDA"/>
    <w:rsid w:val="71F6A620"/>
    <w:rsid w:val="720F7560"/>
    <w:rsid w:val="726883B7"/>
    <w:rsid w:val="7292E534"/>
    <w:rsid w:val="7331AC27"/>
    <w:rsid w:val="73A0D317"/>
    <w:rsid w:val="746D882E"/>
    <w:rsid w:val="77FC65D8"/>
    <w:rsid w:val="78DAEEE0"/>
    <w:rsid w:val="79C5F689"/>
    <w:rsid w:val="7DBB0AED"/>
    <w:rsid w:val="7E03B2FA"/>
    <w:rsid w:val="7ECF8A8A"/>
    <w:rsid w:val="7F726DF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0667"/>
  <w15:chartTrackingRefBased/>
  <w15:docId w15:val="{C238D55F-FFC8-4769-8EFB-B2FF3626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234"/>
    <w:pPr>
      <w:autoSpaceDE w:val="0"/>
      <w:autoSpaceDN w:val="0"/>
    </w:pPr>
    <w:rPr>
      <w:rFonts w:ascii="Times New Roman" w:eastAsia="Times New Roman" w:hAnsi="Times New Roman" w:cs="Times New Roman"/>
      <w:kern w:val="0"/>
      <w:sz w:val="20"/>
      <w:szCs w:val="20"/>
      <w:lang w:val="es-419" w:eastAsia="es-ES"/>
      <w14:ligatures w14:val="none"/>
    </w:rPr>
  </w:style>
  <w:style w:type="paragraph" w:styleId="Ttulo2">
    <w:name w:val="heading 2"/>
    <w:basedOn w:val="Normal"/>
    <w:next w:val="Normal"/>
    <w:link w:val="Ttulo2Car"/>
    <w:uiPriority w:val="9"/>
    <w:unhideWhenUsed/>
    <w:qFormat/>
    <w:rsid w:val="00C84637"/>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33234"/>
    <w:pPr>
      <w:tabs>
        <w:tab w:val="center" w:pos="4252"/>
        <w:tab w:val="right" w:pos="8504"/>
      </w:tabs>
    </w:pPr>
  </w:style>
  <w:style w:type="character" w:customStyle="1" w:styleId="EncabezadoCar">
    <w:name w:val="Encabezado Car"/>
    <w:basedOn w:val="Fuentedeprrafopredeter"/>
    <w:link w:val="Encabezado"/>
    <w:uiPriority w:val="99"/>
    <w:rsid w:val="00B33234"/>
    <w:rPr>
      <w:rFonts w:ascii="Times New Roman" w:eastAsia="Times New Roman" w:hAnsi="Times New Roman" w:cs="Times New Roman"/>
      <w:kern w:val="0"/>
      <w:sz w:val="20"/>
      <w:szCs w:val="20"/>
      <w:lang w:val="es-419" w:eastAsia="es-ES"/>
      <w14:ligatures w14:val="none"/>
    </w:rPr>
  </w:style>
  <w:style w:type="paragraph" w:styleId="Textoindependiente3">
    <w:name w:val="Body Text 3"/>
    <w:basedOn w:val="Normal"/>
    <w:link w:val="Textoindependiente3Car"/>
    <w:uiPriority w:val="99"/>
    <w:rsid w:val="00B33234"/>
    <w:pPr>
      <w:jc w:val="both"/>
    </w:pPr>
    <w:rPr>
      <w:sz w:val="28"/>
      <w:szCs w:val="28"/>
    </w:rPr>
  </w:style>
  <w:style w:type="character" w:customStyle="1" w:styleId="Textoindependiente3Car">
    <w:name w:val="Texto independiente 3 Car"/>
    <w:basedOn w:val="Fuentedeprrafopredeter"/>
    <w:link w:val="Textoindependiente3"/>
    <w:uiPriority w:val="99"/>
    <w:rsid w:val="00B33234"/>
    <w:rPr>
      <w:rFonts w:ascii="Times New Roman" w:eastAsia="Times New Roman" w:hAnsi="Times New Roman" w:cs="Times New Roman"/>
      <w:kern w:val="0"/>
      <w:sz w:val="28"/>
      <w:szCs w:val="28"/>
      <w:lang w:val="es-419" w:eastAsia="es-ES"/>
      <w14:ligatures w14:val="none"/>
    </w:rPr>
  </w:style>
  <w:style w:type="paragraph" w:styleId="Prrafodelista">
    <w:name w:val="List Paragraph"/>
    <w:aliases w:val="párrafo numerado,Footnote,Colorful List - Accent 11,Ha,List Paragraph1,lp1,List Paragraph2,Normal1,Párrafo de lista3,Párrafo de lista1,Lista vistosa - Énfasis 11,Segundo nivel de viñetas,Segundo nivel de vi–etas,titulo 3,Bolita,Bullets"/>
    <w:basedOn w:val="Normal"/>
    <w:link w:val="PrrafodelistaCar"/>
    <w:uiPriority w:val="34"/>
    <w:qFormat/>
    <w:rsid w:val="005C4968"/>
    <w:pPr>
      <w:ind w:left="720"/>
      <w:contextualSpacing/>
    </w:pPr>
  </w:style>
  <w:style w:type="character" w:styleId="Refdecomentario">
    <w:name w:val="annotation reference"/>
    <w:basedOn w:val="Fuentedeprrafopredeter"/>
    <w:uiPriority w:val="99"/>
    <w:unhideWhenUsed/>
    <w:rsid w:val="00565722"/>
    <w:rPr>
      <w:sz w:val="16"/>
      <w:szCs w:val="16"/>
    </w:rPr>
  </w:style>
  <w:style w:type="paragraph" w:styleId="Textocomentario">
    <w:name w:val="annotation text"/>
    <w:basedOn w:val="Normal"/>
    <w:link w:val="TextocomentarioCar"/>
    <w:uiPriority w:val="99"/>
    <w:unhideWhenUsed/>
    <w:rsid w:val="00565722"/>
  </w:style>
  <w:style w:type="character" w:customStyle="1" w:styleId="TextocomentarioCar">
    <w:name w:val="Texto comentario Car"/>
    <w:basedOn w:val="Fuentedeprrafopredeter"/>
    <w:link w:val="Textocomentario"/>
    <w:uiPriority w:val="99"/>
    <w:rsid w:val="00565722"/>
    <w:rPr>
      <w:rFonts w:ascii="Times New Roman" w:eastAsia="Times New Roman" w:hAnsi="Times New Roman" w:cs="Times New Roman"/>
      <w:kern w:val="0"/>
      <w:sz w:val="20"/>
      <w:szCs w:val="20"/>
      <w:lang w:val="es-419" w:eastAsia="es-ES"/>
      <w14:ligatures w14:val="none"/>
    </w:rPr>
  </w:style>
  <w:style w:type="paragraph" w:styleId="Asuntodelcomentario">
    <w:name w:val="annotation subject"/>
    <w:basedOn w:val="Textocomentario"/>
    <w:next w:val="Textocomentario"/>
    <w:link w:val="AsuntodelcomentarioCar"/>
    <w:uiPriority w:val="99"/>
    <w:semiHidden/>
    <w:unhideWhenUsed/>
    <w:rsid w:val="00565722"/>
    <w:rPr>
      <w:b/>
      <w:bCs/>
    </w:rPr>
  </w:style>
  <w:style w:type="character" w:customStyle="1" w:styleId="AsuntodelcomentarioCar">
    <w:name w:val="Asunto del comentario Car"/>
    <w:basedOn w:val="TextocomentarioCar"/>
    <w:link w:val="Asuntodelcomentario"/>
    <w:uiPriority w:val="99"/>
    <w:semiHidden/>
    <w:rsid w:val="00565722"/>
    <w:rPr>
      <w:rFonts w:ascii="Times New Roman" w:eastAsia="Times New Roman" w:hAnsi="Times New Roman" w:cs="Times New Roman"/>
      <w:b/>
      <w:bCs/>
      <w:kern w:val="0"/>
      <w:sz w:val="20"/>
      <w:szCs w:val="20"/>
      <w:lang w:val="es-419" w:eastAsia="es-ES"/>
      <w14:ligatures w14:val="none"/>
    </w:rPr>
  </w:style>
  <w:style w:type="paragraph" w:styleId="Textonotapie">
    <w:name w:val="footnote text"/>
    <w:aliases w:val="Texto nota pie Car,Footnote Text Char Char Char Char Char,Footnote Text Char Char Char Char,Footnote reference,FA Fu,Footnote Text Char Char Char,Footnote Text Char Char Char Char Char Char Char Char,texto de nota al pi,Footnote Text Char"/>
    <w:basedOn w:val="Normal"/>
    <w:link w:val="TextonotapieCar1"/>
    <w:uiPriority w:val="99"/>
    <w:unhideWhenUsed/>
    <w:qFormat/>
    <w:rsid w:val="000F0FA0"/>
  </w:style>
  <w:style w:type="character" w:customStyle="1" w:styleId="TextonotapieCar1">
    <w:name w:val="Texto nota pie Car1"/>
    <w:aliases w:val="Texto nota pie Car Car,Footnote Text Char Char Char Char Char Car,Footnote Text Char Char Char Char Car,Footnote reference Car,FA Fu Car,Footnote Text Char Char Char Car,Footnote Text Char Char Char Char Char Char Char Char Car"/>
    <w:basedOn w:val="Fuentedeprrafopredeter"/>
    <w:link w:val="Textonotapie"/>
    <w:uiPriority w:val="99"/>
    <w:qFormat/>
    <w:rsid w:val="000F0FA0"/>
    <w:rPr>
      <w:rFonts w:ascii="Times New Roman" w:eastAsia="Times New Roman" w:hAnsi="Times New Roman" w:cs="Times New Roman"/>
      <w:kern w:val="0"/>
      <w:sz w:val="20"/>
      <w:szCs w:val="20"/>
      <w:lang w:val="es-419" w:eastAsia="es-ES"/>
      <w14:ligatures w14:val="none"/>
    </w:rPr>
  </w:style>
  <w:style w:type="character" w:styleId="Refdenotaalpie">
    <w:name w:val="footnote reference"/>
    <w:aliases w:val="Texto de nota al pie,referencia nota al pie,Footnotes refss,Fago Fußnotenzeichen,Appel note de bas de page,Ref. de nota al pie 2,Footnote Text Char Char Char Char Char Car1,Footnote Text Char Char Char Char Car1,f,Pie de Página,FC,F"/>
    <w:basedOn w:val="Fuentedeprrafopredeter"/>
    <w:link w:val="4GChar"/>
    <w:uiPriority w:val="99"/>
    <w:unhideWhenUsed/>
    <w:qFormat/>
    <w:rsid w:val="000F0FA0"/>
    <w:rPr>
      <w:vertAlign w:val="superscript"/>
    </w:rPr>
  </w:style>
  <w:style w:type="paragraph" w:styleId="Textodeglobo">
    <w:name w:val="Balloon Text"/>
    <w:basedOn w:val="Normal"/>
    <w:link w:val="TextodegloboCar"/>
    <w:uiPriority w:val="99"/>
    <w:semiHidden/>
    <w:unhideWhenUsed/>
    <w:rsid w:val="006B0A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0ABC"/>
    <w:rPr>
      <w:rFonts w:ascii="Segoe UI" w:eastAsia="Times New Roman" w:hAnsi="Segoe UI" w:cs="Segoe UI"/>
      <w:kern w:val="0"/>
      <w:sz w:val="18"/>
      <w:szCs w:val="18"/>
      <w:lang w:val="es-419" w:eastAsia="es-ES"/>
      <w14:ligatures w14:val="none"/>
    </w:rPr>
  </w:style>
  <w:style w:type="paragraph" w:styleId="Revisin">
    <w:name w:val="Revision"/>
    <w:hidden/>
    <w:uiPriority w:val="99"/>
    <w:semiHidden/>
    <w:rsid w:val="00EF14A9"/>
    <w:rPr>
      <w:rFonts w:ascii="Times New Roman" w:eastAsia="Times New Roman" w:hAnsi="Times New Roman" w:cs="Times New Roman"/>
      <w:kern w:val="0"/>
      <w:sz w:val="20"/>
      <w:szCs w:val="20"/>
      <w:lang w:val="es-419" w:eastAsia="es-ES"/>
      <w14:ligatures w14:val="none"/>
    </w:rPr>
  </w:style>
  <w:style w:type="paragraph" w:styleId="NormalWeb">
    <w:name w:val="Normal (Web)"/>
    <w:basedOn w:val="Normal"/>
    <w:uiPriority w:val="99"/>
    <w:semiHidden/>
    <w:unhideWhenUsed/>
    <w:rsid w:val="00F67A60"/>
    <w:rPr>
      <w:sz w:val="24"/>
      <w:szCs w:val="24"/>
    </w:rPr>
  </w:style>
  <w:style w:type="paragraph" w:styleId="Piedepgina">
    <w:name w:val="footer"/>
    <w:basedOn w:val="Normal"/>
    <w:link w:val="PiedepginaCar"/>
    <w:uiPriority w:val="99"/>
    <w:unhideWhenUsed/>
    <w:rsid w:val="00927773"/>
    <w:pPr>
      <w:tabs>
        <w:tab w:val="center" w:pos="4680"/>
        <w:tab w:val="right" w:pos="9360"/>
      </w:tabs>
    </w:pPr>
  </w:style>
  <w:style w:type="character" w:customStyle="1" w:styleId="PiedepginaCar">
    <w:name w:val="Pie de página Car"/>
    <w:basedOn w:val="Fuentedeprrafopredeter"/>
    <w:link w:val="Piedepgina"/>
    <w:uiPriority w:val="99"/>
    <w:rsid w:val="0098747E"/>
    <w:rPr>
      <w:rFonts w:ascii="Times New Roman" w:eastAsia="Times New Roman" w:hAnsi="Times New Roman" w:cs="Times New Roman"/>
      <w:kern w:val="0"/>
      <w:sz w:val="20"/>
      <w:szCs w:val="20"/>
      <w:lang w:val="es-419" w:eastAsia="es-ES"/>
      <w14:ligatures w14:val="none"/>
    </w:rPr>
  </w:style>
  <w:style w:type="character" w:customStyle="1" w:styleId="normaltextrun">
    <w:name w:val="normaltextrun"/>
    <w:basedOn w:val="Fuentedeprrafopredeter"/>
    <w:rsid w:val="00497290"/>
  </w:style>
  <w:style w:type="character" w:customStyle="1" w:styleId="FootnoteTextChar1">
    <w:name w:val="Footnote Text Char1"/>
    <w:aliases w:val="Texto nota pie Car Char,Footnote Text Char Char Char Char Char Char,Footnote Text Char Char Char Char Char1,Footnote reference Char,FA Fu Char,Footnote Text Char Char Char Char1,Footnote Text Char Char,texto de nota al pi Char,ft Cha"/>
    <w:qFormat/>
    <w:locked/>
    <w:rsid w:val="008B08F4"/>
    <w:rPr>
      <w:lang w:val="es-CO" w:eastAsia="es-ES" w:bidi="ar-SA"/>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B08F4"/>
    <w:pPr>
      <w:autoSpaceDE/>
      <w:autoSpaceDN/>
      <w:jc w:val="both"/>
    </w:pPr>
    <w:rPr>
      <w:rFonts w:asciiTheme="minorHAnsi" w:eastAsiaTheme="minorHAnsi" w:hAnsiTheme="minorHAnsi" w:cstheme="minorBidi"/>
      <w:kern w:val="2"/>
      <w:sz w:val="24"/>
      <w:szCs w:val="24"/>
      <w:vertAlign w:val="superscript"/>
      <w:lang w:val="es-CO" w:eastAsia="en-US"/>
      <w14:ligatures w14:val="standardContextual"/>
    </w:rPr>
  </w:style>
  <w:style w:type="character" w:customStyle="1" w:styleId="PrrafodelistaCar">
    <w:name w:val="Párrafo de lista Car"/>
    <w:aliases w:val="párrafo numerado Car,Footnote Car,Colorful List - Accent 11 Car,Ha Car,List Paragraph1 Car,lp1 Car,List Paragraph2 Car,Normal1 Car,Párrafo de lista3 Car,Párrafo de lista1 Car,Lista vistosa - Énfasis 11 Car,titulo 3 Car,Bolita Car"/>
    <w:link w:val="Prrafodelista"/>
    <w:uiPriority w:val="34"/>
    <w:qFormat/>
    <w:locked/>
    <w:rsid w:val="008B08F4"/>
    <w:rPr>
      <w:rFonts w:ascii="Times New Roman" w:eastAsia="Times New Roman" w:hAnsi="Times New Roman" w:cs="Times New Roman"/>
      <w:kern w:val="0"/>
      <w:sz w:val="20"/>
      <w:szCs w:val="20"/>
      <w:lang w:val="es-419" w:eastAsia="es-ES"/>
      <w14:ligatures w14:val="none"/>
    </w:rPr>
  </w:style>
  <w:style w:type="paragraph" w:styleId="Lista">
    <w:name w:val="List"/>
    <w:basedOn w:val="Normal"/>
    <w:rsid w:val="00570677"/>
    <w:pPr>
      <w:autoSpaceDE/>
      <w:autoSpaceDN/>
      <w:ind w:left="283" w:hanging="283"/>
      <w:jc w:val="both"/>
    </w:pPr>
    <w:rPr>
      <w:sz w:val="24"/>
      <w:lang w:eastAsia="zh-CN"/>
    </w:rPr>
  </w:style>
  <w:style w:type="character" w:styleId="Hipervnculo">
    <w:name w:val="Hyperlink"/>
    <w:uiPriority w:val="99"/>
    <w:rsid w:val="003215D0"/>
    <w:rPr>
      <w:color w:val="0000FF"/>
      <w:u w:val="single"/>
    </w:rPr>
  </w:style>
  <w:style w:type="paragraph" w:customStyle="1" w:styleId="paragraph">
    <w:name w:val="paragraph"/>
    <w:basedOn w:val="Normal"/>
    <w:rsid w:val="003215D0"/>
    <w:pPr>
      <w:autoSpaceDE/>
      <w:autoSpaceDN/>
      <w:spacing w:before="100" w:beforeAutospacing="1" w:after="100" w:afterAutospacing="1"/>
    </w:pPr>
    <w:rPr>
      <w:sz w:val="24"/>
      <w:szCs w:val="24"/>
      <w:lang w:val="en-US" w:eastAsia="en-US"/>
    </w:rPr>
  </w:style>
  <w:style w:type="character" w:customStyle="1" w:styleId="Mencinsinresolver1">
    <w:name w:val="Mención sin resolver1"/>
    <w:basedOn w:val="Fuentedeprrafopredeter"/>
    <w:uiPriority w:val="99"/>
    <w:semiHidden/>
    <w:unhideWhenUsed/>
    <w:rsid w:val="003215D0"/>
    <w:rPr>
      <w:color w:val="605E5C"/>
      <w:shd w:val="clear" w:color="auto" w:fill="E1DFDD"/>
    </w:rPr>
  </w:style>
  <w:style w:type="paragraph" w:styleId="Descripcin">
    <w:name w:val="caption"/>
    <w:basedOn w:val="Normal"/>
    <w:next w:val="Normal"/>
    <w:uiPriority w:val="35"/>
    <w:unhideWhenUsed/>
    <w:qFormat/>
    <w:rsid w:val="00EC399F"/>
    <w:pPr>
      <w:spacing w:after="200"/>
    </w:pPr>
    <w:rPr>
      <w:i/>
      <w:iCs/>
      <w:color w:val="000000" w:themeColor="text2"/>
      <w:sz w:val="18"/>
      <w:szCs w:val="18"/>
    </w:rPr>
  </w:style>
  <w:style w:type="character" w:styleId="Nmerodepgina">
    <w:name w:val="page number"/>
    <w:basedOn w:val="Fuentedeprrafopredeter"/>
    <w:uiPriority w:val="99"/>
    <w:semiHidden/>
    <w:unhideWhenUsed/>
    <w:rsid w:val="000F59F9"/>
  </w:style>
  <w:style w:type="character" w:styleId="Hipervnculovisitado">
    <w:name w:val="FollowedHyperlink"/>
    <w:basedOn w:val="Fuentedeprrafopredeter"/>
    <w:uiPriority w:val="99"/>
    <w:semiHidden/>
    <w:unhideWhenUsed/>
    <w:rsid w:val="00FF7F71"/>
    <w:rPr>
      <w:color w:val="919191" w:themeColor="followedHyperlink"/>
      <w:u w:val="single"/>
    </w:rPr>
  </w:style>
  <w:style w:type="paragraph" w:styleId="Sinespaciado">
    <w:name w:val="No Spacing"/>
    <w:link w:val="SinespaciadoCar"/>
    <w:uiPriority w:val="1"/>
    <w:qFormat/>
    <w:rsid w:val="00AB49B6"/>
    <w:pPr>
      <w:ind w:right="-68"/>
      <w:jc w:val="both"/>
    </w:pPr>
    <w:rPr>
      <w:rFonts w:ascii="Times New Roman" w:eastAsia="Times New Roman" w:hAnsi="Times New Roman" w:cs="Times New Roman"/>
      <w:kern w:val="0"/>
      <w:sz w:val="28"/>
      <w:szCs w:val="28"/>
      <w:lang w:eastAsia="es-ES"/>
      <w14:ligatures w14:val="none"/>
    </w:rPr>
  </w:style>
  <w:style w:type="character" w:customStyle="1" w:styleId="SinespaciadoCar">
    <w:name w:val="Sin espaciado Car"/>
    <w:link w:val="Sinespaciado"/>
    <w:uiPriority w:val="1"/>
    <w:rsid w:val="00AB49B6"/>
    <w:rPr>
      <w:rFonts w:ascii="Times New Roman" w:eastAsia="Times New Roman" w:hAnsi="Times New Roman" w:cs="Times New Roman"/>
      <w:kern w:val="0"/>
      <w:sz w:val="28"/>
      <w:szCs w:val="28"/>
      <w:lang w:eastAsia="es-ES"/>
      <w14:ligatures w14:val="none"/>
    </w:rPr>
  </w:style>
  <w:style w:type="character" w:customStyle="1" w:styleId="apple-converted-space">
    <w:name w:val="apple-converted-space"/>
    <w:basedOn w:val="Fuentedeprrafopredeter"/>
    <w:rsid w:val="00D2352F"/>
  </w:style>
  <w:style w:type="table" w:styleId="Tablaconcuadrcula">
    <w:name w:val="Table Grid"/>
    <w:basedOn w:val="Tablanormal"/>
    <w:uiPriority w:val="39"/>
    <w:rsid w:val="002C2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C84637"/>
    <w:rPr>
      <w:rFonts w:asciiTheme="majorHAnsi" w:eastAsiaTheme="majorEastAsia" w:hAnsiTheme="majorHAnsi" w:cstheme="majorBidi"/>
      <w:color w:val="A5A5A5" w:themeColor="accent1" w:themeShade="BF"/>
      <w:kern w:val="0"/>
      <w:sz w:val="26"/>
      <w:szCs w:val="26"/>
      <w:lang w:val="es-419"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8139">
      <w:bodyDiv w:val="1"/>
      <w:marLeft w:val="0"/>
      <w:marRight w:val="0"/>
      <w:marTop w:val="0"/>
      <w:marBottom w:val="0"/>
      <w:divBdr>
        <w:top w:val="none" w:sz="0" w:space="0" w:color="auto"/>
        <w:left w:val="none" w:sz="0" w:space="0" w:color="auto"/>
        <w:bottom w:val="none" w:sz="0" w:space="0" w:color="auto"/>
        <w:right w:val="none" w:sz="0" w:space="0" w:color="auto"/>
      </w:divBdr>
      <w:divsChild>
        <w:div w:id="450321248">
          <w:marLeft w:val="0"/>
          <w:marRight w:val="0"/>
          <w:marTop w:val="0"/>
          <w:marBottom w:val="0"/>
          <w:divBdr>
            <w:top w:val="none" w:sz="0" w:space="0" w:color="auto"/>
            <w:left w:val="none" w:sz="0" w:space="0" w:color="auto"/>
            <w:bottom w:val="none" w:sz="0" w:space="0" w:color="auto"/>
            <w:right w:val="none" w:sz="0" w:space="0" w:color="auto"/>
          </w:divBdr>
          <w:divsChild>
            <w:div w:id="1940750159">
              <w:marLeft w:val="0"/>
              <w:marRight w:val="0"/>
              <w:marTop w:val="0"/>
              <w:marBottom w:val="0"/>
              <w:divBdr>
                <w:top w:val="none" w:sz="0" w:space="0" w:color="auto"/>
                <w:left w:val="none" w:sz="0" w:space="0" w:color="auto"/>
                <w:bottom w:val="none" w:sz="0" w:space="0" w:color="auto"/>
                <w:right w:val="none" w:sz="0" w:space="0" w:color="auto"/>
              </w:divBdr>
              <w:divsChild>
                <w:div w:id="1700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18313454">
          <w:marLeft w:val="0"/>
          <w:marRight w:val="0"/>
          <w:marTop w:val="0"/>
          <w:marBottom w:val="0"/>
          <w:divBdr>
            <w:top w:val="none" w:sz="0" w:space="0" w:color="auto"/>
            <w:left w:val="none" w:sz="0" w:space="0" w:color="auto"/>
            <w:bottom w:val="none" w:sz="0" w:space="0" w:color="auto"/>
            <w:right w:val="none" w:sz="0" w:space="0" w:color="auto"/>
          </w:divBdr>
          <w:divsChild>
            <w:div w:id="1355425434">
              <w:marLeft w:val="0"/>
              <w:marRight w:val="0"/>
              <w:marTop w:val="0"/>
              <w:marBottom w:val="0"/>
              <w:divBdr>
                <w:top w:val="none" w:sz="0" w:space="0" w:color="auto"/>
                <w:left w:val="none" w:sz="0" w:space="0" w:color="auto"/>
                <w:bottom w:val="none" w:sz="0" w:space="0" w:color="auto"/>
                <w:right w:val="none" w:sz="0" w:space="0" w:color="auto"/>
              </w:divBdr>
              <w:divsChild>
                <w:div w:id="3504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938890">
      <w:bodyDiv w:val="1"/>
      <w:marLeft w:val="0"/>
      <w:marRight w:val="0"/>
      <w:marTop w:val="0"/>
      <w:marBottom w:val="0"/>
      <w:divBdr>
        <w:top w:val="none" w:sz="0" w:space="0" w:color="auto"/>
        <w:left w:val="none" w:sz="0" w:space="0" w:color="auto"/>
        <w:bottom w:val="none" w:sz="0" w:space="0" w:color="auto"/>
        <w:right w:val="none" w:sz="0" w:space="0" w:color="auto"/>
      </w:divBdr>
      <w:divsChild>
        <w:div w:id="1139491638">
          <w:marLeft w:val="0"/>
          <w:marRight w:val="0"/>
          <w:marTop w:val="0"/>
          <w:marBottom w:val="0"/>
          <w:divBdr>
            <w:top w:val="none" w:sz="0" w:space="0" w:color="auto"/>
            <w:left w:val="none" w:sz="0" w:space="0" w:color="auto"/>
            <w:bottom w:val="none" w:sz="0" w:space="0" w:color="auto"/>
            <w:right w:val="none" w:sz="0" w:space="0" w:color="auto"/>
          </w:divBdr>
          <w:divsChild>
            <w:div w:id="465899406">
              <w:marLeft w:val="0"/>
              <w:marRight w:val="0"/>
              <w:marTop w:val="0"/>
              <w:marBottom w:val="0"/>
              <w:divBdr>
                <w:top w:val="none" w:sz="0" w:space="0" w:color="auto"/>
                <w:left w:val="none" w:sz="0" w:space="0" w:color="auto"/>
                <w:bottom w:val="none" w:sz="0" w:space="0" w:color="auto"/>
                <w:right w:val="none" w:sz="0" w:space="0" w:color="auto"/>
              </w:divBdr>
              <w:divsChild>
                <w:div w:id="1364480093">
                  <w:marLeft w:val="0"/>
                  <w:marRight w:val="0"/>
                  <w:marTop w:val="0"/>
                  <w:marBottom w:val="0"/>
                  <w:divBdr>
                    <w:top w:val="none" w:sz="0" w:space="0" w:color="auto"/>
                    <w:left w:val="none" w:sz="0" w:space="0" w:color="auto"/>
                    <w:bottom w:val="none" w:sz="0" w:space="0" w:color="auto"/>
                    <w:right w:val="none" w:sz="0" w:space="0" w:color="auto"/>
                  </w:divBdr>
                  <w:divsChild>
                    <w:div w:id="4315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805956">
      <w:bodyDiv w:val="1"/>
      <w:marLeft w:val="0"/>
      <w:marRight w:val="0"/>
      <w:marTop w:val="0"/>
      <w:marBottom w:val="0"/>
      <w:divBdr>
        <w:top w:val="none" w:sz="0" w:space="0" w:color="auto"/>
        <w:left w:val="none" w:sz="0" w:space="0" w:color="auto"/>
        <w:bottom w:val="none" w:sz="0" w:space="0" w:color="auto"/>
        <w:right w:val="none" w:sz="0" w:space="0" w:color="auto"/>
      </w:divBdr>
      <w:divsChild>
        <w:div w:id="1083448442">
          <w:marLeft w:val="0"/>
          <w:marRight w:val="0"/>
          <w:marTop w:val="0"/>
          <w:marBottom w:val="0"/>
          <w:divBdr>
            <w:top w:val="none" w:sz="0" w:space="0" w:color="auto"/>
            <w:left w:val="none" w:sz="0" w:space="0" w:color="auto"/>
            <w:bottom w:val="none" w:sz="0" w:space="0" w:color="auto"/>
            <w:right w:val="none" w:sz="0" w:space="0" w:color="auto"/>
          </w:divBdr>
          <w:divsChild>
            <w:div w:id="1159735244">
              <w:marLeft w:val="0"/>
              <w:marRight w:val="0"/>
              <w:marTop w:val="0"/>
              <w:marBottom w:val="0"/>
              <w:divBdr>
                <w:top w:val="none" w:sz="0" w:space="0" w:color="auto"/>
                <w:left w:val="none" w:sz="0" w:space="0" w:color="auto"/>
                <w:bottom w:val="none" w:sz="0" w:space="0" w:color="auto"/>
                <w:right w:val="none" w:sz="0" w:space="0" w:color="auto"/>
              </w:divBdr>
              <w:divsChild>
                <w:div w:id="3124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21836">
      <w:bodyDiv w:val="1"/>
      <w:marLeft w:val="0"/>
      <w:marRight w:val="0"/>
      <w:marTop w:val="0"/>
      <w:marBottom w:val="0"/>
      <w:divBdr>
        <w:top w:val="none" w:sz="0" w:space="0" w:color="auto"/>
        <w:left w:val="none" w:sz="0" w:space="0" w:color="auto"/>
        <w:bottom w:val="none" w:sz="0" w:space="0" w:color="auto"/>
        <w:right w:val="none" w:sz="0" w:space="0" w:color="auto"/>
      </w:divBdr>
      <w:divsChild>
        <w:div w:id="737480148">
          <w:marLeft w:val="0"/>
          <w:marRight w:val="0"/>
          <w:marTop w:val="0"/>
          <w:marBottom w:val="0"/>
          <w:divBdr>
            <w:top w:val="none" w:sz="0" w:space="0" w:color="auto"/>
            <w:left w:val="none" w:sz="0" w:space="0" w:color="auto"/>
            <w:bottom w:val="none" w:sz="0" w:space="0" w:color="auto"/>
            <w:right w:val="none" w:sz="0" w:space="0" w:color="auto"/>
          </w:divBdr>
          <w:divsChild>
            <w:div w:id="1409234235">
              <w:marLeft w:val="0"/>
              <w:marRight w:val="0"/>
              <w:marTop w:val="0"/>
              <w:marBottom w:val="0"/>
              <w:divBdr>
                <w:top w:val="none" w:sz="0" w:space="0" w:color="auto"/>
                <w:left w:val="none" w:sz="0" w:space="0" w:color="auto"/>
                <w:bottom w:val="none" w:sz="0" w:space="0" w:color="auto"/>
                <w:right w:val="none" w:sz="0" w:space="0" w:color="auto"/>
              </w:divBdr>
              <w:divsChild>
                <w:div w:id="264844214">
                  <w:marLeft w:val="0"/>
                  <w:marRight w:val="0"/>
                  <w:marTop w:val="0"/>
                  <w:marBottom w:val="0"/>
                  <w:divBdr>
                    <w:top w:val="none" w:sz="0" w:space="0" w:color="auto"/>
                    <w:left w:val="none" w:sz="0" w:space="0" w:color="auto"/>
                    <w:bottom w:val="none" w:sz="0" w:space="0" w:color="auto"/>
                    <w:right w:val="none" w:sz="0" w:space="0" w:color="auto"/>
                  </w:divBdr>
                  <w:divsChild>
                    <w:div w:id="7538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6285">
      <w:bodyDiv w:val="1"/>
      <w:marLeft w:val="0"/>
      <w:marRight w:val="0"/>
      <w:marTop w:val="0"/>
      <w:marBottom w:val="0"/>
      <w:divBdr>
        <w:top w:val="none" w:sz="0" w:space="0" w:color="auto"/>
        <w:left w:val="none" w:sz="0" w:space="0" w:color="auto"/>
        <w:bottom w:val="none" w:sz="0" w:space="0" w:color="auto"/>
        <w:right w:val="none" w:sz="0" w:space="0" w:color="auto"/>
      </w:divBdr>
      <w:divsChild>
        <w:div w:id="2047022075">
          <w:marLeft w:val="0"/>
          <w:marRight w:val="0"/>
          <w:marTop w:val="0"/>
          <w:marBottom w:val="0"/>
          <w:divBdr>
            <w:top w:val="none" w:sz="0" w:space="0" w:color="auto"/>
            <w:left w:val="none" w:sz="0" w:space="0" w:color="auto"/>
            <w:bottom w:val="none" w:sz="0" w:space="0" w:color="auto"/>
            <w:right w:val="none" w:sz="0" w:space="0" w:color="auto"/>
          </w:divBdr>
          <w:divsChild>
            <w:div w:id="1398748537">
              <w:marLeft w:val="0"/>
              <w:marRight w:val="0"/>
              <w:marTop w:val="0"/>
              <w:marBottom w:val="0"/>
              <w:divBdr>
                <w:top w:val="none" w:sz="0" w:space="0" w:color="auto"/>
                <w:left w:val="none" w:sz="0" w:space="0" w:color="auto"/>
                <w:bottom w:val="none" w:sz="0" w:space="0" w:color="auto"/>
                <w:right w:val="none" w:sz="0" w:space="0" w:color="auto"/>
              </w:divBdr>
              <w:divsChild>
                <w:div w:id="5058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5615">
      <w:bodyDiv w:val="1"/>
      <w:marLeft w:val="0"/>
      <w:marRight w:val="0"/>
      <w:marTop w:val="0"/>
      <w:marBottom w:val="0"/>
      <w:divBdr>
        <w:top w:val="none" w:sz="0" w:space="0" w:color="auto"/>
        <w:left w:val="none" w:sz="0" w:space="0" w:color="auto"/>
        <w:bottom w:val="none" w:sz="0" w:space="0" w:color="auto"/>
        <w:right w:val="none" w:sz="0" w:space="0" w:color="auto"/>
      </w:divBdr>
      <w:divsChild>
        <w:div w:id="1993948242">
          <w:marLeft w:val="0"/>
          <w:marRight w:val="0"/>
          <w:marTop w:val="0"/>
          <w:marBottom w:val="0"/>
          <w:divBdr>
            <w:top w:val="none" w:sz="0" w:space="0" w:color="auto"/>
            <w:left w:val="none" w:sz="0" w:space="0" w:color="auto"/>
            <w:bottom w:val="none" w:sz="0" w:space="0" w:color="auto"/>
            <w:right w:val="none" w:sz="0" w:space="0" w:color="auto"/>
          </w:divBdr>
          <w:divsChild>
            <w:div w:id="614097523">
              <w:marLeft w:val="0"/>
              <w:marRight w:val="0"/>
              <w:marTop w:val="0"/>
              <w:marBottom w:val="0"/>
              <w:divBdr>
                <w:top w:val="none" w:sz="0" w:space="0" w:color="auto"/>
                <w:left w:val="none" w:sz="0" w:space="0" w:color="auto"/>
                <w:bottom w:val="none" w:sz="0" w:space="0" w:color="auto"/>
                <w:right w:val="none" w:sz="0" w:space="0" w:color="auto"/>
              </w:divBdr>
              <w:divsChild>
                <w:div w:id="10925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27516">
      <w:bodyDiv w:val="1"/>
      <w:marLeft w:val="0"/>
      <w:marRight w:val="0"/>
      <w:marTop w:val="0"/>
      <w:marBottom w:val="0"/>
      <w:divBdr>
        <w:top w:val="none" w:sz="0" w:space="0" w:color="auto"/>
        <w:left w:val="none" w:sz="0" w:space="0" w:color="auto"/>
        <w:bottom w:val="none" w:sz="0" w:space="0" w:color="auto"/>
        <w:right w:val="none" w:sz="0" w:space="0" w:color="auto"/>
      </w:divBdr>
      <w:divsChild>
        <w:div w:id="1977224487">
          <w:marLeft w:val="0"/>
          <w:marRight w:val="0"/>
          <w:marTop w:val="0"/>
          <w:marBottom w:val="0"/>
          <w:divBdr>
            <w:top w:val="none" w:sz="0" w:space="0" w:color="auto"/>
            <w:left w:val="none" w:sz="0" w:space="0" w:color="auto"/>
            <w:bottom w:val="none" w:sz="0" w:space="0" w:color="auto"/>
            <w:right w:val="none" w:sz="0" w:space="0" w:color="auto"/>
          </w:divBdr>
          <w:divsChild>
            <w:div w:id="1365405463">
              <w:marLeft w:val="0"/>
              <w:marRight w:val="0"/>
              <w:marTop w:val="0"/>
              <w:marBottom w:val="0"/>
              <w:divBdr>
                <w:top w:val="none" w:sz="0" w:space="0" w:color="auto"/>
                <w:left w:val="none" w:sz="0" w:space="0" w:color="auto"/>
                <w:bottom w:val="none" w:sz="0" w:space="0" w:color="auto"/>
                <w:right w:val="none" w:sz="0" w:space="0" w:color="auto"/>
              </w:divBdr>
              <w:divsChild>
                <w:div w:id="13574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78217">
      <w:bodyDiv w:val="1"/>
      <w:marLeft w:val="0"/>
      <w:marRight w:val="0"/>
      <w:marTop w:val="0"/>
      <w:marBottom w:val="0"/>
      <w:divBdr>
        <w:top w:val="none" w:sz="0" w:space="0" w:color="auto"/>
        <w:left w:val="none" w:sz="0" w:space="0" w:color="auto"/>
        <w:bottom w:val="none" w:sz="0" w:space="0" w:color="auto"/>
        <w:right w:val="none" w:sz="0" w:space="0" w:color="auto"/>
      </w:divBdr>
    </w:div>
    <w:div w:id="723675905">
      <w:bodyDiv w:val="1"/>
      <w:marLeft w:val="0"/>
      <w:marRight w:val="0"/>
      <w:marTop w:val="0"/>
      <w:marBottom w:val="0"/>
      <w:divBdr>
        <w:top w:val="none" w:sz="0" w:space="0" w:color="auto"/>
        <w:left w:val="none" w:sz="0" w:space="0" w:color="auto"/>
        <w:bottom w:val="none" w:sz="0" w:space="0" w:color="auto"/>
        <w:right w:val="none" w:sz="0" w:space="0" w:color="auto"/>
      </w:divBdr>
    </w:div>
    <w:div w:id="769348580">
      <w:bodyDiv w:val="1"/>
      <w:marLeft w:val="0"/>
      <w:marRight w:val="0"/>
      <w:marTop w:val="0"/>
      <w:marBottom w:val="0"/>
      <w:divBdr>
        <w:top w:val="none" w:sz="0" w:space="0" w:color="auto"/>
        <w:left w:val="none" w:sz="0" w:space="0" w:color="auto"/>
        <w:bottom w:val="none" w:sz="0" w:space="0" w:color="auto"/>
        <w:right w:val="none" w:sz="0" w:space="0" w:color="auto"/>
      </w:divBdr>
      <w:divsChild>
        <w:div w:id="893462992">
          <w:marLeft w:val="0"/>
          <w:marRight w:val="0"/>
          <w:marTop w:val="0"/>
          <w:marBottom w:val="0"/>
          <w:divBdr>
            <w:top w:val="none" w:sz="0" w:space="0" w:color="auto"/>
            <w:left w:val="none" w:sz="0" w:space="0" w:color="auto"/>
            <w:bottom w:val="none" w:sz="0" w:space="0" w:color="auto"/>
            <w:right w:val="none" w:sz="0" w:space="0" w:color="auto"/>
          </w:divBdr>
          <w:divsChild>
            <w:div w:id="340813983">
              <w:marLeft w:val="0"/>
              <w:marRight w:val="0"/>
              <w:marTop w:val="0"/>
              <w:marBottom w:val="0"/>
              <w:divBdr>
                <w:top w:val="none" w:sz="0" w:space="0" w:color="auto"/>
                <w:left w:val="none" w:sz="0" w:space="0" w:color="auto"/>
                <w:bottom w:val="none" w:sz="0" w:space="0" w:color="auto"/>
                <w:right w:val="none" w:sz="0" w:space="0" w:color="auto"/>
              </w:divBdr>
              <w:divsChild>
                <w:div w:id="1824350215">
                  <w:marLeft w:val="0"/>
                  <w:marRight w:val="0"/>
                  <w:marTop w:val="0"/>
                  <w:marBottom w:val="0"/>
                  <w:divBdr>
                    <w:top w:val="none" w:sz="0" w:space="0" w:color="auto"/>
                    <w:left w:val="none" w:sz="0" w:space="0" w:color="auto"/>
                    <w:bottom w:val="none" w:sz="0" w:space="0" w:color="auto"/>
                    <w:right w:val="none" w:sz="0" w:space="0" w:color="auto"/>
                  </w:divBdr>
                  <w:divsChild>
                    <w:div w:id="826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60636">
      <w:bodyDiv w:val="1"/>
      <w:marLeft w:val="0"/>
      <w:marRight w:val="0"/>
      <w:marTop w:val="0"/>
      <w:marBottom w:val="0"/>
      <w:divBdr>
        <w:top w:val="none" w:sz="0" w:space="0" w:color="auto"/>
        <w:left w:val="none" w:sz="0" w:space="0" w:color="auto"/>
        <w:bottom w:val="none" w:sz="0" w:space="0" w:color="auto"/>
        <w:right w:val="none" w:sz="0" w:space="0" w:color="auto"/>
      </w:divBdr>
      <w:divsChild>
        <w:div w:id="706560603">
          <w:marLeft w:val="0"/>
          <w:marRight w:val="0"/>
          <w:marTop w:val="0"/>
          <w:marBottom w:val="0"/>
          <w:divBdr>
            <w:top w:val="none" w:sz="0" w:space="0" w:color="auto"/>
            <w:left w:val="none" w:sz="0" w:space="0" w:color="auto"/>
            <w:bottom w:val="none" w:sz="0" w:space="0" w:color="auto"/>
            <w:right w:val="none" w:sz="0" w:space="0" w:color="auto"/>
          </w:divBdr>
          <w:divsChild>
            <w:div w:id="180584344">
              <w:marLeft w:val="0"/>
              <w:marRight w:val="0"/>
              <w:marTop w:val="0"/>
              <w:marBottom w:val="0"/>
              <w:divBdr>
                <w:top w:val="none" w:sz="0" w:space="0" w:color="auto"/>
                <w:left w:val="none" w:sz="0" w:space="0" w:color="auto"/>
                <w:bottom w:val="none" w:sz="0" w:space="0" w:color="auto"/>
                <w:right w:val="none" w:sz="0" w:space="0" w:color="auto"/>
              </w:divBdr>
              <w:divsChild>
                <w:div w:id="267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48932">
      <w:bodyDiv w:val="1"/>
      <w:marLeft w:val="0"/>
      <w:marRight w:val="0"/>
      <w:marTop w:val="0"/>
      <w:marBottom w:val="0"/>
      <w:divBdr>
        <w:top w:val="none" w:sz="0" w:space="0" w:color="auto"/>
        <w:left w:val="none" w:sz="0" w:space="0" w:color="auto"/>
        <w:bottom w:val="none" w:sz="0" w:space="0" w:color="auto"/>
        <w:right w:val="none" w:sz="0" w:space="0" w:color="auto"/>
      </w:divBdr>
      <w:divsChild>
        <w:div w:id="8147055">
          <w:marLeft w:val="0"/>
          <w:marRight w:val="0"/>
          <w:marTop w:val="0"/>
          <w:marBottom w:val="0"/>
          <w:divBdr>
            <w:top w:val="none" w:sz="0" w:space="0" w:color="auto"/>
            <w:left w:val="none" w:sz="0" w:space="0" w:color="auto"/>
            <w:bottom w:val="none" w:sz="0" w:space="0" w:color="auto"/>
            <w:right w:val="none" w:sz="0" w:space="0" w:color="auto"/>
          </w:divBdr>
        </w:div>
        <w:div w:id="240070629">
          <w:marLeft w:val="0"/>
          <w:marRight w:val="0"/>
          <w:marTop w:val="0"/>
          <w:marBottom w:val="0"/>
          <w:divBdr>
            <w:top w:val="none" w:sz="0" w:space="0" w:color="auto"/>
            <w:left w:val="none" w:sz="0" w:space="0" w:color="auto"/>
            <w:bottom w:val="none" w:sz="0" w:space="0" w:color="auto"/>
            <w:right w:val="none" w:sz="0" w:space="0" w:color="auto"/>
          </w:divBdr>
        </w:div>
      </w:divsChild>
    </w:div>
    <w:div w:id="960501843">
      <w:bodyDiv w:val="1"/>
      <w:marLeft w:val="0"/>
      <w:marRight w:val="0"/>
      <w:marTop w:val="0"/>
      <w:marBottom w:val="0"/>
      <w:divBdr>
        <w:top w:val="none" w:sz="0" w:space="0" w:color="auto"/>
        <w:left w:val="none" w:sz="0" w:space="0" w:color="auto"/>
        <w:bottom w:val="none" w:sz="0" w:space="0" w:color="auto"/>
        <w:right w:val="none" w:sz="0" w:space="0" w:color="auto"/>
      </w:divBdr>
      <w:divsChild>
        <w:div w:id="824122685">
          <w:marLeft w:val="0"/>
          <w:marRight w:val="0"/>
          <w:marTop w:val="0"/>
          <w:marBottom w:val="0"/>
          <w:divBdr>
            <w:top w:val="none" w:sz="0" w:space="0" w:color="auto"/>
            <w:left w:val="none" w:sz="0" w:space="0" w:color="auto"/>
            <w:bottom w:val="none" w:sz="0" w:space="0" w:color="auto"/>
            <w:right w:val="none" w:sz="0" w:space="0" w:color="auto"/>
          </w:divBdr>
          <w:divsChild>
            <w:div w:id="1829051225">
              <w:marLeft w:val="0"/>
              <w:marRight w:val="0"/>
              <w:marTop w:val="0"/>
              <w:marBottom w:val="0"/>
              <w:divBdr>
                <w:top w:val="none" w:sz="0" w:space="0" w:color="auto"/>
                <w:left w:val="none" w:sz="0" w:space="0" w:color="auto"/>
                <w:bottom w:val="none" w:sz="0" w:space="0" w:color="auto"/>
                <w:right w:val="none" w:sz="0" w:space="0" w:color="auto"/>
              </w:divBdr>
              <w:divsChild>
                <w:div w:id="15794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03542">
      <w:bodyDiv w:val="1"/>
      <w:marLeft w:val="0"/>
      <w:marRight w:val="0"/>
      <w:marTop w:val="0"/>
      <w:marBottom w:val="0"/>
      <w:divBdr>
        <w:top w:val="none" w:sz="0" w:space="0" w:color="auto"/>
        <w:left w:val="none" w:sz="0" w:space="0" w:color="auto"/>
        <w:bottom w:val="none" w:sz="0" w:space="0" w:color="auto"/>
        <w:right w:val="none" w:sz="0" w:space="0" w:color="auto"/>
      </w:divBdr>
      <w:divsChild>
        <w:div w:id="1408191775">
          <w:marLeft w:val="0"/>
          <w:marRight w:val="0"/>
          <w:marTop w:val="0"/>
          <w:marBottom w:val="0"/>
          <w:divBdr>
            <w:top w:val="none" w:sz="0" w:space="0" w:color="auto"/>
            <w:left w:val="none" w:sz="0" w:space="0" w:color="auto"/>
            <w:bottom w:val="none" w:sz="0" w:space="0" w:color="auto"/>
            <w:right w:val="none" w:sz="0" w:space="0" w:color="auto"/>
          </w:divBdr>
          <w:divsChild>
            <w:div w:id="1739549148">
              <w:marLeft w:val="0"/>
              <w:marRight w:val="0"/>
              <w:marTop w:val="0"/>
              <w:marBottom w:val="0"/>
              <w:divBdr>
                <w:top w:val="none" w:sz="0" w:space="0" w:color="auto"/>
                <w:left w:val="none" w:sz="0" w:space="0" w:color="auto"/>
                <w:bottom w:val="none" w:sz="0" w:space="0" w:color="auto"/>
                <w:right w:val="none" w:sz="0" w:space="0" w:color="auto"/>
              </w:divBdr>
              <w:divsChild>
                <w:div w:id="865024834">
                  <w:marLeft w:val="0"/>
                  <w:marRight w:val="0"/>
                  <w:marTop w:val="0"/>
                  <w:marBottom w:val="0"/>
                  <w:divBdr>
                    <w:top w:val="none" w:sz="0" w:space="0" w:color="auto"/>
                    <w:left w:val="none" w:sz="0" w:space="0" w:color="auto"/>
                    <w:bottom w:val="none" w:sz="0" w:space="0" w:color="auto"/>
                    <w:right w:val="none" w:sz="0" w:space="0" w:color="auto"/>
                  </w:divBdr>
                  <w:divsChild>
                    <w:div w:id="592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24545">
      <w:bodyDiv w:val="1"/>
      <w:marLeft w:val="0"/>
      <w:marRight w:val="0"/>
      <w:marTop w:val="0"/>
      <w:marBottom w:val="0"/>
      <w:divBdr>
        <w:top w:val="none" w:sz="0" w:space="0" w:color="auto"/>
        <w:left w:val="none" w:sz="0" w:space="0" w:color="auto"/>
        <w:bottom w:val="none" w:sz="0" w:space="0" w:color="auto"/>
        <w:right w:val="none" w:sz="0" w:space="0" w:color="auto"/>
      </w:divBdr>
    </w:div>
    <w:div w:id="1187250738">
      <w:bodyDiv w:val="1"/>
      <w:marLeft w:val="0"/>
      <w:marRight w:val="0"/>
      <w:marTop w:val="0"/>
      <w:marBottom w:val="0"/>
      <w:divBdr>
        <w:top w:val="none" w:sz="0" w:space="0" w:color="auto"/>
        <w:left w:val="none" w:sz="0" w:space="0" w:color="auto"/>
        <w:bottom w:val="none" w:sz="0" w:space="0" w:color="auto"/>
        <w:right w:val="none" w:sz="0" w:space="0" w:color="auto"/>
      </w:divBdr>
      <w:divsChild>
        <w:div w:id="1201429722">
          <w:marLeft w:val="0"/>
          <w:marRight w:val="0"/>
          <w:marTop w:val="0"/>
          <w:marBottom w:val="0"/>
          <w:divBdr>
            <w:top w:val="none" w:sz="0" w:space="0" w:color="auto"/>
            <w:left w:val="none" w:sz="0" w:space="0" w:color="auto"/>
            <w:bottom w:val="none" w:sz="0" w:space="0" w:color="auto"/>
            <w:right w:val="none" w:sz="0" w:space="0" w:color="auto"/>
          </w:divBdr>
          <w:divsChild>
            <w:div w:id="159827">
              <w:marLeft w:val="0"/>
              <w:marRight w:val="0"/>
              <w:marTop w:val="0"/>
              <w:marBottom w:val="0"/>
              <w:divBdr>
                <w:top w:val="none" w:sz="0" w:space="0" w:color="auto"/>
                <w:left w:val="none" w:sz="0" w:space="0" w:color="auto"/>
                <w:bottom w:val="none" w:sz="0" w:space="0" w:color="auto"/>
                <w:right w:val="none" w:sz="0" w:space="0" w:color="auto"/>
              </w:divBdr>
              <w:divsChild>
                <w:div w:id="14008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46037">
      <w:bodyDiv w:val="1"/>
      <w:marLeft w:val="0"/>
      <w:marRight w:val="0"/>
      <w:marTop w:val="0"/>
      <w:marBottom w:val="0"/>
      <w:divBdr>
        <w:top w:val="none" w:sz="0" w:space="0" w:color="auto"/>
        <w:left w:val="none" w:sz="0" w:space="0" w:color="auto"/>
        <w:bottom w:val="none" w:sz="0" w:space="0" w:color="auto"/>
        <w:right w:val="none" w:sz="0" w:space="0" w:color="auto"/>
      </w:divBdr>
      <w:divsChild>
        <w:div w:id="2141653315">
          <w:marLeft w:val="0"/>
          <w:marRight w:val="0"/>
          <w:marTop w:val="0"/>
          <w:marBottom w:val="0"/>
          <w:divBdr>
            <w:top w:val="none" w:sz="0" w:space="0" w:color="auto"/>
            <w:left w:val="none" w:sz="0" w:space="0" w:color="auto"/>
            <w:bottom w:val="none" w:sz="0" w:space="0" w:color="auto"/>
            <w:right w:val="none" w:sz="0" w:space="0" w:color="auto"/>
          </w:divBdr>
          <w:divsChild>
            <w:div w:id="1678270704">
              <w:marLeft w:val="0"/>
              <w:marRight w:val="0"/>
              <w:marTop w:val="0"/>
              <w:marBottom w:val="0"/>
              <w:divBdr>
                <w:top w:val="none" w:sz="0" w:space="0" w:color="auto"/>
                <w:left w:val="none" w:sz="0" w:space="0" w:color="auto"/>
                <w:bottom w:val="none" w:sz="0" w:space="0" w:color="auto"/>
                <w:right w:val="none" w:sz="0" w:space="0" w:color="auto"/>
              </w:divBdr>
              <w:divsChild>
                <w:div w:id="140464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23048">
      <w:bodyDiv w:val="1"/>
      <w:marLeft w:val="0"/>
      <w:marRight w:val="0"/>
      <w:marTop w:val="0"/>
      <w:marBottom w:val="0"/>
      <w:divBdr>
        <w:top w:val="none" w:sz="0" w:space="0" w:color="auto"/>
        <w:left w:val="none" w:sz="0" w:space="0" w:color="auto"/>
        <w:bottom w:val="none" w:sz="0" w:space="0" w:color="auto"/>
        <w:right w:val="none" w:sz="0" w:space="0" w:color="auto"/>
      </w:divBdr>
      <w:divsChild>
        <w:div w:id="943004519">
          <w:marLeft w:val="0"/>
          <w:marRight w:val="0"/>
          <w:marTop w:val="0"/>
          <w:marBottom w:val="0"/>
          <w:divBdr>
            <w:top w:val="none" w:sz="0" w:space="0" w:color="auto"/>
            <w:left w:val="none" w:sz="0" w:space="0" w:color="auto"/>
            <w:bottom w:val="none" w:sz="0" w:space="0" w:color="auto"/>
            <w:right w:val="none" w:sz="0" w:space="0" w:color="auto"/>
          </w:divBdr>
          <w:divsChild>
            <w:div w:id="1865361279">
              <w:marLeft w:val="0"/>
              <w:marRight w:val="0"/>
              <w:marTop w:val="0"/>
              <w:marBottom w:val="0"/>
              <w:divBdr>
                <w:top w:val="none" w:sz="0" w:space="0" w:color="auto"/>
                <w:left w:val="none" w:sz="0" w:space="0" w:color="auto"/>
                <w:bottom w:val="none" w:sz="0" w:space="0" w:color="auto"/>
                <w:right w:val="none" w:sz="0" w:space="0" w:color="auto"/>
              </w:divBdr>
              <w:divsChild>
                <w:div w:id="2911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42763">
      <w:bodyDiv w:val="1"/>
      <w:marLeft w:val="0"/>
      <w:marRight w:val="0"/>
      <w:marTop w:val="0"/>
      <w:marBottom w:val="0"/>
      <w:divBdr>
        <w:top w:val="none" w:sz="0" w:space="0" w:color="auto"/>
        <w:left w:val="none" w:sz="0" w:space="0" w:color="auto"/>
        <w:bottom w:val="none" w:sz="0" w:space="0" w:color="auto"/>
        <w:right w:val="none" w:sz="0" w:space="0" w:color="auto"/>
      </w:divBdr>
      <w:divsChild>
        <w:div w:id="1445885639">
          <w:marLeft w:val="0"/>
          <w:marRight w:val="0"/>
          <w:marTop w:val="0"/>
          <w:marBottom w:val="0"/>
          <w:divBdr>
            <w:top w:val="none" w:sz="0" w:space="0" w:color="auto"/>
            <w:left w:val="none" w:sz="0" w:space="0" w:color="auto"/>
            <w:bottom w:val="none" w:sz="0" w:space="0" w:color="auto"/>
            <w:right w:val="none" w:sz="0" w:space="0" w:color="auto"/>
          </w:divBdr>
          <w:divsChild>
            <w:div w:id="2047871185">
              <w:marLeft w:val="0"/>
              <w:marRight w:val="0"/>
              <w:marTop w:val="0"/>
              <w:marBottom w:val="0"/>
              <w:divBdr>
                <w:top w:val="none" w:sz="0" w:space="0" w:color="auto"/>
                <w:left w:val="none" w:sz="0" w:space="0" w:color="auto"/>
                <w:bottom w:val="none" w:sz="0" w:space="0" w:color="auto"/>
                <w:right w:val="none" w:sz="0" w:space="0" w:color="auto"/>
              </w:divBdr>
              <w:divsChild>
                <w:div w:id="20191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0228">
      <w:bodyDiv w:val="1"/>
      <w:marLeft w:val="0"/>
      <w:marRight w:val="0"/>
      <w:marTop w:val="0"/>
      <w:marBottom w:val="0"/>
      <w:divBdr>
        <w:top w:val="none" w:sz="0" w:space="0" w:color="auto"/>
        <w:left w:val="none" w:sz="0" w:space="0" w:color="auto"/>
        <w:bottom w:val="none" w:sz="0" w:space="0" w:color="auto"/>
        <w:right w:val="none" w:sz="0" w:space="0" w:color="auto"/>
      </w:divBdr>
      <w:divsChild>
        <w:div w:id="1869679038">
          <w:marLeft w:val="0"/>
          <w:marRight w:val="0"/>
          <w:marTop w:val="0"/>
          <w:marBottom w:val="0"/>
          <w:divBdr>
            <w:top w:val="none" w:sz="0" w:space="0" w:color="auto"/>
            <w:left w:val="none" w:sz="0" w:space="0" w:color="auto"/>
            <w:bottom w:val="none" w:sz="0" w:space="0" w:color="auto"/>
            <w:right w:val="none" w:sz="0" w:space="0" w:color="auto"/>
          </w:divBdr>
          <w:divsChild>
            <w:div w:id="2132354721">
              <w:marLeft w:val="0"/>
              <w:marRight w:val="0"/>
              <w:marTop w:val="0"/>
              <w:marBottom w:val="0"/>
              <w:divBdr>
                <w:top w:val="none" w:sz="0" w:space="0" w:color="auto"/>
                <w:left w:val="none" w:sz="0" w:space="0" w:color="auto"/>
                <w:bottom w:val="none" w:sz="0" w:space="0" w:color="auto"/>
                <w:right w:val="none" w:sz="0" w:space="0" w:color="auto"/>
              </w:divBdr>
              <w:divsChild>
                <w:div w:id="631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43975">
      <w:bodyDiv w:val="1"/>
      <w:marLeft w:val="0"/>
      <w:marRight w:val="0"/>
      <w:marTop w:val="0"/>
      <w:marBottom w:val="0"/>
      <w:divBdr>
        <w:top w:val="none" w:sz="0" w:space="0" w:color="auto"/>
        <w:left w:val="none" w:sz="0" w:space="0" w:color="auto"/>
        <w:bottom w:val="none" w:sz="0" w:space="0" w:color="auto"/>
        <w:right w:val="none" w:sz="0" w:space="0" w:color="auto"/>
      </w:divBdr>
    </w:div>
    <w:div w:id="1756826803">
      <w:bodyDiv w:val="1"/>
      <w:marLeft w:val="0"/>
      <w:marRight w:val="0"/>
      <w:marTop w:val="0"/>
      <w:marBottom w:val="0"/>
      <w:divBdr>
        <w:top w:val="none" w:sz="0" w:space="0" w:color="auto"/>
        <w:left w:val="none" w:sz="0" w:space="0" w:color="auto"/>
        <w:bottom w:val="none" w:sz="0" w:space="0" w:color="auto"/>
        <w:right w:val="none" w:sz="0" w:space="0" w:color="auto"/>
      </w:divBdr>
      <w:divsChild>
        <w:div w:id="1963682876">
          <w:marLeft w:val="0"/>
          <w:marRight w:val="0"/>
          <w:marTop w:val="0"/>
          <w:marBottom w:val="0"/>
          <w:divBdr>
            <w:top w:val="none" w:sz="0" w:space="0" w:color="auto"/>
            <w:left w:val="none" w:sz="0" w:space="0" w:color="auto"/>
            <w:bottom w:val="none" w:sz="0" w:space="0" w:color="auto"/>
            <w:right w:val="none" w:sz="0" w:space="0" w:color="auto"/>
          </w:divBdr>
          <w:divsChild>
            <w:div w:id="873813301">
              <w:marLeft w:val="0"/>
              <w:marRight w:val="0"/>
              <w:marTop w:val="0"/>
              <w:marBottom w:val="0"/>
              <w:divBdr>
                <w:top w:val="none" w:sz="0" w:space="0" w:color="auto"/>
                <w:left w:val="none" w:sz="0" w:space="0" w:color="auto"/>
                <w:bottom w:val="none" w:sz="0" w:space="0" w:color="auto"/>
                <w:right w:val="none" w:sz="0" w:space="0" w:color="auto"/>
              </w:divBdr>
              <w:divsChild>
                <w:div w:id="10669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38362">
      <w:bodyDiv w:val="1"/>
      <w:marLeft w:val="0"/>
      <w:marRight w:val="0"/>
      <w:marTop w:val="0"/>
      <w:marBottom w:val="0"/>
      <w:divBdr>
        <w:top w:val="none" w:sz="0" w:space="0" w:color="auto"/>
        <w:left w:val="none" w:sz="0" w:space="0" w:color="auto"/>
        <w:bottom w:val="none" w:sz="0" w:space="0" w:color="auto"/>
        <w:right w:val="none" w:sz="0" w:space="0" w:color="auto"/>
      </w:divBdr>
    </w:div>
    <w:div w:id="1861701345">
      <w:bodyDiv w:val="1"/>
      <w:marLeft w:val="0"/>
      <w:marRight w:val="0"/>
      <w:marTop w:val="0"/>
      <w:marBottom w:val="0"/>
      <w:divBdr>
        <w:top w:val="none" w:sz="0" w:space="0" w:color="auto"/>
        <w:left w:val="none" w:sz="0" w:space="0" w:color="auto"/>
        <w:bottom w:val="none" w:sz="0" w:space="0" w:color="auto"/>
        <w:right w:val="none" w:sz="0" w:space="0" w:color="auto"/>
      </w:divBdr>
    </w:div>
    <w:div w:id="1887444859">
      <w:bodyDiv w:val="1"/>
      <w:marLeft w:val="0"/>
      <w:marRight w:val="0"/>
      <w:marTop w:val="0"/>
      <w:marBottom w:val="0"/>
      <w:divBdr>
        <w:top w:val="none" w:sz="0" w:space="0" w:color="auto"/>
        <w:left w:val="none" w:sz="0" w:space="0" w:color="auto"/>
        <w:bottom w:val="none" w:sz="0" w:space="0" w:color="auto"/>
        <w:right w:val="none" w:sz="0" w:space="0" w:color="auto"/>
      </w:divBdr>
      <w:divsChild>
        <w:div w:id="1774783685">
          <w:marLeft w:val="0"/>
          <w:marRight w:val="0"/>
          <w:marTop w:val="0"/>
          <w:marBottom w:val="0"/>
          <w:divBdr>
            <w:top w:val="none" w:sz="0" w:space="0" w:color="auto"/>
            <w:left w:val="none" w:sz="0" w:space="0" w:color="auto"/>
            <w:bottom w:val="none" w:sz="0" w:space="0" w:color="auto"/>
            <w:right w:val="none" w:sz="0" w:space="0" w:color="auto"/>
          </w:divBdr>
          <w:divsChild>
            <w:div w:id="1273322255">
              <w:marLeft w:val="0"/>
              <w:marRight w:val="0"/>
              <w:marTop w:val="0"/>
              <w:marBottom w:val="0"/>
              <w:divBdr>
                <w:top w:val="none" w:sz="0" w:space="0" w:color="auto"/>
                <w:left w:val="none" w:sz="0" w:space="0" w:color="auto"/>
                <w:bottom w:val="none" w:sz="0" w:space="0" w:color="auto"/>
                <w:right w:val="none" w:sz="0" w:space="0" w:color="auto"/>
              </w:divBdr>
              <w:divsChild>
                <w:div w:id="8494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5070">
      <w:bodyDiv w:val="1"/>
      <w:marLeft w:val="0"/>
      <w:marRight w:val="0"/>
      <w:marTop w:val="0"/>
      <w:marBottom w:val="0"/>
      <w:divBdr>
        <w:top w:val="none" w:sz="0" w:space="0" w:color="auto"/>
        <w:left w:val="none" w:sz="0" w:space="0" w:color="auto"/>
        <w:bottom w:val="none" w:sz="0" w:space="0" w:color="auto"/>
        <w:right w:val="none" w:sz="0" w:space="0" w:color="auto"/>
      </w:divBdr>
      <w:divsChild>
        <w:div w:id="279535829">
          <w:marLeft w:val="0"/>
          <w:marRight w:val="0"/>
          <w:marTop w:val="0"/>
          <w:marBottom w:val="0"/>
          <w:divBdr>
            <w:top w:val="none" w:sz="0" w:space="0" w:color="auto"/>
            <w:left w:val="none" w:sz="0" w:space="0" w:color="auto"/>
            <w:bottom w:val="none" w:sz="0" w:space="0" w:color="auto"/>
            <w:right w:val="none" w:sz="0" w:space="0" w:color="auto"/>
          </w:divBdr>
          <w:divsChild>
            <w:div w:id="1058631842">
              <w:marLeft w:val="0"/>
              <w:marRight w:val="0"/>
              <w:marTop w:val="0"/>
              <w:marBottom w:val="0"/>
              <w:divBdr>
                <w:top w:val="none" w:sz="0" w:space="0" w:color="auto"/>
                <w:left w:val="none" w:sz="0" w:space="0" w:color="auto"/>
                <w:bottom w:val="none" w:sz="0" w:space="0" w:color="auto"/>
                <w:right w:val="none" w:sz="0" w:space="0" w:color="auto"/>
              </w:divBdr>
              <w:divsChild>
                <w:div w:id="4557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97481">
      <w:bodyDiv w:val="1"/>
      <w:marLeft w:val="0"/>
      <w:marRight w:val="0"/>
      <w:marTop w:val="0"/>
      <w:marBottom w:val="0"/>
      <w:divBdr>
        <w:top w:val="none" w:sz="0" w:space="0" w:color="auto"/>
        <w:left w:val="none" w:sz="0" w:space="0" w:color="auto"/>
        <w:bottom w:val="none" w:sz="0" w:space="0" w:color="auto"/>
        <w:right w:val="none" w:sz="0" w:space="0" w:color="auto"/>
      </w:divBdr>
      <w:divsChild>
        <w:div w:id="1977031451">
          <w:marLeft w:val="0"/>
          <w:marRight w:val="0"/>
          <w:marTop w:val="0"/>
          <w:marBottom w:val="0"/>
          <w:divBdr>
            <w:top w:val="none" w:sz="0" w:space="0" w:color="auto"/>
            <w:left w:val="none" w:sz="0" w:space="0" w:color="auto"/>
            <w:bottom w:val="none" w:sz="0" w:space="0" w:color="auto"/>
            <w:right w:val="none" w:sz="0" w:space="0" w:color="auto"/>
          </w:divBdr>
          <w:divsChild>
            <w:div w:id="1349522099">
              <w:marLeft w:val="0"/>
              <w:marRight w:val="0"/>
              <w:marTop w:val="0"/>
              <w:marBottom w:val="0"/>
              <w:divBdr>
                <w:top w:val="none" w:sz="0" w:space="0" w:color="auto"/>
                <w:left w:val="none" w:sz="0" w:space="0" w:color="auto"/>
                <w:bottom w:val="none" w:sz="0" w:space="0" w:color="auto"/>
                <w:right w:val="none" w:sz="0" w:space="0" w:color="auto"/>
              </w:divBdr>
              <w:divsChild>
                <w:div w:id="71947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55639">
      <w:bodyDiv w:val="1"/>
      <w:marLeft w:val="0"/>
      <w:marRight w:val="0"/>
      <w:marTop w:val="0"/>
      <w:marBottom w:val="0"/>
      <w:divBdr>
        <w:top w:val="none" w:sz="0" w:space="0" w:color="auto"/>
        <w:left w:val="none" w:sz="0" w:space="0" w:color="auto"/>
        <w:bottom w:val="none" w:sz="0" w:space="0" w:color="auto"/>
        <w:right w:val="none" w:sz="0" w:space="0" w:color="auto"/>
      </w:divBdr>
      <w:divsChild>
        <w:div w:id="76099290">
          <w:marLeft w:val="0"/>
          <w:marRight w:val="0"/>
          <w:marTop w:val="0"/>
          <w:marBottom w:val="0"/>
          <w:divBdr>
            <w:top w:val="none" w:sz="0" w:space="0" w:color="auto"/>
            <w:left w:val="none" w:sz="0" w:space="0" w:color="auto"/>
            <w:bottom w:val="none" w:sz="0" w:space="0" w:color="auto"/>
            <w:right w:val="none" w:sz="0" w:space="0" w:color="auto"/>
          </w:divBdr>
          <w:divsChild>
            <w:div w:id="1350060087">
              <w:marLeft w:val="0"/>
              <w:marRight w:val="0"/>
              <w:marTop w:val="0"/>
              <w:marBottom w:val="0"/>
              <w:divBdr>
                <w:top w:val="none" w:sz="0" w:space="0" w:color="auto"/>
                <w:left w:val="none" w:sz="0" w:space="0" w:color="auto"/>
                <w:bottom w:val="none" w:sz="0" w:space="0" w:color="auto"/>
                <w:right w:val="none" w:sz="0" w:space="0" w:color="auto"/>
              </w:divBdr>
              <w:divsChild>
                <w:div w:id="106923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74626">
      <w:bodyDiv w:val="1"/>
      <w:marLeft w:val="0"/>
      <w:marRight w:val="0"/>
      <w:marTop w:val="0"/>
      <w:marBottom w:val="0"/>
      <w:divBdr>
        <w:top w:val="none" w:sz="0" w:space="0" w:color="auto"/>
        <w:left w:val="none" w:sz="0" w:space="0" w:color="auto"/>
        <w:bottom w:val="none" w:sz="0" w:space="0" w:color="auto"/>
        <w:right w:val="none" w:sz="0" w:space="0" w:color="auto"/>
      </w:divBdr>
      <w:divsChild>
        <w:div w:id="1902521467">
          <w:marLeft w:val="0"/>
          <w:marRight w:val="0"/>
          <w:marTop w:val="0"/>
          <w:marBottom w:val="0"/>
          <w:divBdr>
            <w:top w:val="none" w:sz="0" w:space="0" w:color="auto"/>
            <w:left w:val="none" w:sz="0" w:space="0" w:color="auto"/>
            <w:bottom w:val="none" w:sz="0" w:space="0" w:color="auto"/>
            <w:right w:val="none" w:sz="0" w:space="0" w:color="auto"/>
          </w:divBdr>
          <w:divsChild>
            <w:div w:id="2074698291">
              <w:marLeft w:val="0"/>
              <w:marRight w:val="0"/>
              <w:marTop w:val="0"/>
              <w:marBottom w:val="0"/>
              <w:divBdr>
                <w:top w:val="none" w:sz="0" w:space="0" w:color="auto"/>
                <w:left w:val="none" w:sz="0" w:space="0" w:color="auto"/>
                <w:bottom w:val="none" w:sz="0" w:space="0" w:color="auto"/>
                <w:right w:val="none" w:sz="0" w:space="0" w:color="auto"/>
              </w:divBdr>
              <w:divsChild>
                <w:div w:id="848181876">
                  <w:marLeft w:val="0"/>
                  <w:marRight w:val="0"/>
                  <w:marTop w:val="0"/>
                  <w:marBottom w:val="0"/>
                  <w:divBdr>
                    <w:top w:val="none" w:sz="0" w:space="0" w:color="auto"/>
                    <w:left w:val="none" w:sz="0" w:space="0" w:color="auto"/>
                    <w:bottom w:val="none" w:sz="0" w:space="0" w:color="auto"/>
                    <w:right w:val="none" w:sz="0" w:space="0" w:color="auto"/>
                  </w:divBdr>
                  <w:divsChild>
                    <w:div w:id="13336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52205">
      <w:bodyDiv w:val="1"/>
      <w:marLeft w:val="0"/>
      <w:marRight w:val="0"/>
      <w:marTop w:val="0"/>
      <w:marBottom w:val="0"/>
      <w:divBdr>
        <w:top w:val="none" w:sz="0" w:space="0" w:color="auto"/>
        <w:left w:val="none" w:sz="0" w:space="0" w:color="auto"/>
        <w:bottom w:val="none" w:sz="0" w:space="0" w:color="auto"/>
        <w:right w:val="none" w:sz="0" w:space="0" w:color="auto"/>
      </w:divBdr>
    </w:div>
    <w:div w:id="2034525581">
      <w:bodyDiv w:val="1"/>
      <w:marLeft w:val="0"/>
      <w:marRight w:val="0"/>
      <w:marTop w:val="0"/>
      <w:marBottom w:val="0"/>
      <w:divBdr>
        <w:top w:val="none" w:sz="0" w:space="0" w:color="auto"/>
        <w:left w:val="none" w:sz="0" w:space="0" w:color="auto"/>
        <w:bottom w:val="none" w:sz="0" w:space="0" w:color="auto"/>
        <w:right w:val="none" w:sz="0" w:space="0" w:color="auto"/>
      </w:divBdr>
    </w:div>
    <w:div w:id="2115130813">
      <w:bodyDiv w:val="1"/>
      <w:marLeft w:val="0"/>
      <w:marRight w:val="0"/>
      <w:marTop w:val="0"/>
      <w:marBottom w:val="0"/>
      <w:divBdr>
        <w:top w:val="none" w:sz="0" w:space="0" w:color="auto"/>
        <w:left w:val="none" w:sz="0" w:space="0" w:color="auto"/>
        <w:bottom w:val="none" w:sz="0" w:space="0" w:color="auto"/>
        <w:right w:val="none" w:sz="0" w:space="0" w:color="auto"/>
      </w:divBdr>
      <w:divsChild>
        <w:div w:id="131101977">
          <w:marLeft w:val="0"/>
          <w:marRight w:val="0"/>
          <w:marTop w:val="0"/>
          <w:marBottom w:val="0"/>
          <w:divBdr>
            <w:top w:val="none" w:sz="0" w:space="0" w:color="auto"/>
            <w:left w:val="none" w:sz="0" w:space="0" w:color="auto"/>
            <w:bottom w:val="none" w:sz="0" w:space="0" w:color="auto"/>
            <w:right w:val="none" w:sz="0" w:space="0" w:color="auto"/>
          </w:divBdr>
          <w:divsChild>
            <w:div w:id="1910385851">
              <w:marLeft w:val="0"/>
              <w:marRight w:val="0"/>
              <w:marTop w:val="0"/>
              <w:marBottom w:val="0"/>
              <w:divBdr>
                <w:top w:val="none" w:sz="0" w:space="0" w:color="auto"/>
                <w:left w:val="none" w:sz="0" w:space="0" w:color="auto"/>
                <w:bottom w:val="none" w:sz="0" w:space="0" w:color="auto"/>
                <w:right w:val="none" w:sz="0" w:space="0" w:color="auto"/>
              </w:divBdr>
              <w:divsChild>
                <w:div w:id="732047943">
                  <w:marLeft w:val="0"/>
                  <w:marRight w:val="0"/>
                  <w:marTop w:val="0"/>
                  <w:marBottom w:val="0"/>
                  <w:divBdr>
                    <w:top w:val="none" w:sz="0" w:space="0" w:color="auto"/>
                    <w:left w:val="none" w:sz="0" w:space="0" w:color="auto"/>
                    <w:bottom w:val="none" w:sz="0" w:space="0" w:color="auto"/>
                    <w:right w:val="none" w:sz="0" w:space="0" w:color="auto"/>
                  </w:divBdr>
                  <w:divsChild>
                    <w:div w:id="15092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255998">
      <w:bodyDiv w:val="1"/>
      <w:marLeft w:val="0"/>
      <w:marRight w:val="0"/>
      <w:marTop w:val="0"/>
      <w:marBottom w:val="0"/>
      <w:divBdr>
        <w:top w:val="none" w:sz="0" w:space="0" w:color="auto"/>
        <w:left w:val="none" w:sz="0" w:space="0" w:color="auto"/>
        <w:bottom w:val="none" w:sz="0" w:space="0" w:color="auto"/>
        <w:right w:val="none" w:sz="0" w:space="0" w:color="auto"/>
      </w:divBdr>
      <w:divsChild>
        <w:div w:id="1011681571">
          <w:marLeft w:val="0"/>
          <w:marRight w:val="0"/>
          <w:marTop w:val="0"/>
          <w:marBottom w:val="0"/>
          <w:divBdr>
            <w:top w:val="none" w:sz="0" w:space="0" w:color="auto"/>
            <w:left w:val="none" w:sz="0" w:space="0" w:color="auto"/>
            <w:bottom w:val="none" w:sz="0" w:space="0" w:color="auto"/>
            <w:right w:val="none" w:sz="0" w:space="0" w:color="auto"/>
          </w:divBdr>
          <w:divsChild>
            <w:div w:id="354621783">
              <w:marLeft w:val="0"/>
              <w:marRight w:val="0"/>
              <w:marTop w:val="0"/>
              <w:marBottom w:val="0"/>
              <w:divBdr>
                <w:top w:val="none" w:sz="0" w:space="0" w:color="auto"/>
                <w:left w:val="none" w:sz="0" w:space="0" w:color="auto"/>
                <w:bottom w:val="none" w:sz="0" w:space="0" w:color="auto"/>
                <w:right w:val="none" w:sz="0" w:space="0" w:color="auto"/>
              </w:divBdr>
              <w:divsChild>
                <w:div w:id="13564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notificaciones@inpec.gov.co" TargetMode="External"/><Relationship Id="rId1" Type="http://schemas.openxmlformats.org/officeDocument/2006/relationships/hyperlink" Target="mailto:buzonjudicial@uspec.gov.co"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7E6BC-8AB3-44FE-ADDF-10F77ECEBA44}">
  <ds:schemaRefs>
    <ds:schemaRef ds:uri="http://schemas.openxmlformats.org/officeDocument/2006/bibliography"/>
  </ds:schemaRefs>
</ds:datastoreItem>
</file>

<file path=docMetadata/LabelInfo.xml><?xml version="1.0" encoding="utf-8"?>
<clbl:labelList xmlns:clbl="http://schemas.microsoft.com/office/2020/mipLabelMetadata">
  <clbl:label id="{622cba98-80f8-41f3-8df5-8eb99901598b}" enabled="0" method="" siteId="{622cba98-80f8-41f3-8df5-8eb99901598b}" removed="1"/>
</clbl:labelList>
</file>

<file path=docProps/app.xml><?xml version="1.0" encoding="utf-8"?>
<Properties xmlns="http://schemas.openxmlformats.org/officeDocument/2006/extended-properties" xmlns:vt="http://schemas.openxmlformats.org/officeDocument/2006/docPropsVTypes">
  <Template>Normal</Template>
  <TotalTime>4</TotalTime>
  <Pages>38</Pages>
  <Words>16656</Words>
  <Characters>91609</Characters>
  <Application>Microsoft Office Word</Application>
  <DocSecurity>0</DocSecurity>
  <Lines>763</Lines>
  <Paragraphs>216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108049</CharactersWithSpaces>
  <SharedDoc>false</SharedDoc>
  <HLinks>
    <vt:vector size="6" baseType="variant">
      <vt:variant>
        <vt:i4>1179697</vt:i4>
      </vt:variant>
      <vt:variant>
        <vt:i4>0</vt:i4>
      </vt:variant>
      <vt:variant>
        <vt:i4>0</vt:i4>
      </vt:variant>
      <vt:variant>
        <vt:i4>5</vt:i4>
      </vt:variant>
      <vt:variant>
        <vt:lpwstr>https://etbcsj-my.sharepoint.com/:f:/g/personal/j11cmplcgena_cendoj_ramajudicial_gov_co/EqHVp6OpQ2tHnYKJrBU95J4BpeXboa5TuYmwpLA7_EtDPQ?e=1AK8ok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Andres Jaramillo Vargas</dc:creator>
  <cp:keywords/>
  <dc:description/>
  <cp:lastModifiedBy>Sosingetec</cp:lastModifiedBy>
  <cp:revision>2</cp:revision>
  <dcterms:created xsi:type="dcterms:W3CDTF">2025-05-14T01:09:00Z</dcterms:created>
  <dcterms:modified xsi:type="dcterms:W3CDTF">2025-05-14T01:09:00Z</dcterms:modified>
</cp:coreProperties>
</file>