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CC972" w14:textId="0828584F" w:rsidR="00747D8E" w:rsidRPr="00F5054F" w:rsidRDefault="001F2E97" w:rsidP="009002C5">
      <w:pPr>
        <w:spacing w:line="240" w:lineRule="auto"/>
        <w:jc w:val="center"/>
        <w:rPr>
          <w:b/>
          <w:bCs/>
        </w:rPr>
      </w:pPr>
      <w:r w:rsidRPr="00F5054F">
        <w:rPr>
          <w:b/>
          <w:bCs/>
        </w:rPr>
        <w:t>REPÚBLICA DE COLOMBIA</w:t>
      </w:r>
    </w:p>
    <w:p w14:paraId="39258E81" w14:textId="79CBA425" w:rsidR="001F2E97" w:rsidRPr="00F5054F" w:rsidRDefault="001F2E97" w:rsidP="009002C5">
      <w:pPr>
        <w:spacing w:line="240" w:lineRule="auto"/>
        <w:jc w:val="center"/>
        <w:rPr>
          <w:b/>
          <w:bCs/>
        </w:rPr>
      </w:pPr>
      <w:r w:rsidRPr="00F5054F">
        <w:rPr>
          <w:noProof/>
          <w:lang w:eastAsia="es-CO"/>
        </w:rPr>
        <w:drawing>
          <wp:inline distT="0" distB="0" distL="0" distR="0" wp14:anchorId="00E3E979" wp14:editId="6CF73E3C">
            <wp:extent cx="902335" cy="907084"/>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40" t="5091" r="8168" b="4683"/>
                    <a:stretch/>
                  </pic:blipFill>
                  <pic:spPr bwMode="auto">
                    <a:xfrm>
                      <a:off x="0" y="0"/>
                      <a:ext cx="903880" cy="908637"/>
                    </a:xfrm>
                    <a:prstGeom prst="rect">
                      <a:avLst/>
                    </a:prstGeom>
                    <a:noFill/>
                    <a:ln>
                      <a:noFill/>
                    </a:ln>
                    <a:extLst>
                      <a:ext uri="{53640926-AAD7-44D8-BBD7-CCE9431645EC}">
                        <a14:shadowObscured xmlns:a14="http://schemas.microsoft.com/office/drawing/2010/main"/>
                      </a:ext>
                    </a:extLst>
                  </pic:spPr>
                </pic:pic>
              </a:graphicData>
            </a:graphic>
          </wp:inline>
        </w:drawing>
      </w:r>
    </w:p>
    <w:p w14:paraId="49FD7BD7" w14:textId="672BE428" w:rsidR="00823E1F" w:rsidRPr="00F5054F" w:rsidRDefault="00823E1F" w:rsidP="009002C5">
      <w:pPr>
        <w:spacing w:line="240" w:lineRule="auto"/>
        <w:jc w:val="center"/>
        <w:rPr>
          <w:b/>
          <w:bCs/>
          <w:lang w:eastAsia="es-ES"/>
        </w:rPr>
      </w:pPr>
      <w:r w:rsidRPr="00F5054F">
        <w:rPr>
          <w:b/>
          <w:bCs/>
        </w:rPr>
        <w:t>CONSEJO DE ESTADO</w:t>
      </w:r>
    </w:p>
    <w:p w14:paraId="1C84D195" w14:textId="77777777" w:rsidR="00CB2E2A" w:rsidRPr="00F5054F" w:rsidRDefault="00CB2E2A" w:rsidP="009002C5">
      <w:pPr>
        <w:spacing w:line="240" w:lineRule="auto"/>
        <w:jc w:val="center"/>
        <w:rPr>
          <w:b/>
          <w:bCs/>
        </w:rPr>
      </w:pPr>
      <w:r w:rsidRPr="00F5054F">
        <w:rPr>
          <w:b/>
          <w:bCs/>
        </w:rPr>
        <w:t>SALA DE LO CONTENCIOSO ADMINISTRATIVO</w:t>
      </w:r>
    </w:p>
    <w:p w14:paraId="2E690457" w14:textId="6DE55194" w:rsidR="00823E1F" w:rsidRPr="00F5054F" w:rsidRDefault="00581741" w:rsidP="009002C5">
      <w:pPr>
        <w:spacing w:line="240" w:lineRule="auto"/>
        <w:jc w:val="center"/>
        <w:rPr>
          <w:b/>
          <w:bCs/>
        </w:rPr>
      </w:pPr>
      <w:r w:rsidRPr="00F5054F">
        <w:rPr>
          <w:b/>
          <w:bCs/>
        </w:rPr>
        <w:t xml:space="preserve">SECCIÓN TERCERA </w:t>
      </w:r>
      <w:r w:rsidR="00653BCA" w:rsidRPr="00F5054F">
        <w:rPr>
          <w:b/>
          <w:bCs/>
        </w:rPr>
        <w:t xml:space="preserve">- </w:t>
      </w:r>
      <w:r w:rsidRPr="00F5054F">
        <w:rPr>
          <w:b/>
          <w:bCs/>
        </w:rPr>
        <w:t>SUBSECCIÓN B</w:t>
      </w:r>
    </w:p>
    <w:p w14:paraId="322902BA" w14:textId="2150598C" w:rsidR="00271D8F" w:rsidRPr="00F5054F" w:rsidRDefault="00271D8F" w:rsidP="009002C5">
      <w:pPr>
        <w:spacing w:line="240" w:lineRule="auto"/>
        <w:jc w:val="center"/>
      </w:pPr>
    </w:p>
    <w:p w14:paraId="22881F23" w14:textId="77777777" w:rsidR="00B8420A" w:rsidRPr="00F5054F" w:rsidRDefault="00B8420A" w:rsidP="009002C5">
      <w:pPr>
        <w:spacing w:line="240" w:lineRule="auto"/>
        <w:jc w:val="center"/>
        <w:rPr>
          <w:b/>
          <w:bCs/>
        </w:rPr>
      </w:pPr>
    </w:p>
    <w:p w14:paraId="0A5D7BD2" w14:textId="5CC71CF3" w:rsidR="00823E1F" w:rsidRPr="00F5054F" w:rsidRDefault="00823E1F" w:rsidP="00B8420A">
      <w:pPr>
        <w:spacing w:line="240" w:lineRule="auto"/>
      </w:pPr>
      <w:r w:rsidRPr="00F5054F">
        <w:t xml:space="preserve">Bogotá DC, </w:t>
      </w:r>
      <w:r w:rsidR="00F5054F">
        <w:t xml:space="preserve">dieciocho </w:t>
      </w:r>
      <w:r w:rsidRPr="00F5054F">
        <w:t>(</w:t>
      </w:r>
      <w:r w:rsidR="00F5054F">
        <w:t>18</w:t>
      </w:r>
      <w:r w:rsidRPr="00F5054F">
        <w:t xml:space="preserve">) de </w:t>
      </w:r>
      <w:r w:rsidR="00F5054F">
        <w:t xml:space="preserve">noviembre </w:t>
      </w:r>
      <w:r w:rsidRPr="00F5054F">
        <w:t xml:space="preserve">de dos mil </w:t>
      </w:r>
      <w:r w:rsidR="0003298B" w:rsidRPr="00F5054F">
        <w:t>veintiuno</w:t>
      </w:r>
      <w:r w:rsidR="00CB2E2A" w:rsidRPr="00F5054F">
        <w:t xml:space="preserve"> </w:t>
      </w:r>
      <w:r w:rsidRPr="00F5054F">
        <w:t>(20</w:t>
      </w:r>
      <w:r w:rsidR="00CB2E2A" w:rsidRPr="00F5054F">
        <w:t>2</w:t>
      </w:r>
      <w:r w:rsidR="0003298B" w:rsidRPr="00F5054F">
        <w:t>1</w:t>
      </w:r>
      <w:r w:rsidRPr="00F5054F">
        <w:t>)</w:t>
      </w:r>
      <w:r w:rsidR="00CB2E2A" w:rsidRPr="00F5054F">
        <w:t>.</w:t>
      </w:r>
    </w:p>
    <w:p w14:paraId="7786E372" w14:textId="695B53C2" w:rsidR="00823E1F" w:rsidRPr="00F5054F" w:rsidRDefault="00823E1F" w:rsidP="009002C5">
      <w:pPr>
        <w:spacing w:line="240" w:lineRule="auto"/>
      </w:pPr>
    </w:p>
    <w:p w14:paraId="6FA93B2D" w14:textId="77777777" w:rsidR="00E4498A" w:rsidRPr="00F5054F" w:rsidRDefault="00E4498A" w:rsidP="009002C5">
      <w:pPr>
        <w:spacing w:line="240" w:lineRule="auto"/>
      </w:pPr>
    </w:p>
    <w:p w14:paraId="40B7EBA9" w14:textId="346E8476" w:rsidR="00B8420A" w:rsidRPr="00F5054F" w:rsidRDefault="00B8420A" w:rsidP="00B8420A">
      <w:pPr>
        <w:tabs>
          <w:tab w:val="left" w:pos="2552"/>
        </w:tabs>
        <w:spacing w:line="240" w:lineRule="auto"/>
        <w:rPr>
          <w:bCs/>
        </w:rPr>
      </w:pPr>
      <w:r w:rsidRPr="00F5054F">
        <w:rPr>
          <w:b/>
        </w:rPr>
        <w:t xml:space="preserve">Magistrado ponente: </w:t>
      </w:r>
      <w:r w:rsidRPr="00F5054F">
        <w:rPr>
          <w:b/>
        </w:rPr>
        <w:tab/>
      </w:r>
      <w:r w:rsidR="00903F92" w:rsidRPr="00F5054F">
        <w:rPr>
          <w:b/>
        </w:rPr>
        <w:t>FREDY IBARRA MARTÍNEZ</w:t>
      </w:r>
    </w:p>
    <w:p w14:paraId="5289DC32" w14:textId="738FD855" w:rsidR="00903F92" w:rsidRPr="00F5054F" w:rsidRDefault="00DC58D8" w:rsidP="00903F92">
      <w:pPr>
        <w:tabs>
          <w:tab w:val="left" w:pos="2552"/>
        </w:tabs>
        <w:spacing w:line="240" w:lineRule="auto"/>
      </w:pPr>
      <w:r w:rsidRPr="00F5054F">
        <w:rPr>
          <w:b/>
        </w:rPr>
        <w:t>Expediente</w:t>
      </w:r>
      <w:r w:rsidR="00903F92" w:rsidRPr="00F5054F">
        <w:rPr>
          <w:b/>
        </w:rPr>
        <w:t>:</w:t>
      </w:r>
      <w:r w:rsidR="00903F92" w:rsidRPr="00F5054F">
        <w:rPr>
          <w:b/>
        </w:rPr>
        <w:tab/>
      </w:r>
      <w:r w:rsidR="00B05CFF" w:rsidRPr="00F5054F">
        <w:rPr>
          <w:b/>
          <w:bCs/>
        </w:rPr>
        <w:t>47001-23-31-000-2010-00405-01 (45</w:t>
      </w:r>
      <w:r w:rsidR="004B14DF" w:rsidRPr="00F5054F">
        <w:rPr>
          <w:b/>
          <w:bCs/>
        </w:rPr>
        <w:t>.</w:t>
      </w:r>
      <w:r w:rsidR="00B05CFF" w:rsidRPr="00F5054F">
        <w:rPr>
          <w:b/>
          <w:bCs/>
        </w:rPr>
        <w:t>348)</w:t>
      </w:r>
    </w:p>
    <w:p w14:paraId="4F987F05" w14:textId="0189BA40" w:rsidR="00903F92" w:rsidRPr="00F5054F" w:rsidRDefault="00903F92" w:rsidP="00903F92">
      <w:pPr>
        <w:tabs>
          <w:tab w:val="left" w:pos="2552"/>
        </w:tabs>
        <w:spacing w:line="240" w:lineRule="auto"/>
        <w:rPr>
          <w:bCs/>
        </w:rPr>
      </w:pPr>
      <w:r w:rsidRPr="00F5054F">
        <w:rPr>
          <w:b/>
        </w:rPr>
        <w:t>Demandante:</w:t>
      </w:r>
      <w:r w:rsidRPr="00F5054F">
        <w:rPr>
          <w:b/>
        </w:rPr>
        <w:tab/>
      </w:r>
      <w:r w:rsidR="00B05CFF" w:rsidRPr="00F5054F">
        <w:rPr>
          <w:b/>
        </w:rPr>
        <w:t xml:space="preserve">ASOCIACIÓN COLOMBIANA DE INGENIERÍA </w:t>
      </w:r>
      <w:r w:rsidR="00B05CFF" w:rsidRPr="00F5054F">
        <w:rPr>
          <w:b/>
        </w:rPr>
        <w:tab/>
        <w:t>SANITARIA Y AMBIENTAL</w:t>
      </w:r>
    </w:p>
    <w:p w14:paraId="284DB9CF" w14:textId="52D5361E" w:rsidR="00903F92" w:rsidRPr="00F5054F" w:rsidRDefault="00903F92" w:rsidP="00903F92">
      <w:pPr>
        <w:tabs>
          <w:tab w:val="left" w:pos="2552"/>
        </w:tabs>
        <w:spacing w:line="240" w:lineRule="auto"/>
        <w:rPr>
          <w:b/>
          <w:bCs/>
        </w:rPr>
      </w:pPr>
      <w:r w:rsidRPr="00F5054F">
        <w:rPr>
          <w:b/>
        </w:rPr>
        <w:t>Demandado:</w:t>
      </w:r>
      <w:r w:rsidRPr="00F5054F">
        <w:rPr>
          <w:b/>
        </w:rPr>
        <w:tab/>
      </w:r>
      <w:r w:rsidR="00B05CFF" w:rsidRPr="00F5054F">
        <w:rPr>
          <w:b/>
          <w:bCs/>
        </w:rPr>
        <w:t>MUNICIPIO DE ARACATACA</w:t>
      </w:r>
    </w:p>
    <w:p w14:paraId="0CD08833" w14:textId="20A1983C" w:rsidR="001F40D3" w:rsidRPr="00F5054F" w:rsidRDefault="00E61390" w:rsidP="00B8420A">
      <w:pPr>
        <w:tabs>
          <w:tab w:val="left" w:pos="2552"/>
        </w:tabs>
        <w:spacing w:line="240" w:lineRule="auto"/>
        <w:rPr>
          <w:b/>
        </w:rPr>
      </w:pPr>
      <w:r w:rsidRPr="00F5054F">
        <w:rPr>
          <w:b/>
        </w:rPr>
        <w:t>Medio de control</w:t>
      </w:r>
      <w:r w:rsidR="00903F92" w:rsidRPr="00F5054F">
        <w:rPr>
          <w:b/>
        </w:rPr>
        <w:t>:</w:t>
      </w:r>
      <w:r w:rsidR="001F40D3" w:rsidRPr="00F5054F">
        <w:rPr>
          <w:b/>
        </w:rPr>
        <w:tab/>
      </w:r>
      <w:r w:rsidR="00903F92" w:rsidRPr="00F5054F">
        <w:rPr>
          <w:b/>
        </w:rPr>
        <w:t>CONTROVERSIAS CONTRACTUALES</w:t>
      </w:r>
    </w:p>
    <w:p w14:paraId="32F636E2" w14:textId="2AA9A123" w:rsidR="00230218" w:rsidRPr="00F5054F" w:rsidRDefault="007C1CF1" w:rsidP="00230218">
      <w:pPr>
        <w:tabs>
          <w:tab w:val="left" w:pos="2552"/>
        </w:tabs>
        <w:spacing w:line="240" w:lineRule="auto"/>
        <w:ind w:left="2552" w:hanging="2552"/>
        <w:rPr>
          <w:b/>
        </w:rPr>
      </w:pPr>
      <w:r w:rsidRPr="00F5054F">
        <w:rPr>
          <w:b/>
        </w:rPr>
        <w:t>Asunto:</w:t>
      </w:r>
      <w:r w:rsidRPr="00F5054F">
        <w:rPr>
          <w:b/>
        </w:rPr>
        <w:tab/>
        <w:t xml:space="preserve">APELACIÓN DE SENTENCIA </w:t>
      </w:r>
      <w:r w:rsidR="00C546B5" w:rsidRPr="00F5054F">
        <w:rPr>
          <w:b/>
        </w:rPr>
        <w:t>-</w:t>
      </w:r>
      <w:r w:rsidRPr="00F5054F">
        <w:rPr>
          <w:b/>
        </w:rPr>
        <w:t xml:space="preserve"> </w:t>
      </w:r>
      <w:r w:rsidR="00C546B5" w:rsidRPr="00F5054F">
        <w:rPr>
          <w:b/>
        </w:rPr>
        <w:t>CONGRUENCIA DEL FALLO DE PRIMERA INSTANCIA</w:t>
      </w:r>
      <w:r w:rsidR="00D616A9" w:rsidRPr="00F5054F">
        <w:rPr>
          <w:b/>
        </w:rPr>
        <w:t xml:space="preserve"> Y RÉGIMEN DEL CONTRATO</w:t>
      </w:r>
    </w:p>
    <w:p w14:paraId="7E359BB0" w14:textId="77777777" w:rsidR="00627260" w:rsidRPr="00F5054F" w:rsidRDefault="00627260" w:rsidP="002057DB"/>
    <w:p w14:paraId="22E79EB4" w14:textId="553D9C24" w:rsidR="00627260" w:rsidRPr="00F5054F" w:rsidRDefault="00627260" w:rsidP="00627260">
      <w:pPr>
        <w:spacing w:line="276" w:lineRule="auto"/>
        <w:rPr>
          <w:i/>
          <w:iCs/>
          <w:sz w:val="22"/>
          <w:szCs w:val="22"/>
        </w:rPr>
      </w:pPr>
      <w:r w:rsidRPr="00F5054F">
        <w:rPr>
          <w:i/>
          <w:iCs/>
          <w:sz w:val="22"/>
          <w:szCs w:val="22"/>
        </w:rPr>
        <w:t xml:space="preserve">Síntesis del caso: entre las partes se suscribió un convenio de cooperación para encontrar la solución definitiva a la problemática de abastecimiento de agua potable en el municipio. El ente territorial no entregó todo el dinero al que se comprometió y por ello la asociación reclama el incumplimiento contractual. El Tribunal declaró el incumplimiento </w:t>
      </w:r>
      <w:r w:rsidR="00B46BC5" w:rsidRPr="00F5054F">
        <w:rPr>
          <w:i/>
          <w:iCs/>
          <w:sz w:val="22"/>
          <w:szCs w:val="22"/>
        </w:rPr>
        <w:t>de ambas partes porque la entidad no contaba con la respectiva disponibilidad presupuestal y el contratista no otorgó las correspondientes pólizas</w:t>
      </w:r>
      <w:r w:rsidRPr="00F5054F">
        <w:rPr>
          <w:i/>
          <w:iCs/>
          <w:sz w:val="22"/>
          <w:szCs w:val="22"/>
        </w:rPr>
        <w:t>.</w:t>
      </w:r>
    </w:p>
    <w:p w14:paraId="292CF774" w14:textId="77777777" w:rsidR="00627260" w:rsidRPr="00F5054F" w:rsidRDefault="00627260" w:rsidP="00FD37D1">
      <w:pPr>
        <w:rPr>
          <w:sz w:val="28"/>
          <w:szCs w:val="28"/>
        </w:rPr>
      </w:pPr>
    </w:p>
    <w:p w14:paraId="7778F0AE" w14:textId="2AC02A8C" w:rsidR="00C404AA" w:rsidRPr="00F5054F" w:rsidRDefault="00E37FB6" w:rsidP="002057DB">
      <w:r w:rsidRPr="00F5054F">
        <w:t>L</w:t>
      </w:r>
      <w:r w:rsidR="007055B2" w:rsidRPr="00F5054F">
        <w:t xml:space="preserve">a Sala </w:t>
      </w:r>
      <w:r w:rsidRPr="00F5054F">
        <w:t xml:space="preserve">decide </w:t>
      </w:r>
      <w:r w:rsidR="00385719" w:rsidRPr="00F5054F">
        <w:t xml:space="preserve">el </w:t>
      </w:r>
      <w:r w:rsidR="007055B2" w:rsidRPr="00F5054F">
        <w:t xml:space="preserve">recurso de apelación </w:t>
      </w:r>
      <w:r w:rsidRPr="00F5054F">
        <w:t xml:space="preserve">interpuesto </w:t>
      </w:r>
      <w:r w:rsidR="007055B2" w:rsidRPr="00F5054F">
        <w:t>por</w:t>
      </w:r>
      <w:r w:rsidR="00385719" w:rsidRPr="00F5054F">
        <w:t xml:space="preserve"> la parte demandada</w:t>
      </w:r>
      <w:r w:rsidR="006D688D" w:rsidRPr="00F5054F">
        <w:t xml:space="preserve"> en contra de la sentencia de</w:t>
      </w:r>
      <w:r w:rsidR="007055B2" w:rsidRPr="00F5054F">
        <w:t xml:space="preserve"> </w:t>
      </w:r>
      <w:r w:rsidR="00385719" w:rsidRPr="00F5054F">
        <w:t>11 de abril de 2012</w:t>
      </w:r>
      <w:r w:rsidR="007055B2" w:rsidRPr="00F5054F">
        <w:t xml:space="preserve"> </w:t>
      </w:r>
      <w:r w:rsidRPr="00F5054F">
        <w:t>proferida por e</w:t>
      </w:r>
      <w:r w:rsidR="007055B2" w:rsidRPr="00F5054F">
        <w:t>l Tribunal Administrativo de</w:t>
      </w:r>
      <w:r w:rsidR="001333E3" w:rsidRPr="00F5054F">
        <w:t>l</w:t>
      </w:r>
      <w:r w:rsidR="00B503DB" w:rsidRPr="00F5054F">
        <w:t xml:space="preserve"> </w:t>
      </w:r>
      <w:r w:rsidR="00385719" w:rsidRPr="00F5054F">
        <w:t>Magdalena</w:t>
      </w:r>
      <w:r w:rsidRPr="00F5054F">
        <w:t xml:space="preserve"> (fl</w:t>
      </w:r>
      <w:r w:rsidR="00B720B7" w:rsidRPr="00F5054F">
        <w:t>s</w:t>
      </w:r>
      <w:r w:rsidRPr="00F5054F">
        <w:t xml:space="preserve">. </w:t>
      </w:r>
      <w:r w:rsidR="00D71873" w:rsidRPr="00F5054F">
        <w:t>192 a 2</w:t>
      </w:r>
      <w:r w:rsidR="001F57CA" w:rsidRPr="00F5054F">
        <w:t>10</w:t>
      </w:r>
      <w:r w:rsidR="00B720B7" w:rsidRPr="00F5054F">
        <w:t xml:space="preserve"> </w:t>
      </w:r>
      <w:r w:rsidRPr="00F5054F">
        <w:t>c</w:t>
      </w:r>
      <w:r w:rsidR="00B720B7" w:rsidRPr="00F5054F">
        <w:t>dno</w:t>
      </w:r>
      <w:r w:rsidRPr="00F5054F">
        <w:t>. ppal.) mediante la cual se dispuso lo siguiente:</w:t>
      </w:r>
    </w:p>
    <w:p w14:paraId="519CF197" w14:textId="0683BA9A" w:rsidR="007055B2" w:rsidRPr="00F5054F" w:rsidRDefault="007055B2" w:rsidP="0024790C">
      <w:pPr>
        <w:spacing w:line="240" w:lineRule="auto"/>
        <w:rPr>
          <w:sz w:val="28"/>
          <w:szCs w:val="28"/>
        </w:rPr>
      </w:pPr>
    </w:p>
    <w:p w14:paraId="11964C77" w14:textId="0163D634" w:rsidR="00D71873" w:rsidRPr="00F5054F" w:rsidRDefault="00B27828" w:rsidP="00D71873">
      <w:pPr>
        <w:pStyle w:val="Cita"/>
        <w:rPr>
          <w:lang w:val="es-ES"/>
        </w:rPr>
      </w:pPr>
      <w:r w:rsidRPr="00F5054F">
        <w:rPr>
          <w:lang w:val="es-ES"/>
        </w:rPr>
        <w:t>“</w:t>
      </w:r>
      <w:r w:rsidR="00D71873" w:rsidRPr="00F5054F">
        <w:rPr>
          <w:b/>
          <w:bCs/>
          <w:lang w:val="es-ES"/>
        </w:rPr>
        <w:t>PRIMERO: DECLÁRASE</w:t>
      </w:r>
      <w:r w:rsidR="00D71873" w:rsidRPr="00F5054F">
        <w:rPr>
          <w:lang w:val="es-ES"/>
        </w:rPr>
        <w:t xml:space="preserve"> la nulidad absoluta de las expresiones </w:t>
      </w:r>
      <w:r w:rsidR="001F57CA" w:rsidRPr="00F5054F">
        <w:rPr>
          <w:b/>
          <w:bCs/>
          <w:lang w:val="es-ES"/>
        </w:rPr>
        <w:t>‘</w:t>
      </w:r>
      <w:r w:rsidR="00D71873" w:rsidRPr="00F5054F">
        <w:rPr>
          <w:b/>
          <w:bCs/>
          <w:u w:val="single"/>
          <w:lang w:val="es-ES"/>
        </w:rPr>
        <w:t>renovable automáticamente</w:t>
      </w:r>
      <w:r w:rsidR="001F57CA" w:rsidRPr="00F5054F">
        <w:rPr>
          <w:b/>
          <w:bCs/>
          <w:lang w:val="es-ES"/>
        </w:rPr>
        <w:t>’</w:t>
      </w:r>
      <w:r w:rsidR="00D71873" w:rsidRPr="00F5054F">
        <w:rPr>
          <w:lang w:val="es-ES"/>
        </w:rPr>
        <w:t xml:space="preserve"> y </w:t>
      </w:r>
      <w:r w:rsidR="001F57CA" w:rsidRPr="00F5054F">
        <w:rPr>
          <w:b/>
          <w:bCs/>
          <w:lang w:val="es-ES"/>
        </w:rPr>
        <w:t>‘</w:t>
      </w:r>
      <w:r w:rsidR="00D71873" w:rsidRPr="00F5054F">
        <w:rPr>
          <w:b/>
          <w:bCs/>
          <w:u w:val="single"/>
          <w:lang w:val="es-ES"/>
        </w:rPr>
        <w:t>en cuyo caso el convenio permanecerá vigente hasta tanto aquellas concluyan</w:t>
      </w:r>
      <w:r w:rsidR="001F57CA" w:rsidRPr="00F5054F">
        <w:rPr>
          <w:b/>
          <w:bCs/>
          <w:lang w:val="es-ES"/>
        </w:rPr>
        <w:t>’</w:t>
      </w:r>
      <w:r w:rsidR="00D71873" w:rsidRPr="00F5054F">
        <w:rPr>
          <w:lang w:val="es-ES"/>
        </w:rPr>
        <w:t xml:space="preserve"> insertas en el convenio de cooperación interinstitucional suscrito entre el municipio de Aracataca (Magdalena) y la Asociación Colombiana de Ingeniería Sanitaria y Ambiental (ACODAL) de conformidad a las consideraciones expuestas en la parte motiva de este proveído.</w:t>
      </w:r>
    </w:p>
    <w:p w14:paraId="4E001CEA" w14:textId="77777777" w:rsidR="00D71873" w:rsidRPr="00F5054F" w:rsidRDefault="00D71873" w:rsidP="00D71873">
      <w:pPr>
        <w:pStyle w:val="Cita"/>
        <w:rPr>
          <w:lang w:val="es-ES"/>
        </w:rPr>
      </w:pPr>
    </w:p>
    <w:p w14:paraId="756212DF" w14:textId="77777777" w:rsidR="00D71873" w:rsidRPr="00F5054F" w:rsidRDefault="00D71873" w:rsidP="00D71873">
      <w:pPr>
        <w:pStyle w:val="Cita"/>
        <w:rPr>
          <w:lang w:val="es-ES"/>
        </w:rPr>
      </w:pPr>
      <w:r w:rsidRPr="00F5054F">
        <w:rPr>
          <w:b/>
          <w:bCs/>
          <w:lang w:val="es-ES"/>
        </w:rPr>
        <w:t>SEGUNDO: DECLÁRASE</w:t>
      </w:r>
      <w:r w:rsidRPr="00F5054F">
        <w:rPr>
          <w:lang w:val="es-ES"/>
        </w:rPr>
        <w:t xml:space="preserve"> la responsabilidad patrimonial del municipio de Aracataca (</w:t>
      </w:r>
      <w:proofErr w:type="spellStart"/>
      <w:r w:rsidRPr="00F5054F">
        <w:rPr>
          <w:lang w:val="es-ES"/>
        </w:rPr>
        <w:t>Magd</w:t>
      </w:r>
      <w:proofErr w:type="spellEnd"/>
      <w:r w:rsidRPr="00F5054F">
        <w:rPr>
          <w:lang w:val="es-ES"/>
        </w:rPr>
        <w:t>.) por el daño irrogado en virtud del incumplimiento de la previsión inserta en el inciso 2, artículo 41 de la Ley 80 de 1993.</w:t>
      </w:r>
    </w:p>
    <w:p w14:paraId="4E7AFB5C" w14:textId="77777777" w:rsidR="00D71873" w:rsidRPr="00F5054F" w:rsidRDefault="00D71873" w:rsidP="00D71873">
      <w:pPr>
        <w:pStyle w:val="Cita"/>
        <w:rPr>
          <w:lang w:val="es-ES"/>
        </w:rPr>
      </w:pPr>
    </w:p>
    <w:p w14:paraId="5F09C61F" w14:textId="77777777" w:rsidR="00D71873" w:rsidRPr="00F5054F" w:rsidRDefault="00D71873" w:rsidP="00D71873">
      <w:pPr>
        <w:pStyle w:val="Cita"/>
        <w:rPr>
          <w:lang w:val="es-ES"/>
        </w:rPr>
      </w:pPr>
      <w:r w:rsidRPr="00F5054F">
        <w:rPr>
          <w:b/>
          <w:bCs/>
          <w:lang w:val="es-ES"/>
        </w:rPr>
        <w:t>TERCERO: DECLÁRASE</w:t>
      </w:r>
      <w:r w:rsidRPr="00F5054F">
        <w:rPr>
          <w:lang w:val="es-ES"/>
        </w:rPr>
        <w:t xml:space="preserve"> demostrado el hecho de la víctima como causa concurrente y eficiente en la producción del daño, conforme a lo expuesto en la parte motiva de esta providencia.</w:t>
      </w:r>
    </w:p>
    <w:p w14:paraId="15027AF7" w14:textId="77777777" w:rsidR="00D71873" w:rsidRPr="00F5054F" w:rsidRDefault="00D71873" w:rsidP="00D71873">
      <w:pPr>
        <w:pStyle w:val="Cita"/>
        <w:rPr>
          <w:sz w:val="24"/>
          <w:szCs w:val="24"/>
          <w:lang w:val="es-ES"/>
        </w:rPr>
      </w:pPr>
      <w:r w:rsidRPr="00F5054F">
        <w:rPr>
          <w:lang w:val="es-ES"/>
        </w:rPr>
        <w:t xml:space="preserve"> </w:t>
      </w:r>
    </w:p>
    <w:p w14:paraId="1B341832" w14:textId="417833C2" w:rsidR="00D71873" w:rsidRPr="00F5054F" w:rsidRDefault="00D71873" w:rsidP="00D71873">
      <w:pPr>
        <w:pStyle w:val="Cita"/>
        <w:rPr>
          <w:lang w:val="es-ES"/>
        </w:rPr>
      </w:pPr>
      <w:r w:rsidRPr="00F5054F">
        <w:rPr>
          <w:b/>
          <w:bCs/>
          <w:lang w:val="es-ES"/>
        </w:rPr>
        <w:t>CUARTO: CONDÉN</w:t>
      </w:r>
      <w:r w:rsidR="001F57CA" w:rsidRPr="00F5054F">
        <w:rPr>
          <w:b/>
          <w:bCs/>
          <w:lang w:val="es-ES"/>
        </w:rPr>
        <w:t>A</w:t>
      </w:r>
      <w:r w:rsidRPr="00F5054F">
        <w:rPr>
          <w:b/>
          <w:bCs/>
          <w:lang w:val="es-ES"/>
        </w:rPr>
        <w:t>SE</w:t>
      </w:r>
      <w:r w:rsidRPr="00F5054F">
        <w:rPr>
          <w:lang w:val="es-ES"/>
        </w:rPr>
        <w:t xml:space="preserve"> al municipio de Aracataca (</w:t>
      </w:r>
      <w:proofErr w:type="spellStart"/>
      <w:r w:rsidRPr="00F5054F">
        <w:rPr>
          <w:lang w:val="es-ES"/>
        </w:rPr>
        <w:t>Magd</w:t>
      </w:r>
      <w:proofErr w:type="spellEnd"/>
      <w:r w:rsidRPr="00F5054F">
        <w:rPr>
          <w:lang w:val="es-ES"/>
        </w:rPr>
        <w:t xml:space="preserve">.) al pago de </w:t>
      </w:r>
      <w:r w:rsidR="001F57CA" w:rsidRPr="00F5054F">
        <w:rPr>
          <w:b/>
          <w:bCs/>
          <w:lang w:val="es-ES"/>
        </w:rPr>
        <w:t xml:space="preserve">DOSCIENTOS OCHO MILLONES SETECIENTOS CUARENTA Y UN MIL TRESCIENTOS NOVENTA Y DOS PESOS </w:t>
      </w:r>
      <w:r w:rsidRPr="00F5054F">
        <w:rPr>
          <w:b/>
          <w:bCs/>
          <w:lang w:val="es-ES"/>
        </w:rPr>
        <w:t xml:space="preserve">($208.741.392) </w:t>
      </w:r>
      <w:r w:rsidRPr="00F5054F">
        <w:rPr>
          <w:lang w:val="es-ES"/>
        </w:rPr>
        <w:t xml:space="preserve">por </w:t>
      </w:r>
      <w:r w:rsidRPr="00F5054F">
        <w:rPr>
          <w:lang w:val="es-ES"/>
        </w:rPr>
        <w:lastRenderedPageBreak/>
        <w:t>concepto de perjuicios materiales atendiendo el derrotero delineado en este proveído.</w:t>
      </w:r>
    </w:p>
    <w:p w14:paraId="3890EE10" w14:textId="77777777" w:rsidR="00D71873" w:rsidRPr="00F5054F" w:rsidRDefault="00D71873" w:rsidP="00D71873">
      <w:pPr>
        <w:pStyle w:val="Cita"/>
        <w:rPr>
          <w:lang w:val="es-ES"/>
        </w:rPr>
      </w:pPr>
    </w:p>
    <w:p w14:paraId="6EBF4C5B" w14:textId="3BE126AF" w:rsidR="00D42060" w:rsidRPr="00F5054F" w:rsidRDefault="00D71873" w:rsidP="001F57CA">
      <w:pPr>
        <w:pStyle w:val="Cita"/>
        <w:rPr>
          <w:lang w:val="es-ES"/>
        </w:rPr>
      </w:pPr>
      <w:r w:rsidRPr="00F5054F">
        <w:rPr>
          <w:b/>
          <w:bCs/>
          <w:lang w:val="es-ES"/>
        </w:rPr>
        <w:t>QUINTO: DENEGAR</w:t>
      </w:r>
      <w:r w:rsidRPr="00F5054F">
        <w:rPr>
          <w:lang w:val="es-ES"/>
        </w:rPr>
        <w:t xml:space="preserve"> las súplicas del libelo</w:t>
      </w:r>
      <w:r w:rsidR="001F57CA" w:rsidRPr="00F5054F">
        <w:rPr>
          <w:lang w:val="es-ES"/>
        </w:rPr>
        <w:t>.</w:t>
      </w:r>
    </w:p>
    <w:p w14:paraId="5D2BE336" w14:textId="77777777" w:rsidR="00D42060" w:rsidRPr="00F5054F" w:rsidRDefault="00D42060" w:rsidP="001F57CA">
      <w:pPr>
        <w:pStyle w:val="Cita"/>
        <w:rPr>
          <w:sz w:val="24"/>
          <w:szCs w:val="24"/>
          <w:lang w:val="es-ES"/>
        </w:rPr>
      </w:pPr>
    </w:p>
    <w:p w14:paraId="069A5587" w14:textId="1B9E4157" w:rsidR="00B720B7" w:rsidRPr="00F5054F" w:rsidRDefault="00D42060" w:rsidP="001F57CA">
      <w:pPr>
        <w:pStyle w:val="Cita"/>
        <w:rPr>
          <w:i w:val="0"/>
          <w:iCs w:val="0"/>
          <w:lang w:val="es-ES"/>
        </w:rPr>
      </w:pPr>
      <w:r w:rsidRPr="00F5054F">
        <w:rPr>
          <w:b/>
          <w:bCs/>
          <w:lang w:val="es-ES"/>
        </w:rPr>
        <w:t>SEXTO: CÚMPLASE</w:t>
      </w:r>
      <w:r w:rsidRPr="00F5054F">
        <w:rPr>
          <w:lang w:val="es-ES"/>
        </w:rPr>
        <w:t xml:space="preserve"> lo dispuesto en los artículos 176 y 177 del CCA una vez surtido el grado jurisdiccional de consulta</w:t>
      </w:r>
      <w:r w:rsidR="0024790C" w:rsidRPr="00F5054F">
        <w:rPr>
          <w:lang w:val="es-ES"/>
        </w:rPr>
        <w:t>.</w:t>
      </w:r>
      <w:r w:rsidRPr="00F5054F">
        <w:rPr>
          <w:lang w:val="es-ES"/>
        </w:rPr>
        <w:t>”</w:t>
      </w:r>
      <w:r w:rsidR="000B6812" w:rsidRPr="00F5054F">
        <w:rPr>
          <w:lang w:val="es-ES"/>
        </w:rPr>
        <w:t xml:space="preserve"> </w:t>
      </w:r>
      <w:r w:rsidR="000B6812" w:rsidRPr="00F5054F">
        <w:rPr>
          <w:i w:val="0"/>
          <w:iCs w:val="0"/>
          <w:lang w:val="es-ES"/>
        </w:rPr>
        <w:t xml:space="preserve">(fl. </w:t>
      </w:r>
      <w:r w:rsidR="001F57CA" w:rsidRPr="00F5054F">
        <w:rPr>
          <w:i w:val="0"/>
          <w:iCs w:val="0"/>
          <w:lang w:val="es-ES"/>
        </w:rPr>
        <w:t>210</w:t>
      </w:r>
      <w:r w:rsidR="000B6812" w:rsidRPr="00F5054F">
        <w:rPr>
          <w:i w:val="0"/>
          <w:iCs w:val="0"/>
          <w:lang w:val="es-ES"/>
        </w:rPr>
        <w:t xml:space="preserve"> cdno. ppal. </w:t>
      </w:r>
      <w:r w:rsidR="0024790C" w:rsidRPr="00F5054F">
        <w:rPr>
          <w:i w:val="0"/>
          <w:iCs w:val="0"/>
          <w:lang w:val="es-ES"/>
        </w:rPr>
        <w:t>-</w:t>
      </w:r>
      <w:r w:rsidR="000B6812" w:rsidRPr="00F5054F">
        <w:rPr>
          <w:i w:val="0"/>
          <w:iCs w:val="0"/>
          <w:lang w:val="es-ES"/>
        </w:rPr>
        <w:t xml:space="preserve"> mayúsculas</w:t>
      </w:r>
      <w:r w:rsidR="0024790C" w:rsidRPr="00F5054F">
        <w:rPr>
          <w:i w:val="0"/>
          <w:iCs w:val="0"/>
          <w:lang w:val="es-ES"/>
        </w:rPr>
        <w:t xml:space="preserve"> sostenidas</w:t>
      </w:r>
      <w:r w:rsidR="001F57CA" w:rsidRPr="00F5054F">
        <w:rPr>
          <w:i w:val="0"/>
          <w:iCs w:val="0"/>
          <w:lang w:val="es-ES"/>
        </w:rPr>
        <w:t>, subray</w:t>
      </w:r>
      <w:r w:rsidR="0024790C" w:rsidRPr="00F5054F">
        <w:rPr>
          <w:i w:val="0"/>
          <w:iCs w:val="0"/>
          <w:lang w:val="es-ES"/>
        </w:rPr>
        <w:t>ado</w:t>
      </w:r>
      <w:r w:rsidR="000B6812" w:rsidRPr="00F5054F">
        <w:rPr>
          <w:i w:val="0"/>
          <w:iCs w:val="0"/>
          <w:lang w:val="es-ES"/>
        </w:rPr>
        <w:t xml:space="preserve"> y negrillas del texto original).</w:t>
      </w:r>
    </w:p>
    <w:p w14:paraId="664FFC5B" w14:textId="77777777" w:rsidR="00B720B7" w:rsidRPr="00F5054F" w:rsidRDefault="00B720B7" w:rsidP="00D616A9">
      <w:pPr>
        <w:rPr>
          <w:sz w:val="28"/>
          <w:szCs w:val="28"/>
        </w:rPr>
      </w:pPr>
    </w:p>
    <w:p w14:paraId="75B62E6E" w14:textId="4FA240C7" w:rsidR="008B0605" w:rsidRPr="00F5054F" w:rsidRDefault="008B0605" w:rsidP="001B740D">
      <w:pPr>
        <w:pStyle w:val="Ttulo1"/>
      </w:pPr>
      <w:bookmarkStart w:id="0" w:name="_Hlk55915605"/>
      <w:r w:rsidRPr="00F5054F">
        <w:t>ANTECEDENTES</w:t>
      </w:r>
    </w:p>
    <w:bookmarkEnd w:id="0"/>
    <w:p w14:paraId="69202F77" w14:textId="77777777" w:rsidR="008B0605" w:rsidRPr="00F5054F" w:rsidRDefault="008B0605" w:rsidP="00FD37D1">
      <w:pPr>
        <w:spacing w:line="240" w:lineRule="auto"/>
        <w:rPr>
          <w:sz w:val="28"/>
          <w:szCs w:val="28"/>
        </w:rPr>
      </w:pPr>
    </w:p>
    <w:p w14:paraId="12C9CBAA" w14:textId="3F4E5A69" w:rsidR="009002C5" w:rsidRPr="00F5054F" w:rsidRDefault="004B5E27" w:rsidP="001B740D">
      <w:pPr>
        <w:pStyle w:val="Ttulo2"/>
      </w:pPr>
      <w:r w:rsidRPr="00F5054F">
        <w:t>La d</w:t>
      </w:r>
      <w:r w:rsidR="00577421" w:rsidRPr="00F5054F">
        <w:t>emanda</w:t>
      </w:r>
    </w:p>
    <w:p w14:paraId="56E66833" w14:textId="77777777" w:rsidR="00A92CA5" w:rsidRPr="00F5054F" w:rsidRDefault="00A92CA5" w:rsidP="008B0605">
      <w:pPr>
        <w:rPr>
          <w:sz w:val="22"/>
          <w:szCs w:val="22"/>
        </w:rPr>
      </w:pPr>
    </w:p>
    <w:p w14:paraId="1A074BB2" w14:textId="4DE0F173" w:rsidR="002B4466" w:rsidRPr="00F5054F" w:rsidRDefault="004151C9" w:rsidP="00AF0788">
      <w:pPr>
        <w:pStyle w:val="Prrafodelista"/>
        <w:numPr>
          <w:ilvl w:val="0"/>
          <w:numId w:val="0"/>
        </w:numPr>
        <w:rPr>
          <w:lang w:val="es-ES"/>
        </w:rPr>
      </w:pPr>
      <w:r w:rsidRPr="00F5054F">
        <w:rPr>
          <w:lang w:val="es-ES"/>
        </w:rPr>
        <w:t>Mediante escrito radicado e</w:t>
      </w:r>
      <w:r w:rsidR="007055B2" w:rsidRPr="00F5054F">
        <w:rPr>
          <w:lang w:val="es-ES"/>
        </w:rPr>
        <w:t xml:space="preserve">l </w:t>
      </w:r>
      <w:bookmarkStart w:id="1" w:name="_Hlk76573001"/>
      <w:r w:rsidR="001333E3" w:rsidRPr="00F5054F">
        <w:rPr>
          <w:lang w:val="es-ES"/>
        </w:rPr>
        <w:t>1º de septiembre de 2010</w:t>
      </w:r>
      <w:r w:rsidR="00B84AED" w:rsidRPr="00F5054F">
        <w:rPr>
          <w:lang w:val="es-ES"/>
        </w:rPr>
        <w:t xml:space="preserve"> </w:t>
      </w:r>
      <w:r w:rsidR="00EF28BA" w:rsidRPr="00F5054F">
        <w:rPr>
          <w:lang w:val="es-ES"/>
        </w:rPr>
        <w:t xml:space="preserve">(fl. </w:t>
      </w:r>
      <w:r w:rsidR="001333E3" w:rsidRPr="00F5054F">
        <w:rPr>
          <w:lang w:val="es-ES"/>
        </w:rPr>
        <w:t>10</w:t>
      </w:r>
      <w:r w:rsidR="00EF28BA" w:rsidRPr="00F5054F">
        <w:rPr>
          <w:lang w:val="es-ES"/>
        </w:rPr>
        <w:t xml:space="preserve"> cdno. </w:t>
      </w:r>
      <w:r w:rsidR="001333E3" w:rsidRPr="00F5054F">
        <w:rPr>
          <w:lang w:val="es-ES"/>
        </w:rPr>
        <w:t>ppal.</w:t>
      </w:r>
      <w:r w:rsidR="00EF28BA" w:rsidRPr="00F5054F">
        <w:rPr>
          <w:lang w:val="es-ES"/>
        </w:rPr>
        <w:t xml:space="preserve">) </w:t>
      </w:r>
      <w:r w:rsidR="00B84AED" w:rsidRPr="00F5054F">
        <w:rPr>
          <w:lang w:val="es-ES"/>
        </w:rPr>
        <w:t xml:space="preserve">en la </w:t>
      </w:r>
      <w:r w:rsidR="004B5E27" w:rsidRPr="00F5054F">
        <w:rPr>
          <w:lang w:val="es-ES"/>
        </w:rPr>
        <w:t xml:space="preserve">Secretaría </w:t>
      </w:r>
      <w:r w:rsidR="00B84AED" w:rsidRPr="00F5054F">
        <w:rPr>
          <w:lang w:val="es-ES"/>
        </w:rPr>
        <w:t xml:space="preserve">del Tribunal Administrativo </w:t>
      </w:r>
      <w:bookmarkEnd w:id="1"/>
      <w:r w:rsidR="001333E3" w:rsidRPr="00F5054F">
        <w:rPr>
          <w:lang w:val="es-ES"/>
        </w:rPr>
        <w:t>del Magdalena la Asociación Colombiana de Ingeniería Sanitaria y Ambiental (ACODAL)</w:t>
      </w:r>
      <w:r w:rsidR="00B503DB" w:rsidRPr="00F5054F">
        <w:rPr>
          <w:lang w:val="es-ES"/>
        </w:rPr>
        <w:t xml:space="preserve"> </w:t>
      </w:r>
      <w:r w:rsidR="00B84AED" w:rsidRPr="00F5054F">
        <w:rPr>
          <w:lang w:val="es-ES"/>
        </w:rPr>
        <w:t xml:space="preserve">por intermedio de apoderado judicial </w:t>
      </w:r>
      <w:r w:rsidR="004B5E27" w:rsidRPr="00F5054F">
        <w:rPr>
          <w:lang w:val="es-ES"/>
        </w:rPr>
        <w:t>present</w:t>
      </w:r>
      <w:r w:rsidR="001333E3" w:rsidRPr="00F5054F">
        <w:rPr>
          <w:lang w:val="es-ES"/>
        </w:rPr>
        <w:t>ó</w:t>
      </w:r>
      <w:r w:rsidR="00B84AED" w:rsidRPr="00F5054F">
        <w:rPr>
          <w:lang w:val="es-ES"/>
        </w:rPr>
        <w:t xml:space="preserve"> demanda </w:t>
      </w:r>
      <w:r w:rsidR="007055B2" w:rsidRPr="00F5054F">
        <w:rPr>
          <w:lang w:val="es-ES"/>
        </w:rPr>
        <w:t xml:space="preserve">en ejercicio de la acción de </w:t>
      </w:r>
      <w:r w:rsidR="00B503DB" w:rsidRPr="00F5054F">
        <w:rPr>
          <w:lang w:val="es-ES"/>
        </w:rPr>
        <w:t>controversias contractuales</w:t>
      </w:r>
      <w:r w:rsidR="00D621B3" w:rsidRPr="00F5054F">
        <w:rPr>
          <w:lang w:val="es-ES"/>
        </w:rPr>
        <w:t xml:space="preserve"> </w:t>
      </w:r>
      <w:r w:rsidR="00B84AED" w:rsidRPr="00F5054F">
        <w:rPr>
          <w:lang w:val="es-ES"/>
        </w:rPr>
        <w:t>consagrada en el artículo 87 del Código Contencioso Administrativo (CCA)</w:t>
      </w:r>
      <w:r w:rsidR="001064E0" w:rsidRPr="00F5054F">
        <w:rPr>
          <w:lang w:val="es-ES"/>
        </w:rPr>
        <w:t xml:space="preserve"> (fls. </w:t>
      </w:r>
      <w:r w:rsidR="001333E3" w:rsidRPr="00F5054F">
        <w:rPr>
          <w:lang w:val="es-ES"/>
        </w:rPr>
        <w:t>1 a 10</w:t>
      </w:r>
      <w:r w:rsidR="001064E0" w:rsidRPr="00F5054F">
        <w:rPr>
          <w:lang w:val="es-ES"/>
        </w:rPr>
        <w:t xml:space="preserve"> c</w:t>
      </w:r>
      <w:r w:rsidR="00275B93" w:rsidRPr="00F5054F">
        <w:rPr>
          <w:lang w:val="es-ES"/>
        </w:rPr>
        <w:t>dno</w:t>
      </w:r>
      <w:r w:rsidR="001064E0" w:rsidRPr="00F5054F">
        <w:rPr>
          <w:lang w:val="es-ES"/>
        </w:rPr>
        <w:t xml:space="preserve">. </w:t>
      </w:r>
      <w:r w:rsidR="001333E3" w:rsidRPr="00F5054F">
        <w:rPr>
          <w:lang w:val="es-ES"/>
        </w:rPr>
        <w:t>ppal.</w:t>
      </w:r>
      <w:r w:rsidR="001064E0" w:rsidRPr="00F5054F">
        <w:rPr>
          <w:lang w:val="es-ES"/>
        </w:rPr>
        <w:t>)</w:t>
      </w:r>
      <w:r w:rsidR="00A77BBC" w:rsidRPr="00F5054F">
        <w:rPr>
          <w:lang w:val="es-ES"/>
        </w:rPr>
        <w:t xml:space="preserve"> </w:t>
      </w:r>
      <w:r w:rsidR="001064E0" w:rsidRPr="00F5054F">
        <w:rPr>
          <w:lang w:val="es-ES"/>
        </w:rPr>
        <w:t>con las siguientes súplicas:</w:t>
      </w:r>
    </w:p>
    <w:p w14:paraId="4EBA97E8" w14:textId="67627D3D" w:rsidR="008C4A19" w:rsidRPr="00F5054F" w:rsidRDefault="008C4A19" w:rsidP="00FD37D1">
      <w:pPr>
        <w:spacing w:line="240" w:lineRule="auto"/>
        <w:rPr>
          <w:sz w:val="28"/>
          <w:szCs w:val="28"/>
        </w:rPr>
      </w:pPr>
    </w:p>
    <w:p w14:paraId="268A82C6" w14:textId="38A49C73" w:rsidR="001333E3" w:rsidRPr="00F5054F" w:rsidRDefault="001064E0" w:rsidP="001333E3">
      <w:pPr>
        <w:pStyle w:val="Cita"/>
        <w:rPr>
          <w:lang w:val="es-ES"/>
        </w:rPr>
      </w:pPr>
      <w:r w:rsidRPr="00F5054F">
        <w:rPr>
          <w:lang w:val="es-ES"/>
        </w:rPr>
        <w:t>“</w:t>
      </w:r>
      <w:r w:rsidR="001333E3" w:rsidRPr="00F5054F">
        <w:rPr>
          <w:lang w:val="es-ES"/>
        </w:rPr>
        <w:t>1) Que entre el municipio de Aracataca y ACODAL existe un contrato de consultoría, bajo el cual ACODAL elaboró para el municipio de Aracataca, los diseños de la bocatoma, del desarenador, de la aducción, de la planta de tratamiento de agua potable y del tanque de almacenamiento, para el proyecto del ‘Nuevo Acueducto del municipio de Aracataca’, y realizó la gerencia e interventoría de la construcción de la bocatoma, del desarenador, de la planta de tratamiento de agua potable y del tanque de almacenamiento, incluidos dentro del mismo proyecto.</w:t>
      </w:r>
    </w:p>
    <w:p w14:paraId="2AC7BAFA" w14:textId="77777777" w:rsidR="001333E3" w:rsidRPr="00F5054F" w:rsidRDefault="001333E3" w:rsidP="001333E3">
      <w:pPr>
        <w:pStyle w:val="Cita"/>
        <w:rPr>
          <w:sz w:val="24"/>
          <w:szCs w:val="24"/>
          <w:lang w:val="es-ES"/>
        </w:rPr>
      </w:pPr>
    </w:p>
    <w:p w14:paraId="4B5CC284" w14:textId="77777777" w:rsidR="001333E3" w:rsidRPr="00F5054F" w:rsidRDefault="001333E3" w:rsidP="001333E3">
      <w:pPr>
        <w:pStyle w:val="Cita"/>
        <w:rPr>
          <w:lang w:val="es-ES"/>
        </w:rPr>
      </w:pPr>
      <w:r w:rsidRPr="00F5054F">
        <w:rPr>
          <w:lang w:val="es-ES"/>
        </w:rPr>
        <w:t>2) Que el municipio de Aracataca incumplió el contrato.</w:t>
      </w:r>
    </w:p>
    <w:p w14:paraId="409F168C" w14:textId="77777777" w:rsidR="001333E3" w:rsidRPr="00F5054F" w:rsidRDefault="001333E3" w:rsidP="001333E3">
      <w:pPr>
        <w:pStyle w:val="Cita"/>
        <w:rPr>
          <w:sz w:val="24"/>
          <w:szCs w:val="24"/>
          <w:lang w:val="es-ES"/>
        </w:rPr>
      </w:pPr>
    </w:p>
    <w:p w14:paraId="3230D579" w14:textId="77777777" w:rsidR="001333E3" w:rsidRPr="00F5054F" w:rsidRDefault="001333E3" w:rsidP="001333E3">
      <w:pPr>
        <w:pStyle w:val="Cita"/>
        <w:rPr>
          <w:lang w:val="es-ES"/>
        </w:rPr>
      </w:pPr>
      <w:r w:rsidRPr="00F5054F">
        <w:rPr>
          <w:lang w:val="es-ES"/>
        </w:rPr>
        <w:t>3) Que declare la terminación y ordene la liquidación del contrato existente entre el municipio de Aracataca y ACODAL.</w:t>
      </w:r>
    </w:p>
    <w:p w14:paraId="167A49EB" w14:textId="77777777" w:rsidR="001333E3" w:rsidRPr="00F5054F" w:rsidRDefault="001333E3" w:rsidP="001333E3">
      <w:pPr>
        <w:pStyle w:val="Cita"/>
        <w:rPr>
          <w:sz w:val="24"/>
          <w:szCs w:val="24"/>
          <w:lang w:val="es-ES"/>
        </w:rPr>
      </w:pPr>
    </w:p>
    <w:p w14:paraId="6C72705E" w14:textId="5FD0FC70" w:rsidR="001333E3" w:rsidRPr="00F5054F" w:rsidRDefault="001333E3" w:rsidP="001333E3">
      <w:pPr>
        <w:pStyle w:val="Cita"/>
        <w:rPr>
          <w:lang w:val="es-ES"/>
        </w:rPr>
      </w:pPr>
      <w:r w:rsidRPr="00F5054F">
        <w:rPr>
          <w:lang w:val="es-ES"/>
        </w:rPr>
        <w:t>4) Que ordene al municipio de Aracataca pagar el saldo adeudado a ACODAL, cuya obligación nació en virtud de la consultoría realizada por esta última referente a los diseños de la bocatoma, del desarenador, de la aducción, de la planta de tratamiento de agua potable y del tanque de almacenamiento, para el proyecto ‘Nuevo Acueducto del municipio de Aracataca’, y de la gerencia e interventoría de la construcción de la bocatoma, del desarenador, de la planta de tratamiento de agua potable y del tanque de almacenamiento, incluidos dentro del mismo proyecto.</w:t>
      </w:r>
    </w:p>
    <w:p w14:paraId="7D4DC898" w14:textId="77777777" w:rsidR="001333E3" w:rsidRPr="00F5054F" w:rsidRDefault="001333E3" w:rsidP="001333E3">
      <w:pPr>
        <w:pStyle w:val="Cita"/>
        <w:rPr>
          <w:sz w:val="24"/>
          <w:szCs w:val="24"/>
          <w:lang w:val="es-ES"/>
        </w:rPr>
      </w:pPr>
    </w:p>
    <w:p w14:paraId="2C157890" w14:textId="77777777" w:rsidR="001333E3" w:rsidRPr="00F5054F" w:rsidRDefault="001333E3" w:rsidP="001333E3">
      <w:pPr>
        <w:pStyle w:val="Cita"/>
        <w:rPr>
          <w:lang w:val="es-ES"/>
        </w:rPr>
      </w:pPr>
      <w:r w:rsidRPr="00F5054F">
        <w:rPr>
          <w:lang w:val="es-ES"/>
        </w:rPr>
        <w:t>5) Condenar al municipio de Aracataca al pago de los intereses de ley a favor de ACODAL.</w:t>
      </w:r>
    </w:p>
    <w:p w14:paraId="4EBF0434" w14:textId="77777777" w:rsidR="001333E3" w:rsidRPr="00F5054F" w:rsidRDefault="001333E3" w:rsidP="001333E3">
      <w:pPr>
        <w:pStyle w:val="Cita"/>
        <w:rPr>
          <w:sz w:val="24"/>
          <w:szCs w:val="24"/>
          <w:lang w:val="es-ES"/>
        </w:rPr>
      </w:pPr>
    </w:p>
    <w:p w14:paraId="159B0F4B" w14:textId="4AD51C5E" w:rsidR="006912EE" w:rsidRPr="00F5054F" w:rsidRDefault="001333E3" w:rsidP="001333E3">
      <w:pPr>
        <w:pStyle w:val="Cita"/>
        <w:rPr>
          <w:lang w:val="es-ES"/>
        </w:rPr>
      </w:pPr>
      <w:r w:rsidRPr="00F5054F">
        <w:rPr>
          <w:lang w:val="es-ES"/>
        </w:rPr>
        <w:t>6) Condenar al municipio de Aracataca a pagar las costas del proceso</w:t>
      </w:r>
      <w:r w:rsidR="0024790C" w:rsidRPr="00F5054F">
        <w:rPr>
          <w:lang w:val="es-ES"/>
        </w:rPr>
        <w:t>.</w:t>
      </w:r>
      <w:r w:rsidR="001064E0" w:rsidRPr="00F5054F">
        <w:rPr>
          <w:lang w:val="es-ES"/>
        </w:rPr>
        <w:t xml:space="preserve">” </w:t>
      </w:r>
      <w:r w:rsidR="001064E0" w:rsidRPr="00F5054F">
        <w:rPr>
          <w:i w:val="0"/>
          <w:iCs w:val="0"/>
          <w:lang w:val="es-ES"/>
        </w:rPr>
        <w:t xml:space="preserve">(fls. </w:t>
      </w:r>
      <w:r w:rsidR="00275B93" w:rsidRPr="00F5054F">
        <w:rPr>
          <w:i w:val="0"/>
          <w:iCs w:val="0"/>
          <w:lang w:val="es-ES"/>
        </w:rPr>
        <w:t>1 y 2</w:t>
      </w:r>
      <w:r w:rsidR="0086476E" w:rsidRPr="00F5054F">
        <w:rPr>
          <w:i w:val="0"/>
          <w:iCs w:val="0"/>
          <w:lang w:val="es-ES"/>
        </w:rPr>
        <w:t xml:space="preserve"> </w:t>
      </w:r>
      <w:r w:rsidR="001064E0" w:rsidRPr="00F5054F">
        <w:rPr>
          <w:i w:val="0"/>
          <w:iCs w:val="0"/>
          <w:lang w:val="es-ES"/>
        </w:rPr>
        <w:t xml:space="preserve">cdno. ppal. </w:t>
      </w:r>
      <w:r w:rsidR="00275B93" w:rsidRPr="00F5054F">
        <w:rPr>
          <w:i w:val="0"/>
          <w:iCs w:val="0"/>
          <w:lang w:val="es-ES"/>
        </w:rPr>
        <w:t>-</w:t>
      </w:r>
      <w:r w:rsidR="001064E0" w:rsidRPr="00F5054F">
        <w:rPr>
          <w:i w:val="0"/>
          <w:iCs w:val="0"/>
          <w:lang w:val="es-ES"/>
        </w:rPr>
        <w:t xml:space="preserve"> mayúsculas</w:t>
      </w:r>
      <w:r w:rsidR="00275B93" w:rsidRPr="00F5054F">
        <w:rPr>
          <w:i w:val="0"/>
          <w:iCs w:val="0"/>
          <w:lang w:val="es-ES"/>
        </w:rPr>
        <w:t xml:space="preserve"> </w:t>
      </w:r>
      <w:r w:rsidR="0024790C" w:rsidRPr="00F5054F">
        <w:rPr>
          <w:i w:val="0"/>
          <w:iCs w:val="0"/>
          <w:lang w:val="es-ES"/>
        </w:rPr>
        <w:t xml:space="preserve">sostenidas </w:t>
      </w:r>
      <w:r w:rsidR="001064E0" w:rsidRPr="00F5054F">
        <w:rPr>
          <w:i w:val="0"/>
          <w:iCs w:val="0"/>
          <w:lang w:val="es-ES"/>
        </w:rPr>
        <w:t>del texto original).</w:t>
      </w:r>
    </w:p>
    <w:p w14:paraId="233DF705" w14:textId="77777777" w:rsidR="006912EE" w:rsidRPr="00F5054F" w:rsidRDefault="006912EE" w:rsidP="008C4A19">
      <w:pPr>
        <w:rPr>
          <w:sz w:val="28"/>
          <w:szCs w:val="28"/>
        </w:rPr>
      </w:pPr>
    </w:p>
    <w:p w14:paraId="24EFAFED" w14:textId="0B87AAFF" w:rsidR="009002C5" w:rsidRPr="00F5054F" w:rsidRDefault="00776DC0" w:rsidP="002375BD">
      <w:pPr>
        <w:pStyle w:val="Ttulo2"/>
      </w:pPr>
      <w:r w:rsidRPr="00F5054F">
        <w:lastRenderedPageBreak/>
        <w:t>H</w:t>
      </w:r>
      <w:r w:rsidR="00DE656E" w:rsidRPr="00F5054F">
        <w:t>echos</w:t>
      </w:r>
    </w:p>
    <w:p w14:paraId="202043D4" w14:textId="36829CED" w:rsidR="00DE656E" w:rsidRPr="00F5054F" w:rsidRDefault="00DE656E" w:rsidP="00DE656E">
      <w:pPr>
        <w:rPr>
          <w:sz w:val="20"/>
          <w:szCs w:val="20"/>
        </w:rPr>
      </w:pPr>
    </w:p>
    <w:p w14:paraId="4BCAF69B" w14:textId="29D57680" w:rsidR="002375BD" w:rsidRPr="00F5054F" w:rsidRDefault="002375BD" w:rsidP="00DE656E">
      <w:r w:rsidRPr="00F5054F">
        <w:t>Como fundamento fáctico de las pretensiones la parte demandante expuso</w:t>
      </w:r>
      <w:r w:rsidR="0024790C" w:rsidRPr="00F5054F">
        <w:t>, en síntesis,</w:t>
      </w:r>
      <w:r w:rsidRPr="00F5054F">
        <w:t xml:space="preserve"> lo siguiente:</w:t>
      </w:r>
    </w:p>
    <w:p w14:paraId="35AED285" w14:textId="77777777" w:rsidR="002375BD" w:rsidRPr="00F5054F" w:rsidRDefault="002375BD" w:rsidP="00DE656E"/>
    <w:p w14:paraId="1203196F" w14:textId="6FF6590B" w:rsidR="00275B93" w:rsidRPr="00F5054F" w:rsidRDefault="00275B93" w:rsidP="00723410">
      <w:pPr>
        <w:pStyle w:val="Prrafodelista"/>
        <w:rPr>
          <w:lang w:val="es-ES"/>
        </w:rPr>
      </w:pPr>
      <w:r w:rsidRPr="00F5054F">
        <w:rPr>
          <w:lang w:val="es-ES"/>
        </w:rPr>
        <w:t>El 30 de julio de 2005</w:t>
      </w:r>
      <w:r w:rsidR="00767814" w:rsidRPr="00F5054F">
        <w:rPr>
          <w:lang w:val="es-ES"/>
        </w:rPr>
        <w:t xml:space="preserve"> </w:t>
      </w:r>
      <w:r w:rsidR="00723410" w:rsidRPr="00F5054F">
        <w:rPr>
          <w:lang w:val="es-ES"/>
        </w:rPr>
        <w:t>las partes suscribieron un convenio</w:t>
      </w:r>
      <w:r w:rsidR="00DC48AF" w:rsidRPr="00F5054F">
        <w:rPr>
          <w:lang w:val="es-ES"/>
        </w:rPr>
        <w:t xml:space="preserve"> de cooperación</w:t>
      </w:r>
      <w:r w:rsidR="00723410" w:rsidRPr="00F5054F">
        <w:rPr>
          <w:lang w:val="es-ES"/>
        </w:rPr>
        <w:t xml:space="preserve"> para encontrar la solución definitiva a la problemática de abastecimiento de agua potable en el municipio y para ello el demandante </w:t>
      </w:r>
      <w:r w:rsidRPr="00F5054F">
        <w:rPr>
          <w:lang w:val="es-ES"/>
        </w:rPr>
        <w:t>desarrolló tres actividades: elaboración de diseños, gerencia del proyecto e interventoría provisional.</w:t>
      </w:r>
    </w:p>
    <w:p w14:paraId="1BF373DE" w14:textId="77777777" w:rsidR="00275B93" w:rsidRPr="00F5054F" w:rsidRDefault="00275B93" w:rsidP="00275B93"/>
    <w:p w14:paraId="65B0DC7E" w14:textId="58C2FD72" w:rsidR="00275B93" w:rsidRPr="00F5054F" w:rsidRDefault="00275B93" w:rsidP="00275B93">
      <w:pPr>
        <w:pStyle w:val="Prrafodelista"/>
        <w:rPr>
          <w:lang w:val="es-ES"/>
        </w:rPr>
      </w:pPr>
      <w:r w:rsidRPr="00F5054F">
        <w:rPr>
          <w:lang w:val="es-ES"/>
        </w:rPr>
        <w:t xml:space="preserve">Por la primera, </w:t>
      </w:r>
      <w:r w:rsidR="00146725" w:rsidRPr="00F5054F">
        <w:rPr>
          <w:lang w:val="es-ES"/>
        </w:rPr>
        <w:t>diseñó</w:t>
      </w:r>
      <w:r w:rsidRPr="00F5054F">
        <w:rPr>
          <w:lang w:val="es-ES"/>
        </w:rPr>
        <w:t xml:space="preserve">, </w:t>
      </w:r>
      <w:r w:rsidR="00146725" w:rsidRPr="00F5054F">
        <w:rPr>
          <w:lang w:val="es-ES"/>
        </w:rPr>
        <w:t xml:space="preserve">elaboró las </w:t>
      </w:r>
      <w:r w:rsidRPr="00F5054F">
        <w:rPr>
          <w:lang w:val="es-ES"/>
        </w:rPr>
        <w:t xml:space="preserve">memorias y </w:t>
      </w:r>
      <w:r w:rsidR="00146725" w:rsidRPr="00F5054F">
        <w:rPr>
          <w:lang w:val="es-ES"/>
        </w:rPr>
        <w:t xml:space="preserve">dibujó los </w:t>
      </w:r>
      <w:r w:rsidRPr="00F5054F">
        <w:rPr>
          <w:lang w:val="es-ES"/>
        </w:rPr>
        <w:t>planos finales de las principales estructuras del sistema municipal de acueducto</w:t>
      </w:r>
      <w:r w:rsidR="000A74E7" w:rsidRPr="00F5054F">
        <w:rPr>
          <w:lang w:val="es-ES"/>
        </w:rPr>
        <w:t xml:space="preserve"> (</w:t>
      </w:r>
      <w:r w:rsidRPr="00F5054F">
        <w:rPr>
          <w:lang w:val="es-ES"/>
        </w:rPr>
        <w:t>estructura de captación y desarenados, planta de tratamiento, tanque de almacenamiento y línea de aducción</w:t>
      </w:r>
      <w:r w:rsidR="007A3D5E" w:rsidRPr="00F5054F">
        <w:rPr>
          <w:lang w:val="es-ES"/>
        </w:rPr>
        <w:t>)</w:t>
      </w:r>
      <w:r w:rsidR="00767814" w:rsidRPr="00F5054F">
        <w:rPr>
          <w:lang w:val="es-ES"/>
        </w:rPr>
        <w:t>,</w:t>
      </w:r>
      <w:r w:rsidR="007A3D5E" w:rsidRPr="00F5054F">
        <w:rPr>
          <w:lang w:val="es-ES"/>
        </w:rPr>
        <w:t xml:space="preserve"> y diseñó </w:t>
      </w:r>
      <w:r w:rsidRPr="00F5054F">
        <w:rPr>
          <w:lang w:val="es-ES"/>
        </w:rPr>
        <w:t>el sistema de abastecimiento de agua potable para los corregimientos de Buenos Aires y Sampués.</w:t>
      </w:r>
    </w:p>
    <w:p w14:paraId="4D07CD9A" w14:textId="77777777" w:rsidR="00275B93" w:rsidRPr="00F5054F" w:rsidRDefault="00275B93" w:rsidP="00275B93"/>
    <w:p w14:paraId="3F676224" w14:textId="46DB6A99" w:rsidR="00275B93" w:rsidRPr="00F5054F" w:rsidRDefault="00275B93" w:rsidP="00275B93">
      <w:pPr>
        <w:pStyle w:val="Prrafodelista"/>
        <w:rPr>
          <w:lang w:val="es-ES"/>
        </w:rPr>
      </w:pPr>
      <w:r w:rsidRPr="00F5054F">
        <w:rPr>
          <w:lang w:val="es-ES"/>
        </w:rPr>
        <w:t xml:space="preserve">Por la segunda, gestionó el proyecto y entregó el informe final de gerencia donde </w:t>
      </w:r>
      <w:r w:rsidR="007A3D5E" w:rsidRPr="00F5054F">
        <w:rPr>
          <w:lang w:val="es-ES"/>
        </w:rPr>
        <w:t xml:space="preserve">consignó </w:t>
      </w:r>
      <w:r w:rsidRPr="00F5054F">
        <w:rPr>
          <w:lang w:val="es-ES"/>
        </w:rPr>
        <w:t>todas las actividades hechas por este concepto</w:t>
      </w:r>
      <w:r w:rsidR="007A3D5E" w:rsidRPr="00F5054F">
        <w:rPr>
          <w:lang w:val="es-ES"/>
        </w:rPr>
        <w:t>, pero e</w:t>
      </w:r>
      <w:r w:rsidRPr="00F5054F">
        <w:rPr>
          <w:lang w:val="es-ES"/>
        </w:rPr>
        <w:t xml:space="preserve">l municipio </w:t>
      </w:r>
      <w:r w:rsidR="00B023B6" w:rsidRPr="00F5054F">
        <w:rPr>
          <w:lang w:val="es-ES"/>
        </w:rPr>
        <w:t>no pagó</w:t>
      </w:r>
      <w:r w:rsidR="00072289" w:rsidRPr="00F5054F">
        <w:rPr>
          <w:lang w:val="es-ES"/>
        </w:rPr>
        <w:t xml:space="preserve"> </w:t>
      </w:r>
      <w:r w:rsidR="00146725" w:rsidRPr="00F5054F">
        <w:rPr>
          <w:lang w:val="es-ES"/>
        </w:rPr>
        <w:t xml:space="preserve">los </w:t>
      </w:r>
      <w:r w:rsidRPr="00F5054F">
        <w:rPr>
          <w:lang w:val="es-ES"/>
        </w:rPr>
        <w:t>$351.777.758</w:t>
      </w:r>
      <w:r w:rsidR="00146725" w:rsidRPr="00F5054F">
        <w:rPr>
          <w:lang w:val="es-ES"/>
        </w:rPr>
        <w:t xml:space="preserve"> a que se había comprometido</w:t>
      </w:r>
      <w:r w:rsidRPr="00F5054F">
        <w:rPr>
          <w:lang w:val="es-ES"/>
        </w:rPr>
        <w:t>.</w:t>
      </w:r>
    </w:p>
    <w:p w14:paraId="7C2CC6B5" w14:textId="77777777" w:rsidR="00275B93" w:rsidRPr="00F5054F" w:rsidRDefault="00275B93" w:rsidP="00275B93">
      <w:pPr>
        <w:rPr>
          <w:sz w:val="20"/>
          <w:szCs w:val="20"/>
        </w:rPr>
      </w:pPr>
    </w:p>
    <w:p w14:paraId="58306829" w14:textId="2F46325E" w:rsidR="003B7517" w:rsidRPr="00F5054F" w:rsidRDefault="00275B93" w:rsidP="00275B93">
      <w:pPr>
        <w:pStyle w:val="Prrafodelista"/>
        <w:rPr>
          <w:lang w:val="es-ES"/>
        </w:rPr>
      </w:pPr>
      <w:r w:rsidRPr="00F5054F">
        <w:rPr>
          <w:lang w:val="es-ES"/>
        </w:rPr>
        <w:t>Por la tercera, ejerció labores de interventoría</w:t>
      </w:r>
      <w:r w:rsidR="00B023B6" w:rsidRPr="00F5054F">
        <w:rPr>
          <w:lang w:val="es-ES"/>
        </w:rPr>
        <w:t xml:space="preserve"> provisional, mientras se escogía la definitiva, </w:t>
      </w:r>
      <w:r w:rsidRPr="00F5054F">
        <w:rPr>
          <w:lang w:val="es-ES"/>
        </w:rPr>
        <w:t>en la construcción de</w:t>
      </w:r>
      <w:r w:rsidR="00B023B6" w:rsidRPr="00F5054F">
        <w:rPr>
          <w:lang w:val="es-ES"/>
        </w:rPr>
        <w:t xml:space="preserve"> la </w:t>
      </w:r>
      <w:r w:rsidR="00DE143E" w:rsidRPr="00F5054F">
        <w:rPr>
          <w:lang w:val="es-ES"/>
        </w:rPr>
        <w:t xml:space="preserve">planta de tratamiento </w:t>
      </w:r>
      <w:r w:rsidR="00B023B6" w:rsidRPr="00F5054F">
        <w:rPr>
          <w:lang w:val="es-ES"/>
        </w:rPr>
        <w:t>del municipio</w:t>
      </w:r>
      <w:r w:rsidR="00DE143E" w:rsidRPr="00F5054F">
        <w:rPr>
          <w:lang w:val="es-ES"/>
        </w:rPr>
        <w:t xml:space="preserve">, aunque nunca le pagaron los </w:t>
      </w:r>
      <w:r w:rsidRPr="00F5054F">
        <w:rPr>
          <w:lang w:val="es-ES"/>
        </w:rPr>
        <w:t>$90.401.700 por est</w:t>
      </w:r>
      <w:r w:rsidR="00DE143E" w:rsidRPr="00F5054F">
        <w:rPr>
          <w:lang w:val="es-ES"/>
        </w:rPr>
        <w:t>a</w:t>
      </w:r>
      <w:r w:rsidRPr="00F5054F">
        <w:rPr>
          <w:lang w:val="es-ES"/>
        </w:rPr>
        <w:t xml:space="preserve"> </w:t>
      </w:r>
      <w:r w:rsidR="00DE143E" w:rsidRPr="00F5054F">
        <w:rPr>
          <w:lang w:val="es-ES"/>
        </w:rPr>
        <w:t>labor</w:t>
      </w:r>
      <w:r w:rsidRPr="00F5054F">
        <w:rPr>
          <w:lang w:val="es-ES"/>
        </w:rPr>
        <w:t>.</w:t>
      </w:r>
    </w:p>
    <w:p w14:paraId="68A4C6F6" w14:textId="77777777" w:rsidR="000E35D1" w:rsidRPr="00F5054F" w:rsidRDefault="000E35D1" w:rsidP="00914920">
      <w:pPr>
        <w:rPr>
          <w:sz w:val="20"/>
          <w:szCs w:val="20"/>
        </w:rPr>
      </w:pPr>
    </w:p>
    <w:p w14:paraId="086300D4" w14:textId="3E8989F4" w:rsidR="00B12369" w:rsidRPr="00F5054F" w:rsidRDefault="00776DC0" w:rsidP="00B12369">
      <w:pPr>
        <w:pStyle w:val="Ttulo2"/>
      </w:pPr>
      <w:r w:rsidRPr="00F5054F">
        <w:t>C</w:t>
      </w:r>
      <w:r w:rsidR="00AD43E6" w:rsidRPr="00F5054F">
        <w:t>ontestación de la demanda</w:t>
      </w:r>
      <w:r w:rsidR="00CA67B8" w:rsidRPr="00F5054F">
        <w:t xml:space="preserve"> por parte del </w:t>
      </w:r>
      <w:r w:rsidR="00EF2BE5" w:rsidRPr="00F5054F">
        <w:t>municipio de Aracataca</w:t>
      </w:r>
    </w:p>
    <w:p w14:paraId="59237259" w14:textId="77777777" w:rsidR="00B12369" w:rsidRPr="00F5054F" w:rsidRDefault="00B12369" w:rsidP="000B6812">
      <w:pPr>
        <w:rPr>
          <w:sz w:val="20"/>
          <w:szCs w:val="20"/>
        </w:rPr>
      </w:pPr>
    </w:p>
    <w:p w14:paraId="69C9FBCC" w14:textId="3C588593" w:rsidR="00127A50" w:rsidRPr="00F5054F" w:rsidRDefault="00CA67B8" w:rsidP="00034D57">
      <w:r w:rsidRPr="00F5054F">
        <w:t xml:space="preserve">Mediante escrito radicado el </w:t>
      </w:r>
      <w:r w:rsidR="00EF2BE5" w:rsidRPr="00F5054F">
        <w:t>29 de noviembre</w:t>
      </w:r>
      <w:r w:rsidR="00BE71E8" w:rsidRPr="00F5054F">
        <w:t xml:space="preserve"> </w:t>
      </w:r>
      <w:r w:rsidR="00540E63" w:rsidRPr="00F5054F">
        <w:t xml:space="preserve">de 2010 </w:t>
      </w:r>
      <w:r w:rsidRPr="00F5054F">
        <w:t xml:space="preserve">ante la </w:t>
      </w:r>
      <w:r w:rsidR="00C519C9" w:rsidRPr="00F5054F">
        <w:t xml:space="preserve">Secretaría </w:t>
      </w:r>
      <w:r w:rsidRPr="00F5054F">
        <w:t>del Tribunal Administrativo de</w:t>
      </w:r>
      <w:r w:rsidR="00EF2BE5" w:rsidRPr="00F5054F">
        <w:t xml:space="preserve">l Magdalena </w:t>
      </w:r>
      <w:r w:rsidRPr="00F5054F">
        <w:t>e</w:t>
      </w:r>
      <w:r w:rsidR="00AD43E6" w:rsidRPr="00F5054F">
        <w:t xml:space="preserve">l </w:t>
      </w:r>
      <w:r w:rsidR="00EF2BE5" w:rsidRPr="00F5054F">
        <w:t xml:space="preserve">municipio </w:t>
      </w:r>
      <w:r w:rsidRPr="00F5054F">
        <w:t>contestó la demanda</w:t>
      </w:r>
      <w:r w:rsidR="008E0054" w:rsidRPr="00F5054F">
        <w:t xml:space="preserve"> </w:t>
      </w:r>
      <w:r w:rsidR="00BE71E8" w:rsidRPr="00F5054F">
        <w:t xml:space="preserve">(fls. </w:t>
      </w:r>
      <w:r w:rsidR="00EF2BE5" w:rsidRPr="00F5054F">
        <w:t>140 a 146</w:t>
      </w:r>
      <w:r w:rsidR="00BE71E8" w:rsidRPr="00F5054F">
        <w:t xml:space="preserve"> cdno. </w:t>
      </w:r>
      <w:r w:rsidR="00EF2BE5" w:rsidRPr="00F5054F">
        <w:t>ppal.</w:t>
      </w:r>
      <w:r w:rsidR="00BE71E8" w:rsidRPr="00F5054F">
        <w:t>)</w:t>
      </w:r>
      <w:r w:rsidR="00BF12C9" w:rsidRPr="00F5054F">
        <w:t xml:space="preserve">, actuación en la que </w:t>
      </w:r>
      <w:r w:rsidR="00FD00CC" w:rsidRPr="00F5054F">
        <w:t xml:space="preserve">aclaró que </w:t>
      </w:r>
      <w:r w:rsidR="00034D57" w:rsidRPr="00F5054F">
        <w:t>nunca</w:t>
      </w:r>
      <w:r w:rsidR="00FD00CC" w:rsidRPr="00F5054F">
        <w:t xml:space="preserve"> recibió a satisfacción l</w:t>
      </w:r>
      <w:r w:rsidR="00034D57" w:rsidRPr="00F5054F">
        <w:t>o ejecutado por el actor.</w:t>
      </w:r>
    </w:p>
    <w:p w14:paraId="129CEF22" w14:textId="77777777" w:rsidR="00AF0788" w:rsidRPr="00F5054F" w:rsidRDefault="00AF0788" w:rsidP="00AF0788">
      <w:pPr>
        <w:rPr>
          <w:sz w:val="20"/>
          <w:szCs w:val="20"/>
        </w:rPr>
      </w:pPr>
    </w:p>
    <w:p w14:paraId="298E9DA1" w14:textId="2C216EDE" w:rsidR="00AF0788" w:rsidRPr="00F5054F" w:rsidRDefault="00776DC0" w:rsidP="00AF0788">
      <w:pPr>
        <w:pStyle w:val="Ttulo2"/>
      </w:pPr>
      <w:r w:rsidRPr="00F5054F">
        <w:t>A</w:t>
      </w:r>
      <w:r w:rsidR="00AF0788" w:rsidRPr="00F5054F">
        <w:t>legatos de conclusión</w:t>
      </w:r>
    </w:p>
    <w:p w14:paraId="5F41FEC1" w14:textId="4302FBCA" w:rsidR="00AF0788" w:rsidRPr="00F5054F" w:rsidRDefault="00AF0788" w:rsidP="00AF0788"/>
    <w:p w14:paraId="64823C2A" w14:textId="47B1B193" w:rsidR="001929A1" w:rsidRPr="00F5054F" w:rsidRDefault="001929A1" w:rsidP="00AF0788">
      <w:r w:rsidRPr="00F5054F">
        <w:t xml:space="preserve">En auto del </w:t>
      </w:r>
      <w:r w:rsidR="00034D57" w:rsidRPr="00F5054F">
        <w:t xml:space="preserve">17 de agosto de 2011 </w:t>
      </w:r>
      <w:r w:rsidRPr="00F5054F">
        <w:t xml:space="preserve">(fl. </w:t>
      </w:r>
      <w:r w:rsidR="00034D57" w:rsidRPr="00F5054F">
        <w:t>180</w:t>
      </w:r>
      <w:r w:rsidRPr="00F5054F">
        <w:t xml:space="preserve"> cdno. </w:t>
      </w:r>
      <w:r w:rsidR="00034D57" w:rsidRPr="00F5054F">
        <w:t>ppal.</w:t>
      </w:r>
      <w:r w:rsidRPr="00F5054F">
        <w:t>) se corrió traslado a las partes para que alegaran de conclusión en cumplimiento de lo establecido en el artículo 210 del CCA.</w:t>
      </w:r>
    </w:p>
    <w:p w14:paraId="1D215CFB" w14:textId="77777777" w:rsidR="001929A1" w:rsidRPr="00F5054F" w:rsidRDefault="001929A1" w:rsidP="00AF0788"/>
    <w:p w14:paraId="0B7DDCFC" w14:textId="119C22A7" w:rsidR="001929A1" w:rsidRPr="00F5054F" w:rsidRDefault="001929A1" w:rsidP="00573CA8">
      <w:r w:rsidRPr="00F5054F">
        <w:lastRenderedPageBreak/>
        <w:t xml:space="preserve">Dentro del término otorgado la parte actora reiteró los argumentos planteados en la demanda (fls. </w:t>
      </w:r>
      <w:r w:rsidR="00F738F1" w:rsidRPr="00F5054F">
        <w:t>181 a 185</w:t>
      </w:r>
      <w:r w:rsidRPr="00F5054F">
        <w:t xml:space="preserve"> cdno. </w:t>
      </w:r>
      <w:r w:rsidR="00F738F1" w:rsidRPr="00F5054F">
        <w:t>ppal.</w:t>
      </w:r>
      <w:r w:rsidRPr="00F5054F">
        <w:t xml:space="preserve">), mientras que la entidad demandada reiteró la posición asumida en </w:t>
      </w:r>
      <w:r w:rsidR="0093592C" w:rsidRPr="00F5054F">
        <w:t>su</w:t>
      </w:r>
      <w:r w:rsidRPr="00F5054F">
        <w:t xml:space="preserve"> escrito de contestación </w:t>
      </w:r>
      <w:r w:rsidR="0093592C" w:rsidRPr="00F5054F">
        <w:t xml:space="preserve">(fls. </w:t>
      </w:r>
      <w:r w:rsidR="00F738F1" w:rsidRPr="00F5054F">
        <w:t>186 a 196</w:t>
      </w:r>
      <w:r w:rsidR="0093592C" w:rsidRPr="00F5054F">
        <w:t xml:space="preserve"> cdno. </w:t>
      </w:r>
      <w:r w:rsidR="00F738F1" w:rsidRPr="00F5054F">
        <w:t>ppal.</w:t>
      </w:r>
      <w:r w:rsidR="0093592C" w:rsidRPr="00F5054F">
        <w:t>)</w:t>
      </w:r>
      <w:r w:rsidR="00634BC0" w:rsidRPr="00F5054F">
        <w:t>.</w:t>
      </w:r>
    </w:p>
    <w:p w14:paraId="25A401DE" w14:textId="3A9F6AA4" w:rsidR="00AF0788" w:rsidRPr="00F5054F" w:rsidRDefault="00AF0788" w:rsidP="00573CA8"/>
    <w:p w14:paraId="10CAEB00" w14:textId="533E8172" w:rsidR="004959FB" w:rsidRPr="00F5054F" w:rsidRDefault="00776DC0" w:rsidP="004959FB">
      <w:pPr>
        <w:pStyle w:val="Ttulo2"/>
      </w:pPr>
      <w:r w:rsidRPr="00F5054F">
        <w:t>S</w:t>
      </w:r>
      <w:r w:rsidR="004959FB" w:rsidRPr="00F5054F">
        <w:t>entencia de primera instancia</w:t>
      </w:r>
    </w:p>
    <w:p w14:paraId="57A39BDE" w14:textId="54D0F66B" w:rsidR="004959FB" w:rsidRPr="00F5054F" w:rsidRDefault="004959FB" w:rsidP="00573CA8">
      <w:pPr>
        <w:rPr>
          <w:sz w:val="20"/>
          <w:szCs w:val="20"/>
        </w:rPr>
      </w:pPr>
    </w:p>
    <w:p w14:paraId="594F10DB" w14:textId="1C9A759C" w:rsidR="008438DC" w:rsidRPr="00F5054F" w:rsidRDefault="00EB2EDB" w:rsidP="00080AE0">
      <w:r w:rsidRPr="00F5054F">
        <w:t>El Tribunal Administrativo de</w:t>
      </w:r>
      <w:r w:rsidR="00F738F1" w:rsidRPr="00F5054F">
        <w:t xml:space="preserve">l Magdalena </w:t>
      </w:r>
      <w:r w:rsidRPr="00F5054F">
        <w:t xml:space="preserve">en providencia de </w:t>
      </w:r>
      <w:r w:rsidR="00F738F1" w:rsidRPr="00F5054F">
        <w:t>11 de abril de 2012</w:t>
      </w:r>
      <w:r w:rsidR="002E1CBE" w:rsidRPr="00F5054F">
        <w:t xml:space="preserve"> </w:t>
      </w:r>
      <w:r w:rsidR="0093592C" w:rsidRPr="00F5054F">
        <w:t>accedió</w:t>
      </w:r>
      <w:r w:rsidR="008438DC" w:rsidRPr="00F5054F">
        <w:t xml:space="preserve"> parcialmente a las pretensiones </w:t>
      </w:r>
      <w:r w:rsidR="00767814" w:rsidRPr="00F5054F">
        <w:t>con</w:t>
      </w:r>
      <w:r w:rsidR="008438DC" w:rsidRPr="00F5054F">
        <w:t xml:space="preserve"> los siguientes fundamentos:</w:t>
      </w:r>
    </w:p>
    <w:p w14:paraId="7BC6518B" w14:textId="77777777" w:rsidR="00D965D4" w:rsidRPr="00F5054F" w:rsidRDefault="00D965D4" w:rsidP="00D965D4"/>
    <w:p w14:paraId="5868B8C9" w14:textId="475A6F83" w:rsidR="004A10BB" w:rsidRPr="00F5054F" w:rsidRDefault="00F738F1" w:rsidP="00EB2EDB">
      <w:pPr>
        <w:pStyle w:val="Prrafodelista"/>
        <w:numPr>
          <w:ilvl w:val="0"/>
          <w:numId w:val="17"/>
        </w:numPr>
        <w:rPr>
          <w:lang w:val="es-ES"/>
        </w:rPr>
      </w:pPr>
      <w:r w:rsidRPr="00F5054F">
        <w:rPr>
          <w:lang w:val="es-ES"/>
        </w:rPr>
        <w:t>El convenio de cooperación en realidad correspondía a un contrato estatal de consultoría regido por la Ley 80 de 1993</w:t>
      </w:r>
      <w:r w:rsidR="00577619" w:rsidRPr="00F5054F">
        <w:rPr>
          <w:lang w:val="es-ES"/>
        </w:rPr>
        <w:t xml:space="preserve"> y por tanto no admitía prórrogas automáticas</w:t>
      </w:r>
      <w:r w:rsidR="00123027" w:rsidRPr="00F5054F">
        <w:rPr>
          <w:lang w:val="es-ES"/>
        </w:rPr>
        <w:t>,</w:t>
      </w:r>
      <w:r w:rsidR="00577619" w:rsidRPr="00F5054F">
        <w:rPr>
          <w:lang w:val="es-ES"/>
        </w:rPr>
        <w:t xml:space="preserve"> </w:t>
      </w:r>
      <w:r w:rsidR="006A3276" w:rsidRPr="00F5054F">
        <w:rPr>
          <w:lang w:val="es-ES"/>
        </w:rPr>
        <w:t xml:space="preserve">de ahí que </w:t>
      </w:r>
      <w:r w:rsidRPr="00F5054F">
        <w:rPr>
          <w:lang w:val="es-ES"/>
        </w:rPr>
        <w:t>las expresiones “</w:t>
      </w:r>
      <w:r w:rsidRPr="00F5054F">
        <w:rPr>
          <w:i/>
          <w:iCs/>
          <w:lang w:val="es-ES"/>
        </w:rPr>
        <w:t>renovable automáticamente</w:t>
      </w:r>
      <w:r w:rsidRPr="00F5054F">
        <w:rPr>
          <w:lang w:val="es-ES"/>
        </w:rPr>
        <w:t>” y “</w:t>
      </w:r>
      <w:r w:rsidRPr="00F5054F">
        <w:rPr>
          <w:i/>
          <w:iCs/>
          <w:lang w:val="es-ES"/>
        </w:rPr>
        <w:t>en cuyo caso el convenio permanecerá vigente hasta tanto aquellas concluyan</w:t>
      </w:r>
      <w:r w:rsidRPr="00F5054F">
        <w:rPr>
          <w:lang w:val="es-ES"/>
        </w:rPr>
        <w:t xml:space="preserve">” </w:t>
      </w:r>
      <w:r w:rsidR="00D93560" w:rsidRPr="00F5054F">
        <w:rPr>
          <w:lang w:val="es-ES"/>
        </w:rPr>
        <w:t xml:space="preserve">pactadas </w:t>
      </w:r>
      <w:r w:rsidR="006A3276" w:rsidRPr="00F5054F">
        <w:rPr>
          <w:lang w:val="es-ES"/>
        </w:rPr>
        <w:t>en la cláusula de</w:t>
      </w:r>
      <w:r w:rsidR="001A495B" w:rsidRPr="00F5054F">
        <w:rPr>
          <w:lang w:val="es-ES"/>
        </w:rPr>
        <w:t>l</w:t>
      </w:r>
      <w:r w:rsidR="006A3276" w:rsidRPr="00F5054F">
        <w:rPr>
          <w:lang w:val="es-ES"/>
        </w:rPr>
        <w:t xml:space="preserve"> plazo de ejecución </w:t>
      </w:r>
      <w:r w:rsidR="00123027" w:rsidRPr="00F5054F">
        <w:rPr>
          <w:lang w:val="es-ES"/>
        </w:rPr>
        <w:t>son</w:t>
      </w:r>
      <w:r w:rsidR="00D93560" w:rsidRPr="00F5054F">
        <w:rPr>
          <w:lang w:val="es-ES"/>
        </w:rPr>
        <w:t xml:space="preserve"> nulas</w:t>
      </w:r>
      <w:r w:rsidRPr="00F5054F">
        <w:rPr>
          <w:lang w:val="es-ES"/>
        </w:rPr>
        <w:t>.</w:t>
      </w:r>
    </w:p>
    <w:p w14:paraId="0A1E16FB" w14:textId="77777777" w:rsidR="004A10BB" w:rsidRPr="00F5054F" w:rsidRDefault="004A10BB" w:rsidP="004A10BB"/>
    <w:p w14:paraId="3213793D" w14:textId="07FBA9D1" w:rsidR="00091322" w:rsidRPr="00F5054F" w:rsidRDefault="009136F2" w:rsidP="0024790C">
      <w:pPr>
        <w:pStyle w:val="Prrafodelista"/>
        <w:rPr>
          <w:lang w:val="es-ES"/>
        </w:rPr>
      </w:pPr>
      <w:r w:rsidRPr="00F5054F">
        <w:rPr>
          <w:lang w:val="es-ES"/>
        </w:rPr>
        <w:t xml:space="preserve">La entidad no gestionó la correspondiente disponibilidad presupuestal </w:t>
      </w:r>
      <w:r w:rsidR="00180D15" w:rsidRPr="00F5054F">
        <w:rPr>
          <w:lang w:val="es-ES"/>
        </w:rPr>
        <w:t>y</w:t>
      </w:r>
      <w:r w:rsidRPr="00F5054F">
        <w:rPr>
          <w:lang w:val="es-ES"/>
        </w:rPr>
        <w:t xml:space="preserve"> el contratista tampoco </w:t>
      </w:r>
      <w:r w:rsidR="004F2990" w:rsidRPr="00F5054F">
        <w:rPr>
          <w:lang w:val="es-ES"/>
        </w:rPr>
        <w:t xml:space="preserve">otorgó </w:t>
      </w:r>
      <w:r w:rsidR="00091322" w:rsidRPr="00F5054F">
        <w:rPr>
          <w:lang w:val="es-ES"/>
        </w:rPr>
        <w:t xml:space="preserve">las </w:t>
      </w:r>
      <w:r w:rsidR="004F2990" w:rsidRPr="00F5054F">
        <w:rPr>
          <w:lang w:val="es-ES"/>
        </w:rPr>
        <w:t>garantía</w:t>
      </w:r>
      <w:r w:rsidR="00091322" w:rsidRPr="00F5054F">
        <w:rPr>
          <w:lang w:val="es-ES"/>
        </w:rPr>
        <w:t>s</w:t>
      </w:r>
      <w:r w:rsidR="00180D15" w:rsidRPr="00F5054F">
        <w:rPr>
          <w:lang w:val="es-ES"/>
        </w:rPr>
        <w:t xml:space="preserve">, </w:t>
      </w:r>
      <w:r w:rsidR="004F2990" w:rsidRPr="00F5054F">
        <w:rPr>
          <w:lang w:val="es-ES"/>
        </w:rPr>
        <w:t xml:space="preserve">por lo tanto, </w:t>
      </w:r>
      <w:r w:rsidR="00180D15" w:rsidRPr="00F5054F">
        <w:rPr>
          <w:lang w:val="es-ES"/>
        </w:rPr>
        <w:t xml:space="preserve">no se cumplieron los requisitos necesarios para </w:t>
      </w:r>
      <w:r w:rsidR="00091322" w:rsidRPr="00F5054F">
        <w:rPr>
          <w:lang w:val="es-ES"/>
        </w:rPr>
        <w:t xml:space="preserve">la </w:t>
      </w:r>
      <w:r w:rsidR="00180D15" w:rsidRPr="00F5054F">
        <w:rPr>
          <w:lang w:val="es-ES"/>
        </w:rPr>
        <w:t>ejecución</w:t>
      </w:r>
      <w:r w:rsidR="00091322" w:rsidRPr="00F5054F">
        <w:rPr>
          <w:lang w:val="es-ES"/>
        </w:rPr>
        <w:t xml:space="preserve"> del contrato y ello obligaba a estudiar si hubo un enriquecimiento sin causa a favor de la entidad</w:t>
      </w:r>
      <w:r w:rsidR="004F265B" w:rsidRPr="00F5054F">
        <w:rPr>
          <w:lang w:val="es-ES"/>
        </w:rPr>
        <w:t xml:space="preserve">; sin embargo, </w:t>
      </w:r>
      <w:r w:rsidR="00091322" w:rsidRPr="00F5054F">
        <w:rPr>
          <w:lang w:val="es-ES"/>
        </w:rPr>
        <w:t xml:space="preserve">el contrato era la causa, el demandante contaba con la acción contractual para reclamar y, </w:t>
      </w:r>
      <w:r w:rsidR="004948C9" w:rsidRPr="00F5054F">
        <w:rPr>
          <w:lang w:val="es-ES"/>
        </w:rPr>
        <w:t xml:space="preserve">las partes desconocieron normas imperativas sobre presupuesto y pólizas, lo que hacía improcedente la </w:t>
      </w:r>
      <w:r w:rsidR="004948C9" w:rsidRPr="00F5054F">
        <w:rPr>
          <w:i/>
          <w:iCs/>
          <w:lang w:val="es-ES"/>
        </w:rPr>
        <w:t xml:space="preserve">actio </w:t>
      </w:r>
      <w:proofErr w:type="spellStart"/>
      <w:r w:rsidR="004948C9" w:rsidRPr="00F5054F">
        <w:rPr>
          <w:i/>
          <w:iCs/>
          <w:lang w:val="es-ES"/>
        </w:rPr>
        <w:t>im</w:t>
      </w:r>
      <w:proofErr w:type="spellEnd"/>
      <w:r w:rsidR="004948C9" w:rsidRPr="00F5054F">
        <w:rPr>
          <w:i/>
          <w:iCs/>
          <w:lang w:val="es-ES"/>
        </w:rPr>
        <w:t xml:space="preserve"> rem verso</w:t>
      </w:r>
      <w:r w:rsidR="004948C9" w:rsidRPr="00F5054F">
        <w:rPr>
          <w:lang w:val="es-ES"/>
        </w:rPr>
        <w:t>.</w:t>
      </w:r>
    </w:p>
    <w:p w14:paraId="2F00F14D" w14:textId="77777777" w:rsidR="00091322" w:rsidRPr="00F5054F" w:rsidRDefault="00091322" w:rsidP="00091322"/>
    <w:p w14:paraId="184D4C9F" w14:textId="6F309379" w:rsidR="00060403" w:rsidRPr="00F5054F" w:rsidRDefault="004948C9" w:rsidP="0024790C">
      <w:pPr>
        <w:pStyle w:val="Prrafodelista"/>
        <w:rPr>
          <w:lang w:val="es-ES"/>
        </w:rPr>
      </w:pPr>
      <w:r w:rsidRPr="00F5054F">
        <w:rPr>
          <w:lang w:val="es-ES"/>
        </w:rPr>
        <w:t>En consecuencia, “</w:t>
      </w:r>
      <w:r w:rsidRPr="00F5054F">
        <w:rPr>
          <w:i/>
          <w:iCs/>
          <w:lang w:val="es-ES"/>
        </w:rPr>
        <w:t xml:space="preserve">la situación sub </w:t>
      </w:r>
      <w:r w:rsidR="00060403" w:rsidRPr="00F5054F">
        <w:rPr>
          <w:i/>
          <w:iCs/>
          <w:lang w:val="es-ES"/>
        </w:rPr>
        <w:t>examine</w:t>
      </w:r>
      <w:r w:rsidRPr="00F5054F">
        <w:rPr>
          <w:i/>
          <w:iCs/>
          <w:lang w:val="es-ES"/>
        </w:rPr>
        <w:t xml:space="preserve"> </w:t>
      </w:r>
      <w:proofErr w:type="gramStart"/>
      <w:r w:rsidRPr="00F5054F">
        <w:rPr>
          <w:i/>
          <w:iCs/>
          <w:lang w:val="es-ES"/>
        </w:rPr>
        <w:t>se enmarca dentro de</w:t>
      </w:r>
      <w:proofErr w:type="gramEnd"/>
      <w:r w:rsidRPr="00F5054F">
        <w:rPr>
          <w:i/>
          <w:iCs/>
          <w:lang w:val="es-ES"/>
        </w:rPr>
        <w:t xml:space="preserve"> una eventualidad </w:t>
      </w:r>
      <w:r w:rsidR="00060403" w:rsidRPr="00F5054F">
        <w:rPr>
          <w:i/>
          <w:iCs/>
          <w:lang w:val="es-ES"/>
        </w:rPr>
        <w:t>indemnizatoria</w:t>
      </w:r>
      <w:r w:rsidRPr="00F5054F">
        <w:rPr>
          <w:i/>
          <w:iCs/>
          <w:lang w:val="es-ES"/>
        </w:rPr>
        <w:t xml:space="preserve"> de carácter contractual en virtud del tantas veces mencionado incumplimiento mancomunado de la entidad territorial y del contratista toda vez que se sustrajeron de manera injustificada de la obligación de ejecutar un vínculo contractual sujeto al acatamiento de las exigencias </w:t>
      </w:r>
      <w:r w:rsidR="00060403" w:rsidRPr="00F5054F">
        <w:rPr>
          <w:i/>
          <w:iCs/>
          <w:lang w:val="es-ES"/>
        </w:rPr>
        <w:t>de ley</w:t>
      </w:r>
      <w:r w:rsidR="00060403" w:rsidRPr="00F5054F">
        <w:rPr>
          <w:lang w:val="es-ES"/>
        </w:rPr>
        <w:t>.</w:t>
      </w:r>
      <w:r w:rsidRPr="00F5054F">
        <w:rPr>
          <w:lang w:val="es-ES"/>
        </w:rPr>
        <w:t>”</w:t>
      </w:r>
      <w:r w:rsidR="00060403" w:rsidRPr="00F5054F">
        <w:rPr>
          <w:lang w:val="es-ES"/>
        </w:rPr>
        <w:t xml:space="preserve"> (fl. 209 cdno. ppal.).</w:t>
      </w:r>
    </w:p>
    <w:p w14:paraId="68812269" w14:textId="77777777" w:rsidR="00060403" w:rsidRPr="00F5054F" w:rsidRDefault="00060403" w:rsidP="00060403"/>
    <w:p w14:paraId="4BF957FC" w14:textId="66E4C375" w:rsidR="006A3276" w:rsidRPr="00F5054F" w:rsidRDefault="000B0055" w:rsidP="000B0055">
      <w:pPr>
        <w:pStyle w:val="Prrafodelista"/>
        <w:rPr>
          <w:lang w:val="es-ES"/>
        </w:rPr>
      </w:pPr>
      <w:r w:rsidRPr="00F5054F">
        <w:rPr>
          <w:lang w:val="es-ES"/>
        </w:rPr>
        <w:t>La condena al pago de perjuicios materiales se disminuyó a la mitad porque ambas partes incumplieron</w:t>
      </w:r>
      <w:r w:rsidR="00123027" w:rsidRPr="00F5054F">
        <w:rPr>
          <w:lang w:val="es-ES"/>
        </w:rPr>
        <w:t>,</w:t>
      </w:r>
      <w:r w:rsidRPr="00F5054F">
        <w:rPr>
          <w:lang w:val="es-ES"/>
        </w:rPr>
        <w:t xml:space="preserve"> como e</w:t>
      </w:r>
      <w:r w:rsidR="00D93560" w:rsidRPr="00F5054F">
        <w:rPr>
          <w:lang w:val="es-ES"/>
        </w:rPr>
        <w:t>l 50%</w:t>
      </w:r>
      <w:r w:rsidR="009F311B" w:rsidRPr="00F5054F">
        <w:rPr>
          <w:lang w:val="es-ES"/>
        </w:rPr>
        <w:t xml:space="preserve"> del</w:t>
      </w:r>
      <w:r w:rsidR="00A03BC6" w:rsidRPr="00F5054F">
        <w:rPr>
          <w:lang w:val="es-ES"/>
        </w:rPr>
        <w:t xml:space="preserve"> valor pactado </w:t>
      </w:r>
      <w:r w:rsidR="009F311B" w:rsidRPr="00F5054F">
        <w:rPr>
          <w:lang w:val="es-ES"/>
        </w:rPr>
        <w:t>fue $285.128.994</w:t>
      </w:r>
      <w:r w:rsidR="00123027" w:rsidRPr="00F5054F">
        <w:rPr>
          <w:lang w:val="es-ES"/>
        </w:rPr>
        <w:t xml:space="preserve"> y</w:t>
      </w:r>
      <w:r w:rsidR="009F311B" w:rsidRPr="00F5054F">
        <w:rPr>
          <w:lang w:val="es-ES"/>
        </w:rPr>
        <w:t xml:space="preserve"> la entidad abonó $92.822.000</w:t>
      </w:r>
      <w:r w:rsidRPr="00F5054F">
        <w:rPr>
          <w:lang w:val="es-ES"/>
        </w:rPr>
        <w:t xml:space="preserve"> la deuda solo era de </w:t>
      </w:r>
      <w:r w:rsidR="009F311B" w:rsidRPr="00F5054F">
        <w:rPr>
          <w:lang w:val="es-ES"/>
        </w:rPr>
        <w:t>$192.306.994 que</w:t>
      </w:r>
      <w:r w:rsidR="00123027" w:rsidRPr="00F5054F">
        <w:rPr>
          <w:lang w:val="es-ES"/>
        </w:rPr>
        <w:t>,</w:t>
      </w:r>
      <w:r w:rsidR="009F311B" w:rsidRPr="00F5054F">
        <w:rPr>
          <w:lang w:val="es-ES"/>
        </w:rPr>
        <w:t xml:space="preserve"> indexados</w:t>
      </w:r>
      <w:r w:rsidR="00123027" w:rsidRPr="00F5054F">
        <w:rPr>
          <w:lang w:val="es-ES"/>
        </w:rPr>
        <w:t>,</w:t>
      </w:r>
      <w:r w:rsidR="009F311B" w:rsidRPr="00F5054F">
        <w:rPr>
          <w:lang w:val="es-ES"/>
        </w:rPr>
        <w:t xml:space="preserve"> ascendía</w:t>
      </w:r>
      <w:r w:rsidR="004F4FAD" w:rsidRPr="00F5054F">
        <w:rPr>
          <w:lang w:val="es-ES"/>
        </w:rPr>
        <w:t>n</w:t>
      </w:r>
      <w:r w:rsidR="009F311B" w:rsidRPr="00F5054F">
        <w:rPr>
          <w:lang w:val="es-ES"/>
        </w:rPr>
        <w:t xml:space="preserve"> a $208.741.392.</w:t>
      </w:r>
      <w:r w:rsidR="001A495B" w:rsidRPr="00F5054F">
        <w:rPr>
          <w:lang w:val="es-ES"/>
        </w:rPr>
        <w:t xml:space="preserve"> </w:t>
      </w:r>
    </w:p>
    <w:p w14:paraId="3E966757" w14:textId="2C5CECCE" w:rsidR="007A5E7A" w:rsidRPr="00F5054F" w:rsidRDefault="007A5E7A" w:rsidP="001C020F">
      <w:pPr>
        <w:rPr>
          <w:sz w:val="20"/>
          <w:szCs w:val="20"/>
        </w:rPr>
      </w:pPr>
    </w:p>
    <w:p w14:paraId="786D7AD4" w14:textId="02CE1086" w:rsidR="0023793F" w:rsidRPr="00F5054F" w:rsidRDefault="00776DC0" w:rsidP="009A0999">
      <w:pPr>
        <w:pStyle w:val="Ttulo2"/>
      </w:pPr>
      <w:r w:rsidRPr="00F5054F">
        <w:lastRenderedPageBreak/>
        <w:t>R</w:t>
      </w:r>
      <w:r w:rsidR="0023793F" w:rsidRPr="00F5054F">
        <w:t>ecurso de apelación</w:t>
      </w:r>
    </w:p>
    <w:p w14:paraId="4C6FBB52" w14:textId="77777777" w:rsidR="009A0999" w:rsidRPr="00F5054F" w:rsidRDefault="009A0999" w:rsidP="00850A78">
      <w:pPr>
        <w:rPr>
          <w:sz w:val="20"/>
          <w:szCs w:val="20"/>
        </w:rPr>
      </w:pPr>
    </w:p>
    <w:p w14:paraId="4B5A7667" w14:textId="712B4015" w:rsidR="009A0999" w:rsidRPr="00F5054F" w:rsidRDefault="009A0999" w:rsidP="00850A78">
      <w:r w:rsidRPr="00F5054F">
        <w:t>El 1</w:t>
      </w:r>
      <w:r w:rsidR="004858E2" w:rsidRPr="00F5054F">
        <w:t xml:space="preserve">4 de junio de 2012 </w:t>
      </w:r>
      <w:r w:rsidRPr="00F5054F">
        <w:t>el demandado</w:t>
      </w:r>
      <w:r w:rsidR="000E276E" w:rsidRPr="00F5054F">
        <w:t xml:space="preserve"> </w:t>
      </w:r>
      <w:r w:rsidR="0076190D" w:rsidRPr="00F5054F">
        <w:t>present</w:t>
      </w:r>
      <w:r w:rsidR="004858E2" w:rsidRPr="00F5054F">
        <w:t xml:space="preserve">ó </w:t>
      </w:r>
      <w:r w:rsidRPr="00F5054F">
        <w:t xml:space="preserve">recurso de apelación en contra de </w:t>
      </w:r>
      <w:r w:rsidR="004858E2" w:rsidRPr="00F5054F">
        <w:t xml:space="preserve">los </w:t>
      </w:r>
      <w:r w:rsidR="00DA42A5" w:rsidRPr="00F5054F">
        <w:t>ordinales</w:t>
      </w:r>
      <w:r w:rsidR="004858E2" w:rsidRPr="00F5054F">
        <w:t xml:space="preserve"> segundo, tercero y cuarto de la</w:t>
      </w:r>
      <w:r w:rsidR="00084339" w:rsidRPr="00F5054F">
        <w:t xml:space="preserve"> parte resolutiva de la</w:t>
      </w:r>
      <w:r w:rsidR="004858E2" w:rsidRPr="00F5054F">
        <w:t xml:space="preserve"> </w:t>
      </w:r>
      <w:r w:rsidRPr="00F5054F">
        <w:t>sentencia de primera instancia</w:t>
      </w:r>
      <w:r w:rsidR="00752CAF" w:rsidRPr="00F5054F">
        <w:t xml:space="preserve"> (fls. </w:t>
      </w:r>
      <w:r w:rsidR="00084339" w:rsidRPr="00F5054F">
        <w:t xml:space="preserve">217 a 219 </w:t>
      </w:r>
      <w:r w:rsidR="00752CAF" w:rsidRPr="00F5054F">
        <w:t>cdno. ppal.)</w:t>
      </w:r>
      <w:r w:rsidR="00123027" w:rsidRPr="00F5054F">
        <w:t>,</w:t>
      </w:r>
      <w:r w:rsidR="00752CAF" w:rsidRPr="00F5054F">
        <w:t xml:space="preserve"> medio de i</w:t>
      </w:r>
      <w:r w:rsidR="0056121C" w:rsidRPr="00F5054F">
        <w:t>mpugnaci</w:t>
      </w:r>
      <w:r w:rsidR="00752CAF" w:rsidRPr="00F5054F">
        <w:t>ón que</w:t>
      </w:r>
      <w:r w:rsidR="0056121C" w:rsidRPr="00F5054F">
        <w:t xml:space="preserve"> </w:t>
      </w:r>
      <w:r w:rsidR="000E276E" w:rsidRPr="00F5054F">
        <w:t xml:space="preserve">fue </w:t>
      </w:r>
      <w:r w:rsidRPr="00F5054F">
        <w:t>concedid</w:t>
      </w:r>
      <w:r w:rsidR="00752CAF" w:rsidRPr="00F5054F">
        <w:t>o</w:t>
      </w:r>
      <w:r w:rsidRPr="00F5054F">
        <w:t xml:space="preserve"> </w:t>
      </w:r>
      <w:r w:rsidR="008A68FA" w:rsidRPr="00F5054F">
        <w:t>por</w:t>
      </w:r>
      <w:r w:rsidR="00084339" w:rsidRPr="00F5054F">
        <w:t xml:space="preserve"> auto de 5 de septiembre de 2012</w:t>
      </w:r>
      <w:r w:rsidR="008F77EA" w:rsidRPr="00F5054F">
        <w:t xml:space="preserve"> </w:t>
      </w:r>
      <w:r w:rsidRPr="00F5054F">
        <w:t xml:space="preserve">(fl. </w:t>
      </w:r>
      <w:r w:rsidR="00084339" w:rsidRPr="00F5054F">
        <w:t xml:space="preserve">238 </w:t>
      </w:r>
      <w:r w:rsidR="008F77EA" w:rsidRPr="00F5054F">
        <w:t>cdno.</w:t>
      </w:r>
      <w:r w:rsidR="00080B6D" w:rsidRPr="00F5054F">
        <w:t xml:space="preserve"> </w:t>
      </w:r>
      <w:r w:rsidR="008F77EA" w:rsidRPr="00F5054F">
        <w:t>ppal.</w:t>
      </w:r>
      <w:r w:rsidRPr="00F5054F">
        <w:t>).</w:t>
      </w:r>
    </w:p>
    <w:p w14:paraId="34E61E4A" w14:textId="6404460F" w:rsidR="009A0999" w:rsidRPr="00F5054F" w:rsidRDefault="009A0999" w:rsidP="00C546B5">
      <w:pPr>
        <w:spacing w:line="276" w:lineRule="auto"/>
        <w:rPr>
          <w:sz w:val="20"/>
          <w:szCs w:val="20"/>
        </w:rPr>
      </w:pPr>
    </w:p>
    <w:p w14:paraId="5BC56679" w14:textId="393C0350" w:rsidR="009E434E" w:rsidRPr="00F5054F" w:rsidRDefault="00166952" w:rsidP="00084339">
      <w:pPr>
        <w:pStyle w:val="Prrafodelista"/>
        <w:numPr>
          <w:ilvl w:val="0"/>
          <w:numId w:val="0"/>
        </w:numPr>
        <w:rPr>
          <w:lang w:val="es-ES"/>
        </w:rPr>
      </w:pPr>
      <w:r w:rsidRPr="00F5054F">
        <w:rPr>
          <w:lang w:val="es-ES"/>
        </w:rPr>
        <w:t xml:space="preserve">La parte </w:t>
      </w:r>
      <w:r w:rsidR="0047488E" w:rsidRPr="00F5054F">
        <w:rPr>
          <w:lang w:val="es-ES"/>
        </w:rPr>
        <w:t>accionada</w:t>
      </w:r>
      <w:r w:rsidRPr="00F5054F">
        <w:rPr>
          <w:lang w:val="es-ES"/>
        </w:rPr>
        <w:t xml:space="preserve"> manifestó su inconformidad con los siguientes argumentos:</w:t>
      </w:r>
      <w:r w:rsidR="009E434E" w:rsidRPr="00F5054F">
        <w:rPr>
          <w:lang w:val="es-ES"/>
        </w:rPr>
        <w:t xml:space="preserve"> </w:t>
      </w:r>
      <w:r w:rsidR="009E434E" w:rsidRPr="00F5054F">
        <w:rPr>
          <w:i/>
          <w:iCs/>
          <w:lang w:val="es-ES"/>
        </w:rPr>
        <w:t>a</w:t>
      </w:r>
      <w:r w:rsidR="009E434E" w:rsidRPr="00F5054F">
        <w:rPr>
          <w:lang w:val="es-ES"/>
        </w:rPr>
        <w:t xml:space="preserve">) </w:t>
      </w:r>
      <w:r w:rsidR="009136F2" w:rsidRPr="00F5054F">
        <w:rPr>
          <w:lang w:val="es-ES"/>
        </w:rPr>
        <w:t xml:space="preserve">el fallo fue incongruente porque en la demanda no se pidió incumplimiento por la falta de disponibilidad presupuestal </w:t>
      </w:r>
      <w:r w:rsidR="00D11409" w:rsidRPr="00F5054F">
        <w:rPr>
          <w:lang w:val="es-ES"/>
        </w:rPr>
        <w:t>y</w:t>
      </w:r>
      <w:r w:rsidR="00123027" w:rsidRPr="00F5054F">
        <w:rPr>
          <w:lang w:val="es-ES"/>
        </w:rPr>
        <w:t>,</w:t>
      </w:r>
      <w:r w:rsidR="00D11409" w:rsidRPr="00F5054F">
        <w:rPr>
          <w:lang w:val="es-ES"/>
        </w:rPr>
        <w:t xml:space="preserve"> </w:t>
      </w:r>
      <w:r w:rsidR="00D11409" w:rsidRPr="00F5054F">
        <w:rPr>
          <w:i/>
          <w:iCs/>
          <w:lang w:val="es-ES"/>
        </w:rPr>
        <w:t>b</w:t>
      </w:r>
      <w:r w:rsidR="00D11409" w:rsidRPr="00F5054F">
        <w:rPr>
          <w:lang w:val="es-ES"/>
        </w:rPr>
        <w:t xml:space="preserve">) </w:t>
      </w:r>
      <w:r w:rsidR="009136F2" w:rsidRPr="00F5054F">
        <w:rPr>
          <w:lang w:val="es-ES"/>
        </w:rPr>
        <w:t xml:space="preserve">el negocio celebrado </w:t>
      </w:r>
      <w:r w:rsidR="00316F5D" w:rsidRPr="00F5054F">
        <w:rPr>
          <w:lang w:val="es-ES"/>
        </w:rPr>
        <w:t xml:space="preserve">no tenía carácter oneroso ni conmutativo </w:t>
      </w:r>
      <w:r w:rsidR="009309A1" w:rsidRPr="00F5054F">
        <w:rPr>
          <w:lang w:val="es-ES"/>
        </w:rPr>
        <w:t>por cuanto</w:t>
      </w:r>
      <w:r w:rsidR="00316F5D" w:rsidRPr="00F5054F">
        <w:rPr>
          <w:lang w:val="es-ES"/>
        </w:rPr>
        <w:t xml:space="preserve"> </w:t>
      </w:r>
      <w:r w:rsidR="009136F2" w:rsidRPr="00F5054F">
        <w:rPr>
          <w:lang w:val="es-ES"/>
        </w:rPr>
        <w:t>se regía en un todo por el artículo 355 de la Constitución Política</w:t>
      </w:r>
      <w:r w:rsidR="00576C2B" w:rsidRPr="00F5054F">
        <w:rPr>
          <w:lang w:val="es-ES"/>
        </w:rPr>
        <w:t>.</w:t>
      </w:r>
    </w:p>
    <w:p w14:paraId="58EBE7FF" w14:textId="77777777" w:rsidR="00084339" w:rsidRPr="00F5054F" w:rsidRDefault="00084339" w:rsidP="00084339">
      <w:pPr>
        <w:pStyle w:val="Prrafodelista"/>
        <w:numPr>
          <w:ilvl w:val="0"/>
          <w:numId w:val="0"/>
        </w:numPr>
        <w:rPr>
          <w:sz w:val="20"/>
          <w:szCs w:val="20"/>
          <w:lang w:val="es-ES"/>
        </w:rPr>
      </w:pPr>
    </w:p>
    <w:p w14:paraId="4B9A9B38" w14:textId="23D1F4F7" w:rsidR="0023793F" w:rsidRPr="00F5054F" w:rsidRDefault="00776DC0" w:rsidP="00015908">
      <w:pPr>
        <w:pStyle w:val="Ttulo2"/>
      </w:pPr>
      <w:r w:rsidRPr="00F5054F">
        <w:t>A</w:t>
      </w:r>
      <w:r w:rsidR="00091158" w:rsidRPr="00F5054F">
        <w:t>ctuación surtida en la segunda instancia</w:t>
      </w:r>
    </w:p>
    <w:p w14:paraId="3D95E3F9" w14:textId="60A2D7F0" w:rsidR="0023793F" w:rsidRPr="00F5054F" w:rsidRDefault="0023793F" w:rsidP="00850A78">
      <w:pPr>
        <w:rPr>
          <w:sz w:val="20"/>
          <w:szCs w:val="20"/>
        </w:rPr>
      </w:pPr>
    </w:p>
    <w:p w14:paraId="6242EE7F" w14:textId="5E4A6A68" w:rsidR="000D59D7" w:rsidRPr="00F5054F" w:rsidRDefault="009A2DD1" w:rsidP="000D59D7">
      <w:r w:rsidRPr="00F5054F">
        <w:t>Por auto de</w:t>
      </w:r>
      <w:r w:rsidR="000D59D7" w:rsidRPr="00F5054F">
        <w:t xml:space="preserve"> </w:t>
      </w:r>
      <w:r w:rsidR="00576C2B" w:rsidRPr="00F5054F">
        <w:t>17 de octubre de 2012</w:t>
      </w:r>
      <w:r w:rsidR="000D59D7" w:rsidRPr="00F5054F">
        <w:t xml:space="preserve"> (fl. </w:t>
      </w:r>
      <w:r w:rsidR="00576C2B" w:rsidRPr="00F5054F">
        <w:t>242</w:t>
      </w:r>
      <w:r w:rsidR="000D59D7" w:rsidRPr="00F5054F">
        <w:t xml:space="preserve"> cdno. ppal.) se </w:t>
      </w:r>
      <w:r w:rsidR="00576C2B" w:rsidRPr="00F5054F">
        <w:t xml:space="preserve">admitió el </w:t>
      </w:r>
      <w:r w:rsidR="000D59D7" w:rsidRPr="00F5054F">
        <w:t xml:space="preserve">recurso de apelación y, posteriormente, el </w:t>
      </w:r>
      <w:r w:rsidR="00602DD7" w:rsidRPr="00F5054F">
        <w:t xml:space="preserve">23 de enero de 2013 </w:t>
      </w:r>
      <w:r w:rsidR="000D59D7" w:rsidRPr="00F5054F">
        <w:t xml:space="preserve">(fl. </w:t>
      </w:r>
      <w:r w:rsidR="00602DD7" w:rsidRPr="00F5054F">
        <w:t>244</w:t>
      </w:r>
      <w:r w:rsidR="000D59D7" w:rsidRPr="00F5054F">
        <w:t xml:space="preserve"> cdno. ppal.) se corrió traslado </w:t>
      </w:r>
      <w:r w:rsidR="002F691C" w:rsidRPr="00F5054F">
        <w:t>para alegar de conclusión</w:t>
      </w:r>
      <w:r w:rsidR="000D59D7" w:rsidRPr="00F5054F">
        <w:t>.</w:t>
      </w:r>
    </w:p>
    <w:p w14:paraId="57EDAFC3" w14:textId="6B589C33" w:rsidR="000D59D7" w:rsidRPr="00F5054F" w:rsidRDefault="000D59D7" w:rsidP="00850A78">
      <w:pPr>
        <w:rPr>
          <w:sz w:val="20"/>
          <w:szCs w:val="20"/>
        </w:rPr>
      </w:pPr>
    </w:p>
    <w:p w14:paraId="416D3395" w14:textId="493F1788" w:rsidR="00D47914" w:rsidRPr="00F5054F" w:rsidRDefault="00D47914" w:rsidP="00394265">
      <w:r w:rsidRPr="00F5054F">
        <w:t>En dich</w:t>
      </w:r>
      <w:r w:rsidR="002F691C" w:rsidRPr="00F5054F">
        <w:t>o</w:t>
      </w:r>
      <w:r w:rsidRPr="00F5054F">
        <w:t xml:space="preserve"> término la parte actora present</w:t>
      </w:r>
      <w:r w:rsidR="00394265" w:rsidRPr="00F5054F">
        <w:t xml:space="preserve">ó sus </w:t>
      </w:r>
      <w:r w:rsidRPr="00F5054F">
        <w:t xml:space="preserve">alegatos de conclusión (fls. </w:t>
      </w:r>
      <w:r w:rsidR="00602DD7" w:rsidRPr="00F5054F">
        <w:t xml:space="preserve">245 a 252 </w:t>
      </w:r>
      <w:r w:rsidRPr="00F5054F">
        <w:t xml:space="preserve">cdno. </w:t>
      </w:r>
      <w:r w:rsidR="000C5EAA" w:rsidRPr="00F5054F">
        <w:t>ppal.</w:t>
      </w:r>
      <w:r w:rsidRPr="00F5054F">
        <w:t xml:space="preserve">) en los que </w:t>
      </w:r>
      <w:r w:rsidR="00394265" w:rsidRPr="00F5054F">
        <w:t xml:space="preserve">reiteró </w:t>
      </w:r>
      <w:r w:rsidRPr="00F5054F">
        <w:t xml:space="preserve">los argumentos expuestos en </w:t>
      </w:r>
      <w:r w:rsidR="00394265" w:rsidRPr="00F5054F">
        <w:t xml:space="preserve">el </w:t>
      </w:r>
      <w:r w:rsidRPr="00F5054F">
        <w:t>recurso de alzada</w:t>
      </w:r>
      <w:r w:rsidR="00602DD7" w:rsidRPr="00F5054F">
        <w:t>; el demandado guardó silencio.</w:t>
      </w:r>
    </w:p>
    <w:p w14:paraId="3ACED6F9" w14:textId="68BEBCDE" w:rsidR="00D47914" w:rsidRPr="00F5054F" w:rsidRDefault="00D47914" w:rsidP="00850A78">
      <w:pPr>
        <w:rPr>
          <w:sz w:val="20"/>
          <w:szCs w:val="20"/>
        </w:rPr>
      </w:pPr>
    </w:p>
    <w:p w14:paraId="786074E6" w14:textId="0AB24D46" w:rsidR="007F12E0" w:rsidRPr="00F5054F" w:rsidRDefault="00776DC0" w:rsidP="007F12E0">
      <w:pPr>
        <w:pStyle w:val="Ttulo2"/>
      </w:pPr>
      <w:r w:rsidRPr="00F5054F">
        <w:t>C</w:t>
      </w:r>
      <w:r w:rsidR="007F12E0" w:rsidRPr="00F5054F">
        <w:t>oncepto del Ministerio Público</w:t>
      </w:r>
    </w:p>
    <w:p w14:paraId="380133BD" w14:textId="5DE17692" w:rsidR="00015908" w:rsidRPr="00F5054F" w:rsidRDefault="00015908" w:rsidP="00850A78">
      <w:pPr>
        <w:rPr>
          <w:sz w:val="20"/>
          <w:szCs w:val="20"/>
        </w:rPr>
      </w:pPr>
    </w:p>
    <w:p w14:paraId="38AA1567" w14:textId="0E289740" w:rsidR="00954FF7" w:rsidRPr="00F5054F" w:rsidRDefault="00602DD7" w:rsidP="00850A78">
      <w:r w:rsidRPr="00F5054F">
        <w:t>El agente del Ministerio Público (fls. 255 a 265 cdno. ppal.) pidió que se confirme la sentencia apelada</w:t>
      </w:r>
      <w:r w:rsidR="0024790C" w:rsidRPr="00F5054F">
        <w:t xml:space="preserve">, a su juicio, aunque </w:t>
      </w:r>
      <w:r w:rsidRPr="00F5054F">
        <w:t>la falta de disponibilidad no se planteó en la demanda lo cierto es que el demandante acreditó que ejecutó las actividades pactadas en el contrato y el municipio no le pagó.</w:t>
      </w:r>
    </w:p>
    <w:p w14:paraId="060ECA0D" w14:textId="77777777" w:rsidR="00602DD7" w:rsidRPr="00F5054F" w:rsidRDefault="00602DD7" w:rsidP="00C546B5">
      <w:pPr>
        <w:rPr>
          <w:sz w:val="20"/>
          <w:szCs w:val="20"/>
        </w:rPr>
      </w:pPr>
    </w:p>
    <w:p w14:paraId="340F5413" w14:textId="5462317B" w:rsidR="00457202" w:rsidRPr="00F5054F" w:rsidRDefault="008B7D81" w:rsidP="00747D8E">
      <w:pPr>
        <w:pStyle w:val="Ttulo1"/>
      </w:pPr>
      <w:r w:rsidRPr="00F5054F">
        <w:t>CONSIDERACIONES</w:t>
      </w:r>
    </w:p>
    <w:p w14:paraId="31F2DC77" w14:textId="35D89A7F" w:rsidR="002174DD" w:rsidRPr="00F5054F" w:rsidRDefault="002174DD" w:rsidP="00C546B5">
      <w:pPr>
        <w:spacing w:line="276" w:lineRule="auto"/>
        <w:rPr>
          <w:sz w:val="20"/>
          <w:szCs w:val="20"/>
        </w:rPr>
      </w:pPr>
    </w:p>
    <w:p w14:paraId="51ABC79D" w14:textId="30B024A6" w:rsidR="00747D8E" w:rsidRPr="00F5054F" w:rsidRDefault="00747D8E" w:rsidP="002174DD">
      <w:r w:rsidRPr="00F5054F">
        <w:t>Cumplidos los trámites propios del proceso, sin que exista causal alguna de nulidad que invalide lo actuado</w:t>
      </w:r>
      <w:r w:rsidR="002F691C" w:rsidRPr="00F5054F">
        <w:t>,</w:t>
      </w:r>
      <w:r w:rsidRPr="00F5054F">
        <w:t xml:space="preserve"> la Sala procede a resolver el asunto sometido a consideración con el siguiente derrotero: </w:t>
      </w:r>
      <w:r w:rsidR="002F691C" w:rsidRPr="00F5054F">
        <w:t xml:space="preserve">1) objeto de la controversia, 2) objeto de la apelación y competencia del </w:t>
      </w:r>
      <w:r w:rsidR="002F691C" w:rsidRPr="00F5054F">
        <w:rPr>
          <w:i/>
          <w:iCs/>
        </w:rPr>
        <w:t xml:space="preserve">ad </w:t>
      </w:r>
      <w:proofErr w:type="spellStart"/>
      <w:r w:rsidR="002F691C" w:rsidRPr="00F5054F">
        <w:rPr>
          <w:i/>
          <w:iCs/>
        </w:rPr>
        <w:t>quem</w:t>
      </w:r>
      <w:proofErr w:type="spellEnd"/>
      <w:r w:rsidR="002F691C" w:rsidRPr="00F5054F">
        <w:t>, 3)</w:t>
      </w:r>
      <w:r w:rsidR="001C7B7B" w:rsidRPr="00F5054F">
        <w:t xml:space="preserve"> </w:t>
      </w:r>
      <w:r w:rsidR="0079089C" w:rsidRPr="00F5054F">
        <w:t>caso concreto</w:t>
      </w:r>
      <w:r w:rsidR="002F691C" w:rsidRPr="00F5054F">
        <w:t xml:space="preserve">, </w:t>
      </w:r>
      <w:r w:rsidR="00CD1C37" w:rsidRPr="00F5054F">
        <w:t>4) actualización de la condena, 5</w:t>
      </w:r>
      <w:r w:rsidR="002F691C" w:rsidRPr="00F5054F">
        <w:t xml:space="preserve">) conclusión y, </w:t>
      </w:r>
      <w:r w:rsidR="00CD1C37" w:rsidRPr="00F5054F">
        <w:t>6</w:t>
      </w:r>
      <w:r w:rsidR="002F691C" w:rsidRPr="00F5054F">
        <w:t>) condena en costas.</w:t>
      </w:r>
    </w:p>
    <w:p w14:paraId="47614E34" w14:textId="77777777" w:rsidR="00747D8E" w:rsidRPr="00F5054F" w:rsidRDefault="00747D8E" w:rsidP="002174DD">
      <w:pPr>
        <w:rPr>
          <w:sz w:val="20"/>
          <w:szCs w:val="20"/>
        </w:rPr>
      </w:pPr>
      <w:bookmarkStart w:id="2" w:name="_Hlk81990125"/>
    </w:p>
    <w:p w14:paraId="4D0094C6" w14:textId="6045B2EF" w:rsidR="002174DD" w:rsidRPr="00F5054F" w:rsidRDefault="00776DC0" w:rsidP="00747D8E">
      <w:pPr>
        <w:pStyle w:val="Ttulo2"/>
        <w:numPr>
          <w:ilvl w:val="0"/>
          <w:numId w:val="21"/>
        </w:numPr>
      </w:pPr>
      <w:r w:rsidRPr="00F5054F">
        <w:lastRenderedPageBreak/>
        <w:t>O</w:t>
      </w:r>
      <w:r w:rsidR="001F09ED" w:rsidRPr="00F5054F">
        <w:t>bjeto de la controversia</w:t>
      </w:r>
    </w:p>
    <w:p w14:paraId="2A585E13" w14:textId="6A4BC00B" w:rsidR="002174DD" w:rsidRPr="00A72B6B" w:rsidRDefault="002174DD" w:rsidP="002174DD">
      <w:pPr>
        <w:rPr>
          <w:sz w:val="20"/>
          <w:szCs w:val="20"/>
        </w:rPr>
      </w:pPr>
    </w:p>
    <w:p w14:paraId="2C7E4DD8" w14:textId="45269B1E" w:rsidR="00AD6CCE" w:rsidRPr="00F5054F" w:rsidRDefault="00DA6A6B" w:rsidP="002174DD">
      <w:r w:rsidRPr="00F5054F">
        <w:t xml:space="preserve">La Sala debe determinar si </w:t>
      </w:r>
      <w:r w:rsidR="00AD6CCE" w:rsidRPr="00F5054F">
        <w:t xml:space="preserve">es posible revocar la declaratoria de responsabilidad porque </w:t>
      </w:r>
      <w:r w:rsidR="009136F2" w:rsidRPr="00F5054F">
        <w:t>el incumplimiento solicitado en la demanda no estaba relacionado con la falta de disponibilidad presupuestal o</w:t>
      </w:r>
      <w:r w:rsidR="00123027" w:rsidRPr="00F5054F">
        <w:t>,</w:t>
      </w:r>
      <w:r w:rsidR="009136F2" w:rsidRPr="00F5054F">
        <w:t xml:space="preserve"> bien</w:t>
      </w:r>
      <w:r w:rsidR="00123027" w:rsidRPr="00F5054F">
        <w:t xml:space="preserve"> </w:t>
      </w:r>
      <w:r w:rsidR="009136F2" w:rsidRPr="00F5054F">
        <w:t xml:space="preserve">porque </w:t>
      </w:r>
      <w:r w:rsidRPr="00F5054F">
        <w:t xml:space="preserve">el negocio suscrito por las partes </w:t>
      </w:r>
      <w:r w:rsidR="00AD6CCE" w:rsidRPr="00F5054F">
        <w:t>estaba sometido al régimen de contratación de que trata el artículo 355 de la Constitución Política</w:t>
      </w:r>
      <w:r w:rsidR="009136F2" w:rsidRPr="00F5054F">
        <w:t>.</w:t>
      </w:r>
    </w:p>
    <w:p w14:paraId="6CB15030" w14:textId="695E264A" w:rsidR="00AD6CCE" w:rsidRPr="00A72B6B" w:rsidRDefault="00AD6CCE" w:rsidP="002174DD">
      <w:pPr>
        <w:rPr>
          <w:sz w:val="20"/>
          <w:szCs w:val="20"/>
        </w:rPr>
      </w:pPr>
    </w:p>
    <w:p w14:paraId="5BEFD19A" w14:textId="35EC27AF" w:rsidR="00AD6CCE" w:rsidRPr="00F5054F" w:rsidRDefault="00AD6CCE" w:rsidP="002174DD">
      <w:r w:rsidRPr="00F5054F">
        <w:t xml:space="preserve">La sentencia de primera instancia será </w:t>
      </w:r>
      <w:r w:rsidR="00B46BC5" w:rsidRPr="00F5054F">
        <w:t>confirmada</w:t>
      </w:r>
      <w:r w:rsidRPr="00F5054F">
        <w:t xml:space="preserve"> puesto que </w:t>
      </w:r>
      <w:r w:rsidR="00AA342C" w:rsidRPr="00F5054F">
        <w:t xml:space="preserve">el </w:t>
      </w:r>
      <w:r w:rsidR="00B46BC5" w:rsidRPr="00F5054F">
        <w:t>t</w:t>
      </w:r>
      <w:r w:rsidR="00AA342C" w:rsidRPr="00F5054F">
        <w:t xml:space="preserve">ribunal </w:t>
      </w:r>
      <w:r w:rsidR="00B46BC5" w:rsidRPr="00F5054F">
        <w:t xml:space="preserve">no incurrió en la alegada incongruencia y el contrato de interventoría celebrado por las partes </w:t>
      </w:r>
      <w:r w:rsidR="005400AD" w:rsidRPr="00F5054F">
        <w:t>se rige por las normas de la Ley 80 de 1993</w:t>
      </w:r>
      <w:r w:rsidR="00AA342C" w:rsidRPr="00F5054F">
        <w:t>.</w:t>
      </w:r>
    </w:p>
    <w:p w14:paraId="4076259C" w14:textId="77777777" w:rsidR="006422F2" w:rsidRPr="00A72B6B" w:rsidRDefault="006422F2" w:rsidP="00172969">
      <w:pPr>
        <w:rPr>
          <w:sz w:val="20"/>
          <w:szCs w:val="20"/>
        </w:rPr>
      </w:pPr>
    </w:p>
    <w:p w14:paraId="1A8724D0" w14:textId="048E904E" w:rsidR="00903510" w:rsidRPr="00F5054F" w:rsidRDefault="00903510" w:rsidP="00903510">
      <w:pPr>
        <w:pStyle w:val="Ttulo2"/>
      </w:pPr>
      <w:r w:rsidRPr="00F5054F">
        <w:t xml:space="preserve">Objeto de la apelación y competencia del </w:t>
      </w:r>
      <w:r w:rsidRPr="00F5054F">
        <w:rPr>
          <w:i/>
          <w:iCs/>
        </w:rPr>
        <w:t xml:space="preserve">ad </w:t>
      </w:r>
      <w:proofErr w:type="spellStart"/>
      <w:r w:rsidRPr="00F5054F">
        <w:rPr>
          <w:i/>
          <w:iCs/>
        </w:rPr>
        <w:t>quem</w:t>
      </w:r>
      <w:proofErr w:type="spellEnd"/>
    </w:p>
    <w:p w14:paraId="4D9BF5BC" w14:textId="77777777" w:rsidR="00903510" w:rsidRPr="00A72B6B" w:rsidRDefault="00903510" w:rsidP="00903510">
      <w:pPr>
        <w:rPr>
          <w:sz w:val="20"/>
          <w:szCs w:val="20"/>
        </w:rPr>
      </w:pPr>
    </w:p>
    <w:p w14:paraId="1605E295" w14:textId="39DF99B2" w:rsidR="005A2462" w:rsidRPr="00F5054F" w:rsidRDefault="006422F2" w:rsidP="00A509D0">
      <w:r w:rsidRPr="00F5054F">
        <w:t xml:space="preserve">Sobre el punto cabe advertir </w:t>
      </w:r>
      <w:r w:rsidR="00123027" w:rsidRPr="00F5054F">
        <w:t xml:space="preserve">que en </w:t>
      </w:r>
      <w:r w:rsidRPr="00F5054F">
        <w:t xml:space="preserve">el asunto de la referencia únicamente interpuso recurso de apelación la parte </w:t>
      </w:r>
      <w:r w:rsidR="00123027" w:rsidRPr="00F5054F">
        <w:t>demandada</w:t>
      </w:r>
      <w:r w:rsidR="00FE52BB" w:rsidRPr="00F5054F">
        <w:t xml:space="preserve">, por lo tanto, </w:t>
      </w:r>
      <w:r w:rsidRPr="00F5054F">
        <w:t>se trata de una situación de apelante único</w:t>
      </w:r>
      <w:r w:rsidR="00D23F07" w:rsidRPr="00F5054F">
        <w:t xml:space="preserve"> en la que </w:t>
      </w:r>
      <w:r w:rsidRPr="00F5054F">
        <w:t>de conformidad con lo dispuesto en el artículo 357 del Código de Procedimiento Civil</w:t>
      </w:r>
      <w:r w:rsidR="00B96ADB" w:rsidRPr="00F5054F">
        <w:t xml:space="preserve"> (CPC)</w:t>
      </w:r>
      <w:r w:rsidRPr="00F5054F">
        <w:t xml:space="preserve">, aplicable por disposición expresa del artículo 267 del CCA, </w:t>
      </w:r>
      <w:r w:rsidR="00D23F07" w:rsidRPr="00F5054F">
        <w:t xml:space="preserve">en principio, la competencia del juez en segunda instancia se reduce al análisis de los puntos objeto del recurso </w:t>
      </w:r>
      <w:r w:rsidRPr="00F5054F">
        <w:t xml:space="preserve">y no es posible enmendar o resolver en lo que no fue </w:t>
      </w:r>
      <w:r w:rsidR="001F6FE3" w:rsidRPr="00F5054F">
        <w:t>controvertido</w:t>
      </w:r>
      <w:r w:rsidR="005A2462" w:rsidRPr="00F5054F">
        <w:t>.</w:t>
      </w:r>
    </w:p>
    <w:p w14:paraId="599AD55A" w14:textId="77777777" w:rsidR="005A2462" w:rsidRPr="00A72B6B" w:rsidRDefault="005A2462" w:rsidP="00A509D0">
      <w:pPr>
        <w:rPr>
          <w:sz w:val="20"/>
          <w:szCs w:val="20"/>
        </w:rPr>
      </w:pPr>
    </w:p>
    <w:p w14:paraId="42064B33" w14:textId="395727E6" w:rsidR="000913E3" w:rsidRPr="00F5054F" w:rsidRDefault="005A2462" w:rsidP="00DF3F56">
      <w:r w:rsidRPr="00F5054F">
        <w:t>En otros términos</w:t>
      </w:r>
      <w:r w:rsidR="0008548D" w:rsidRPr="00F5054F">
        <w:t>,</w:t>
      </w:r>
      <w:r w:rsidR="000913E3" w:rsidRPr="00F5054F">
        <w:t xml:space="preserve"> </w:t>
      </w:r>
      <w:r w:rsidRPr="00F5054F">
        <w:t xml:space="preserve">la impugnación solo abarca </w:t>
      </w:r>
      <w:r w:rsidR="000913E3" w:rsidRPr="00F5054F">
        <w:t>aquello que afect</w:t>
      </w:r>
      <w:r w:rsidR="003F1EB6" w:rsidRPr="00F5054F">
        <w:t>e</w:t>
      </w:r>
      <w:r w:rsidR="000913E3" w:rsidRPr="00F5054F">
        <w:t xml:space="preserve"> al interesado y que haya discutido por</w:t>
      </w:r>
      <w:r w:rsidR="006E672C" w:rsidRPr="00F5054F">
        <w:t xml:space="preserve">que lo considera </w:t>
      </w:r>
      <w:r w:rsidR="000913E3" w:rsidRPr="00F5054F">
        <w:t>contrario a sus intereses</w:t>
      </w:r>
      <w:r w:rsidR="001F6FE3" w:rsidRPr="00F5054F">
        <w:t>,</w:t>
      </w:r>
      <w:r w:rsidR="000913E3" w:rsidRPr="00F5054F">
        <w:t xml:space="preserve"> por tanto</w:t>
      </w:r>
      <w:r w:rsidR="001F6FE3" w:rsidRPr="00F5054F">
        <w:t>,</w:t>
      </w:r>
      <w:r w:rsidR="003F1EB6" w:rsidRPr="00F5054F">
        <w:t xml:space="preserve"> </w:t>
      </w:r>
      <w:r w:rsidR="00DF3F56" w:rsidRPr="00F5054F">
        <w:t xml:space="preserve">el superior funcional únicamente puede </w:t>
      </w:r>
      <w:r w:rsidR="003F1EB6" w:rsidRPr="00F5054F">
        <w:t xml:space="preserve">analizar </w:t>
      </w:r>
      <w:r w:rsidR="00DF3F56" w:rsidRPr="00F5054F">
        <w:t xml:space="preserve">los </w:t>
      </w:r>
      <w:r w:rsidR="003F1EB6" w:rsidRPr="00F5054F">
        <w:t xml:space="preserve">aspectos </w:t>
      </w:r>
      <w:r w:rsidR="00085E68" w:rsidRPr="00F5054F">
        <w:t xml:space="preserve">cuestionados </w:t>
      </w:r>
      <w:r w:rsidR="00DF3F56" w:rsidRPr="00F5054F">
        <w:t>sin</w:t>
      </w:r>
      <w:r w:rsidR="00342DF1" w:rsidRPr="00F5054F">
        <w:t xml:space="preserve"> que pueda agrav</w:t>
      </w:r>
      <w:r w:rsidR="003F2585" w:rsidRPr="00F5054F">
        <w:t>ar</w:t>
      </w:r>
      <w:r w:rsidR="00342DF1" w:rsidRPr="00F5054F">
        <w:t>, empeor</w:t>
      </w:r>
      <w:r w:rsidR="003F2585" w:rsidRPr="00F5054F">
        <w:t>ar</w:t>
      </w:r>
      <w:r w:rsidR="00342DF1" w:rsidRPr="00F5054F">
        <w:t xml:space="preserve"> o desmejor</w:t>
      </w:r>
      <w:r w:rsidR="003F2585" w:rsidRPr="00F5054F">
        <w:t>ar</w:t>
      </w:r>
      <w:r w:rsidR="00342DF1" w:rsidRPr="00F5054F">
        <w:t xml:space="preserve"> la situación </w:t>
      </w:r>
      <w:r w:rsidR="006D03E5" w:rsidRPr="00F5054F">
        <w:t>definida en la primera instancia para e</w:t>
      </w:r>
      <w:r w:rsidR="00085E68" w:rsidRPr="00F5054F">
        <w:t>l apelante</w:t>
      </w:r>
      <w:r w:rsidR="006D03E5" w:rsidRPr="00F5054F">
        <w:t xml:space="preserve">, </w:t>
      </w:r>
      <w:r w:rsidR="00F574D8" w:rsidRPr="00F5054F">
        <w:t>tal como lo señaló el pleno de la Sección Tercera de esta Corporación cuando unificó su jurisprudencia sobre el particular:</w:t>
      </w:r>
    </w:p>
    <w:p w14:paraId="6EDB21F2" w14:textId="77777777" w:rsidR="000913E3" w:rsidRPr="00A72B6B" w:rsidRDefault="000913E3" w:rsidP="002174DD">
      <w:pPr>
        <w:rPr>
          <w:sz w:val="20"/>
          <w:szCs w:val="20"/>
        </w:rPr>
      </w:pPr>
    </w:p>
    <w:bookmarkEnd w:id="2"/>
    <w:p w14:paraId="5814CFEF" w14:textId="40AE7878" w:rsidR="005A2462" w:rsidRPr="00F5054F" w:rsidRDefault="002C2D84" w:rsidP="002C2D84">
      <w:pPr>
        <w:pStyle w:val="Cita"/>
        <w:rPr>
          <w:i w:val="0"/>
          <w:iCs w:val="0"/>
          <w:lang w:val="es-ES"/>
        </w:rPr>
      </w:pPr>
      <w:r w:rsidRPr="00F5054F">
        <w:rPr>
          <w:lang w:val="es-ES"/>
        </w:rPr>
        <w:t xml:space="preserve">“Pues bien, a la luz de esta garantía, que le impone al juez de la segunda instancia el deber de respetar o de preservar el fallo apelado en aquellos aspectos que no resulten desfavorables para el apelante único y que el mismo no hubiere cuestionado por considerarlos no perjudiciales para sus derechos o intereses, conecta perfectamente con la anteriormente referida limitación material que de igual manera debe respetar el juez de segunda instancia, contenida en la parte inicial del inciso primero del artículo 357 del C. de P. C., en razón de la cual </w:t>
      </w:r>
      <w:r w:rsidR="006E672C" w:rsidRPr="00F5054F">
        <w:rPr>
          <w:lang w:val="es-ES"/>
        </w:rPr>
        <w:t>‘</w:t>
      </w:r>
      <w:r w:rsidRPr="00F5054F">
        <w:rPr>
          <w:lang w:val="es-ES"/>
        </w:rPr>
        <w:t>la apelación se entiende interpuesta en lo desfavorable al apelante, y por lo tanto el superior no podrá enmendar la providencia en la parte que no fue objeto del recurso</w:t>
      </w:r>
      <w:r w:rsidR="006E672C" w:rsidRPr="00F5054F">
        <w:rPr>
          <w:lang w:val="es-ES"/>
        </w:rPr>
        <w:t>’</w:t>
      </w:r>
      <w:r w:rsidRPr="00F5054F">
        <w:rPr>
          <w:lang w:val="es-ES"/>
        </w:rPr>
        <w:t xml:space="preserve">, de lo cual se desprende con claridad que si la apelación debe entenderse interpuesta únicamente en relación con aquello que en el fallo impugnado resultare perjudicial o gravoso para el recurrente, </w:t>
      </w:r>
      <w:r w:rsidRPr="00F5054F">
        <w:rPr>
          <w:b/>
          <w:bCs/>
          <w:lang w:val="es-ES"/>
        </w:rPr>
        <w:t xml:space="preserve">el juez de la segunda </w:t>
      </w:r>
      <w:r w:rsidRPr="00F5054F">
        <w:rPr>
          <w:b/>
          <w:bCs/>
          <w:lang w:val="es-ES"/>
        </w:rPr>
        <w:lastRenderedPageBreak/>
        <w:t>instancia está en el deber de respetar y de mantener incólume, para dicho recurrente único –y con ello para el resto de las partes del proceso–,</w:t>
      </w:r>
      <w:r w:rsidRPr="00F5054F">
        <w:rPr>
          <w:lang w:val="es-ES"/>
        </w:rPr>
        <w:t xml:space="preserve"> </w:t>
      </w:r>
      <w:r w:rsidRPr="00F5054F">
        <w:rPr>
          <w:b/>
          <w:bCs/>
          <w:lang w:val="es-ES"/>
        </w:rPr>
        <w:t>los demás aspectos de ese fallo que no hubieren sido desfavorables para el impugnante o frente a los cuales él no hubiere dirigido ataque o cuestionamiento alguno</w:t>
      </w:r>
      <w:r w:rsidRPr="00F5054F">
        <w:rPr>
          <w:lang w:val="es-ES"/>
        </w:rPr>
        <w:t>, puesto que la ausencia de oposición evidencia, por sí misma, que el propio interesado no valora ni estima como perjudiciales para sus intereses los aspectos, las decisiones o las materias del fallo de primera instancia que de manera voluntaria y deliberada no recurrió, precisamente por encontrarse conforme con ellos.”</w:t>
      </w:r>
      <w:r w:rsidR="00FF36B1" w:rsidRPr="00F5054F">
        <w:rPr>
          <w:rStyle w:val="Refdenotaalpie"/>
          <w:i w:val="0"/>
          <w:iCs w:val="0"/>
          <w:lang w:val="es-ES"/>
        </w:rPr>
        <w:footnoteReference w:id="1"/>
      </w:r>
      <w:r w:rsidR="000D14E0" w:rsidRPr="00F5054F">
        <w:rPr>
          <w:i w:val="0"/>
          <w:iCs w:val="0"/>
          <w:lang w:val="es-ES"/>
        </w:rPr>
        <w:t xml:space="preserve"> (resalta la Sala).</w:t>
      </w:r>
    </w:p>
    <w:p w14:paraId="0AF757D7" w14:textId="3375D75E" w:rsidR="002C2D84" w:rsidRPr="00A72B6B" w:rsidRDefault="002C2D84" w:rsidP="000D14E0">
      <w:pPr>
        <w:rPr>
          <w:sz w:val="20"/>
          <w:szCs w:val="20"/>
        </w:rPr>
      </w:pPr>
    </w:p>
    <w:p w14:paraId="4AD40165" w14:textId="320FEC8F" w:rsidR="000D14E0" w:rsidRPr="00F5054F" w:rsidRDefault="000D14E0" w:rsidP="002174DD">
      <w:r w:rsidRPr="00F5054F">
        <w:t xml:space="preserve">Así las cosas, la competencia del juez de segunda instancia </w:t>
      </w:r>
      <w:r w:rsidR="009D0205" w:rsidRPr="00F5054F">
        <w:t xml:space="preserve">se limita a los argumentos esbozados </w:t>
      </w:r>
      <w:r w:rsidR="001F6FE3" w:rsidRPr="00F5054F">
        <w:t xml:space="preserve">en la apelación </w:t>
      </w:r>
      <w:r w:rsidR="009D0205" w:rsidRPr="00F5054F">
        <w:t>y</w:t>
      </w:r>
      <w:r w:rsidR="00FE52BB" w:rsidRPr="00F5054F">
        <w:t xml:space="preserve"> por tanto</w:t>
      </w:r>
      <w:r w:rsidR="009D0205" w:rsidRPr="00F5054F">
        <w:t xml:space="preserve"> quedan excluidos todos aquellos asuntos no debatidos por el recurrent</w:t>
      </w:r>
      <w:r w:rsidR="001F6FE3" w:rsidRPr="00F5054F">
        <w:t>e</w:t>
      </w:r>
      <w:r w:rsidR="00EB00B1" w:rsidRPr="00F5054F">
        <w:t>, en particular, la declaratoria de nulidad de las cláusulas que no fue cuestionada.</w:t>
      </w:r>
    </w:p>
    <w:p w14:paraId="0CE1F282" w14:textId="77777777" w:rsidR="002C2D84" w:rsidRPr="00A72B6B" w:rsidRDefault="002C2D84" w:rsidP="002174DD">
      <w:pPr>
        <w:rPr>
          <w:sz w:val="18"/>
          <w:szCs w:val="18"/>
        </w:rPr>
      </w:pPr>
    </w:p>
    <w:p w14:paraId="1E7760AD" w14:textId="2D07842D" w:rsidR="00BD6402" w:rsidRPr="00F5054F" w:rsidRDefault="0079089C" w:rsidP="00A17D93">
      <w:pPr>
        <w:pStyle w:val="Ttulo2"/>
        <w:numPr>
          <w:ilvl w:val="0"/>
          <w:numId w:val="21"/>
        </w:numPr>
      </w:pPr>
      <w:r w:rsidRPr="00F5054F">
        <w:t>El caso concreto</w:t>
      </w:r>
    </w:p>
    <w:p w14:paraId="49D4D74E" w14:textId="77777777" w:rsidR="00B46BC5" w:rsidRPr="00A72B6B" w:rsidRDefault="00B46BC5" w:rsidP="00B46BC5">
      <w:pPr>
        <w:rPr>
          <w:sz w:val="18"/>
          <w:szCs w:val="18"/>
        </w:rPr>
      </w:pPr>
    </w:p>
    <w:p w14:paraId="2131684C" w14:textId="0C42D3EE" w:rsidR="00B46BC5" w:rsidRPr="00F5054F" w:rsidRDefault="00B46BC5" w:rsidP="00EA3CD1">
      <w:pPr>
        <w:pStyle w:val="Ttulo2"/>
        <w:numPr>
          <w:ilvl w:val="1"/>
          <w:numId w:val="2"/>
        </w:numPr>
      </w:pPr>
      <w:r w:rsidRPr="00F5054F">
        <w:t>La congruencia de la sentencia impugnada</w:t>
      </w:r>
    </w:p>
    <w:p w14:paraId="2AACFF8F" w14:textId="77777777" w:rsidR="00B46BC5" w:rsidRPr="00A72B6B" w:rsidRDefault="00B46BC5" w:rsidP="00EA3CD1">
      <w:pPr>
        <w:rPr>
          <w:sz w:val="18"/>
          <w:szCs w:val="18"/>
        </w:rPr>
      </w:pPr>
    </w:p>
    <w:p w14:paraId="7CE51DBE" w14:textId="7667ED9E" w:rsidR="00D056B5" w:rsidRPr="00F5054F" w:rsidRDefault="00D056B5" w:rsidP="007E3CFC">
      <w:r w:rsidRPr="00F5054F">
        <w:t xml:space="preserve">La </w:t>
      </w:r>
      <w:r w:rsidRPr="00F5054F">
        <w:rPr>
          <w:i/>
          <w:iCs/>
        </w:rPr>
        <w:t>causa</w:t>
      </w:r>
      <w:r w:rsidRPr="00F5054F">
        <w:t xml:space="preserve"> </w:t>
      </w:r>
      <w:r w:rsidRPr="00F5054F">
        <w:rPr>
          <w:i/>
          <w:iCs/>
        </w:rPr>
        <w:t>petendi</w:t>
      </w:r>
      <w:r w:rsidR="00123027" w:rsidRPr="00F5054F">
        <w:t xml:space="preserve">, </w:t>
      </w:r>
      <w:r w:rsidRPr="00F5054F">
        <w:t>entendida como los hechos relevantes que sustentan y explican las pretensiones</w:t>
      </w:r>
      <w:r w:rsidR="00123027" w:rsidRPr="00F5054F">
        <w:t>,</w:t>
      </w:r>
      <w:r w:rsidRPr="00F5054F">
        <w:t xml:space="preserve"> permite delimitar el objeto del proceso y el debate probatorio desplegado por las partes de ahí que no pueda variarse durante el trámite procesal.</w:t>
      </w:r>
    </w:p>
    <w:p w14:paraId="7CB2EF1E" w14:textId="77777777" w:rsidR="00D056B5" w:rsidRPr="00A72B6B" w:rsidRDefault="00D056B5" w:rsidP="00D056B5">
      <w:pPr>
        <w:rPr>
          <w:sz w:val="20"/>
          <w:szCs w:val="20"/>
        </w:rPr>
      </w:pPr>
    </w:p>
    <w:p w14:paraId="778C3DB8" w14:textId="77777777" w:rsidR="00D056B5" w:rsidRPr="00F5054F" w:rsidRDefault="00D056B5" w:rsidP="00D056B5">
      <w:r w:rsidRPr="00F5054F">
        <w:t>En efecto, el artículo 305 del CPC prevé que la sentencia debe estar en consonancia con los hechos, las pretensiones y las excepciones y por ello prohíbe que se condene al demandado por objeto distinto del pretendido o por causa diferente a la invocada en la demanda.</w:t>
      </w:r>
    </w:p>
    <w:p w14:paraId="5A28A45E" w14:textId="77777777" w:rsidR="00D056B5" w:rsidRPr="00A72B6B" w:rsidRDefault="00D056B5" w:rsidP="00D056B5">
      <w:pPr>
        <w:rPr>
          <w:sz w:val="20"/>
          <w:szCs w:val="20"/>
        </w:rPr>
      </w:pPr>
    </w:p>
    <w:p w14:paraId="643692F9" w14:textId="0C13B60C" w:rsidR="00D056B5" w:rsidRPr="00F5054F" w:rsidRDefault="00D056B5" w:rsidP="00D056B5">
      <w:r w:rsidRPr="00F5054F">
        <w:t>Por tanto, la congruencia obliga al juez a reconocer en su sentencia únicamente lo pedido, constituye una manifestación del derecho al debido proceso, una expresión del sistema dispositivo donde incumbe a las partes impulsar el proceso y</w:t>
      </w:r>
      <w:r w:rsidR="00123027" w:rsidRPr="00F5054F">
        <w:t>,</w:t>
      </w:r>
      <w:r w:rsidRPr="00F5054F">
        <w:t xml:space="preserve"> un reflejo del principio de justicia rogada.</w:t>
      </w:r>
    </w:p>
    <w:p w14:paraId="43993727" w14:textId="77777777" w:rsidR="00D65871" w:rsidRPr="00A72B6B" w:rsidRDefault="00D65871" w:rsidP="00EA3CD1">
      <w:pPr>
        <w:rPr>
          <w:sz w:val="20"/>
          <w:szCs w:val="20"/>
        </w:rPr>
      </w:pPr>
    </w:p>
    <w:p w14:paraId="47A6DD81" w14:textId="2FC1DBA7" w:rsidR="00146725" w:rsidRPr="00F5054F" w:rsidRDefault="00D056B5" w:rsidP="007E3CFC">
      <w:r w:rsidRPr="00F5054F">
        <w:t>Tal como se indicó en los antecedentes de esta sentencia, e</w:t>
      </w:r>
      <w:r w:rsidR="00146725" w:rsidRPr="00F5054F">
        <w:t xml:space="preserve">l demandante </w:t>
      </w:r>
      <w:r w:rsidRPr="00F5054F">
        <w:t xml:space="preserve">pidió el incumplimiento </w:t>
      </w:r>
      <w:r w:rsidR="00316F5D" w:rsidRPr="00F5054F">
        <w:t xml:space="preserve">porque </w:t>
      </w:r>
      <w:r w:rsidR="00146725" w:rsidRPr="00F5054F">
        <w:t xml:space="preserve">el municipio de Aracataca </w:t>
      </w:r>
      <w:r w:rsidRPr="00F5054F">
        <w:t>no</w:t>
      </w:r>
      <w:r w:rsidR="0079089C" w:rsidRPr="00F5054F">
        <w:t xml:space="preserve"> </w:t>
      </w:r>
      <w:r w:rsidR="009309A1" w:rsidRPr="00F5054F">
        <w:t xml:space="preserve">le reconoció el valor de </w:t>
      </w:r>
      <w:r w:rsidR="00146725" w:rsidRPr="00F5054F">
        <w:t xml:space="preserve">las labores de </w:t>
      </w:r>
      <w:r w:rsidR="005400AD" w:rsidRPr="00F5054F">
        <w:t>gerencia</w:t>
      </w:r>
      <w:r w:rsidR="00146725" w:rsidRPr="00F5054F">
        <w:t xml:space="preserve"> y de interventoría</w:t>
      </w:r>
      <w:r w:rsidR="0079089C" w:rsidRPr="00F5054F">
        <w:t xml:space="preserve"> a pesar de que</w:t>
      </w:r>
      <w:r w:rsidR="00123027" w:rsidRPr="00F5054F">
        <w:t>,</w:t>
      </w:r>
      <w:r w:rsidR="0079089C" w:rsidRPr="00F5054F">
        <w:t xml:space="preserve"> a su juicio</w:t>
      </w:r>
      <w:r w:rsidR="00123027" w:rsidRPr="00F5054F">
        <w:t>,</w:t>
      </w:r>
      <w:r w:rsidR="0079089C" w:rsidRPr="00F5054F">
        <w:t xml:space="preserve"> las ejecutó de conformidad con lo pactado</w:t>
      </w:r>
      <w:r w:rsidR="00A433C2" w:rsidRPr="00F5054F">
        <w:t>, por tanto, la controversia planteada se sustentó en la falta de pago por unas actividades ejecutadas por el contratista.</w:t>
      </w:r>
    </w:p>
    <w:p w14:paraId="48C22B8A" w14:textId="2EB729E3" w:rsidR="00146725" w:rsidRPr="00A72B6B" w:rsidRDefault="00146725" w:rsidP="00C546B5">
      <w:pPr>
        <w:rPr>
          <w:sz w:val="20"/>
          <w:szCs w:val="20"/>
        </w:rPr>
      </w:pPr>
    </w:p>
    <w:p w14:paraId="56604B08" w14:textId="747348F6" w:rsidR="00B46BC5" w:rsidRPr="00F5054F" w:rsidRDefault="00B46BC5" w:rsidP="00A17D93">
      <w:pPr>
        <w:rPr>
          <w:rFonts w:eastAsia="Times New Roman" w:cs="Times New Roman"/>
          <w:bCs/>
          <w:szCs w:val="26"/>
        </w:rPr>
      </w:pPr>
      <w:r w:rsidRPr="00F5054F">
        <w:rPr>
          <w:rFonts w:eastAsia="Times New Roman" w:cs="Times New Roman"/>
          <w:bCs/>
          <w:szCs w:val="26"/>
        </w:rPr>
        <w:t xml:space="preserve">Así, las pretensiones giran en torno al incumplimiento de la obligación de pago a cargo de la entidad y para resolverlas el </w:t>
      </w:r>
      <w:r w:rsidRPr="00F5054F">
        <w:rPr>
          <w:rFonts w:eastAsia="Times New Roman" w:cs="Times New Roman"/>
          <w:bCs/>
          <w:i/>
          <w:iCs/>
          <w:szCs w:val="26"/>
        </w:rPr>
        <w:t>a quo</w:t>
      </w:r>
      <w:r w:rsidR="004A750D" w:rsidRPr="00F5054F">
        <w:rPr>
          <w:rFonts w:eastAsia="Times New Roman" w:cs="Times New Roman"/>
          <w:bCs/>
          <w:szCs w:val="26"/>
        </w:rPr>
        <w:t xml:space="preserve"> </w:t>
      </w:r>
      <w:r w:rsidRPr="00F5054F">
        <w:rPr>
          <w:rFonts w:eastAsia="Times New Roman" w:cs="Times New Roman"/>
          <w:bCs/>
          <w:szCs w:val="26"/>
        </w:rPr>
        <w:t xml:space="preserve">debía verificar </w:t>
      </w:r>
      <w:r w:rsidR="005400AD" w:rsidRPr="00F5054F">
        <w:rPr>
          <w:rFonts w:eastAsia="Times New Roman" w:cs="Times New Roman"/>
          <w:bCs/>
          <w:szCs w:val="26"/>
        </w:rPr>
        <w:t xml:space="preserve">el desarrollo del contrato, </w:t>
      </w:r>
      <w:r w:rsidRPr="00F5054F">
        <w:rPr>
          <w:rFonts w:eastAsia="Times New Roman" w:cs="Times New Roman"/>
          <w:bCs/>
          <w:szCs w:val="26"/>
        </w:rPr>
        <w:t xml:space="preserve">si las partes atendieron lo pactado y si cumplieron con los requisitos legales que les son exigibles, en consecuencia, la sentencia no es </w:t>
      </w:r>
      <w:r w:rsidR="00E808F4" w:rsidRPr="00F5054F">
        <w:rPr>
          <w:rFonts w:eastAsia="Times New Roman" w:cs="Times New Roman"/>
          <w:bCs/>
          <w:szCs w:val="26"/>
        </w:rPr>
        <w:t>incongruente</w:t>
      </w:r>
      <w:r w:rsidRPr="00F5054F">
        <w:rPr>
          <w:rFonts w:eastAsia="Times New Roman" w:cs="Times New Roman"/>
          <w:bCs/>
          <w:szCs w:val="26"/>
        </w:rPr>
        <w:t xml:space="preserve"> pues, definió el litigio </w:t>
      </w:r>
      <w:r w:rsidR="00E808F4" w:rsidRPr="00F5054F">
        <w:rPr>
          <w:rFonts w:eastAsia="Times New Roman" w:cs="Times New Roman"/>
          <w:bCs/>
          <w:szCs w:val="26"/>
        </w:rPr>
        <w:t>suscitado</w:t>
      </w:r>
      <w:r w:rsidR="00F46D83" w:rsidRPr="00F5054F">
        <w:rPr>
          <w:rFonts w:eastAsia="Times New Roman" w:cs="Times New Roman"/>
          <w:bCs/>
          <w:szCs w:val="26"/>
        </w:rPr>
        <w:t xml:space="preserve"> entre las partes.</w:t>
      </w:r>
    </w:p>
    <w:p w14:paraId="0191E75F" w14:textId="5E37D6FD" w:rsidR="00F46D83" w:rsidRPr="00A72B6B" w:rsidRDefault="00F46D83" w:rsidP="00A17D93">
      <w:pPr>
        <w:rPr>
          <w:rFonts w:eastAsia="Times New Roman" w:cs="Times New Roman"/>
          <w:bCs/>
          <w:sz w:val="20"/>
          <w:szCs w:val="20"/>
        </w:rPr>
      </w:pPr>
    </w:p>
    <w:p w14:paraId="5C40F3D8" w14:textId="5ED3C897" w:rsidR="00E808F4" w:rsidRPr="00F5054F" w:rsidRDefault="00E808F4" w:rsidP="00F46D83">
      <w:pPr>
        <w:rPr>
          <w:rFonts w:eastAsia="Times New Roman" w:cs="Times New Roman"/>
          <w:bCs/>
          <w:szCs w:val="26"/>
        </w:rPr>
      </w:pPr>
      <w:r w:rsidRPr="00F5054F">
        <w:t>El</w:t>
      </w:r>
      <w:r w:rsidR="00F46D83" w:rsidRPr="00F5054F">
        <w:rPr>
          <w:rFonts w:eastAsia="Times New Roman" w:cs="Times New Roman"/>
          <w:bCs/>
          <w:szCs w:val="26"/>
        </w:rPr>
        <w:t xml:space="preserve"> tribunal no varió </w:t>
      </w:r>
      <w:r w:rsidR="005400AD" w:rsidRPr="00F5054F">
        <w:rPr>
          <w:rFonts w:eastAsia="Times New Roman" w:cs="Times New Roman"/>
          <w:bCs/>
          <w:szCs w:val="26"/>
        </w:rPr>
        <w:t>los hechos relevantes que soportan las pretensiones, l</w:t>
      </w:r>
      <w:r w:rsidR="005400AD" w:rsidRPr="00F5054F">
        <w:t>as súplicas de la demanda exigen constatar si la entidad pagó y si el contratista cumplió con sus cargas para hacer exigible la contraprestación que reclama (artículo 1609 del Código Civil)</w:t>
      </w:r>
      <w:r w:rsidR="001F3C52" w:rsidRPr="00F5054F">
        <w:rPr>
          <w:rFonts w:eastAsia="Times New Roman" w:cs="Times New Roman"/>
          <w:bCs/>
          <w:szCs w:val="26"/>
        </w:rPr>
        <w:t>.</w:t>
      </w:r>
    </w:p>
    <w:p w14:paraId="62133629" w14:textId="77777777" w:rsidR="00E808F4" w:rsidRPr="00A72B6B" w:rsidRDefault="00E808F4" w:rsidP="00F46D83">
      <w:pPr>
        <w:rPr>
          <w:rFonts w:eastAsia="Times New Roman" w:cs="Times New Roman"/>
          <w:bCs/>
          <w:sz w:val="20"/>
          <w:szCs w:val="22"/>
        </w:rPr>
      </w:pPr>
    </w:p>
    <w:p w14:paraId="1FB1DBEB" w14:textId="14817489" w:rsidR="00F46D83" w:rsidRPr="00F5054F" w:rsidRDefault="00EB00B1" w:rsidP="00F46D83">
      <w:pPr>
        <w:rPr>
          <w:rFonts w:eastAsia="Times New Roman" w:cs="Times New Roman"/>
          <w:bCs/>
          <w:szCs w:val="26"/>
        </w:rPr>
      </w:pPr>
      <w:r w:rsidRPr="00F5054F">
        <w:rPr>
          <w:rFonts w:eastAsia="Times New Roman" w:cs="Times New Roman"/>
          <w:bCs/>
          <w:szCs w:val="26"/>
        </w:rPr>
        <w:t xml:space="preserve">En efecto, el </w:t>
      </w:r>
      <w:r w:rsidRPr="00F5054F">
        <w:rPr>
          <w:rFonts w:eastAsia="Times New Roman" w:cs="Times New Roman"/>
          <w:bCs/>
          <w:i/>
          <w:iCs/>
          <w:szCs w:val="26"/>
        </w:rPr>
        <w:t>a quo</w:t>
      </w:r>
      <w:r w:rsidRPr="00F5054F">
        <w:rPr>
          <w:rFonts w:eastAsia="Times New Roman" w:cs="Times New Roman"/>
          <w:bCs/>
          <w:szCs w:val="26"/>
        </w:rPr>
        <w:t xml:space="preserve"> encontró, de un lado, que el</w:t>
      </w:r>
      <w:r w:rsidR="00E808F4" w:rsidRPr="00F5054F">
        <w:rPr>
          <w:rFonts w:eastAsia="Times New Roman" w:cs="Times New Roman"/>
          <w:bCs/>
          <w:szCs w:val="26"/>
        </w:rPr>
        <w:t xml:space="preserve"> municipio incumplió el contrato porque </w:t>
      </w:r>
      <w:r w:rsidRPr="00F5054F">
        <w:rPr>
          <w:rFonts w:eastAsia="Times New Roman" w:cs="Times New Roman"/>
          <w:bCs/>
          <w:szCs w:val="26"/>
        </w:rPr>
        <w:t>no pagó las actividades ejecutadas por el contratista y, de otro, que el contratista también faltó a lo pactado por no entregar las respectivas pólizas que amparan el contrato</w:t>
      </w:r>
      <w:r w:rsidR="001F3C52" w:rsidRPr="00F5054F">
        <w:rPr>
          <w:rFonts w:eastAsia="Times New Roman" w:cs="Times New Roman"/>
          <w:bCs/>
          <w:szCs w:val="26"/>
        </w:rPr>
        <w:t>, por tanto, el</w:t>
      </w:r>
      <w:r w:rsidR="003E16F9" w:rsidRPr="00F5054F">
        <w:rPr>
          <w:rFonts w:eastAsia="Times New Roman" w:cs="Times New Roman"/>
          <w:bCs/>
          <w:szCs w:val="26"/>
        </w:rPr>
        <w:t xml:space="preserve"> tribunal </w:t>
      </w:r>
      <w:r w:rsidR="001F3C52" w:rsidRPr="00F5054F">
        <w:rPr>
          <w:rFonts w:eastAsia="Times New Roman" w:cs="Times New Roman"/>
          <w:bCs/>
          <w:szCs w:val="26"/>
        </w:rPr>
        <w:t>se limitó al estudio de la declaratoria de incumplimiento y de la respectiva condena pedida en la demanda y en ese análisis verificó que las partes desatendieron mutuamente sus obligaciones y por ello solo reconoció la mitad del valor pactado.</w:t>
      </w:r>
    </w:p>
    <w:p w14:paraId="2E51EF41" w14:textId="77777777" w:rsidR="00F46D83" w:rsidRPr="00A72B6B" w:rsidRDefault="00F46D83" w:rsidP="00F46D83">
      <w:pPr>
        <w:rPr>
          <w:sz w:val="20"/>
          <w:szCs w:val="20"/>
        </w:rPr>
      </w:pPr>
    </w:p>
    <w:p w14:paraId="6063450A" w14:textId="3AF13B3F" w:rsidR="00D12F01" w:rsidRPr="00F5054F" w:rsidRDefault="005400AD" w:rsidP="00F46D83">
      <w:r w:rsidRPr="00F5054F">
        <w:t xml:space="preserve">El juez no debe ser ajeno a los hechos probados en el proceso que impacten las pretensiones y las razones de defensa esbozadas por las partes, es su deber sustentar su decisión en las pruebas y a eso se </w:t>
      </w:r>
      <w:r w:rsidR="00E808F4" w:rsidRPr="00F5054F">
        <w:t>circunscribió</w:t>
      </w:r>
      <w:r w:rsidRPr="00F5054F">
        <w:t xml:space="preserve"> la sentencia apelada sin que pueda </w:t>
      </w:r>
      <w:r w:rsidR="00E808F4" w:rsidRPr="00F5054F">
        <w:t>reprochársele</w:t>
      </w:r>
      <w:r w:rsidRPr="00F5054F">
        <w:t xml:space="preserve"> el estudio de los requisitos de ejecución pues, precisamente, las pretensiones y la </w:t>
      </w:r>
      <w:r w:rsidRPr="00F5054F">
        <w:rPr>
          <w:i/>
          <w:iCs/>
        </w:rPr>
        <w:t xml:space="preserve">causa petendi </w:t>
      </w:r>
      <w:r w:rsidRPr="00F5054F">
        <w:t>se relacionaban con ello.</w:t>
      </w:r>
    </w:p>
    <w:p w14:paraId="059B1C8B" w14:textId="0B706B3D" w:rsidR="00D12F01" w:rsidRPr="00A72B6B" w:rsidRDefault="00D12F01" w:rsidP="00C546B5">
      <w:pPr>
        <w:rPr>
          <w:sz w:val="20"/>
          <w:szCs w:val="20"/>
        </w:rPr>
      </w:pPr>
    </w:p>
    <w:p w14:paraId="72CEAEEA" w14:textId="13511022" w:rsidR="005400AD" w:rsidRPr="00F5054F" w:rsidRDefault="005400AD" w:rsidP="00C546B5">
      <w:r w:rsidRPr="00F5054F">
        <w:t>Así, el tribunal cimentó su sentencia en las súplicas de la demanda y en los hechos que les sirven de fundamento, en consecuencia, no se advierte la alegada incongruencia.</w:t>
      </w:r>
    </w:p>
    <w:p w14:paraId="13552F41" w14:textId="77777777" w:rsidR="00F46D83" w:rsidRPr="00A72B6B" w:rsidRDefault="00F46D83" w:rsidP="00F46D83">
      <w:pPr>
        <w:rPr>
          <w:sz w:val="20"/>
          <w:szCs w:val="20"/>
        </w:rPr>
      </w:pPr>
    </w:p>
    <w:p w14:paraId="090E763E" w14:textId="22CD0864" w:rsidR="00F46D83" w:rsidRPr="00F5054F" w:rsidRDefault="005400AD" w:rsidP="00A17D93">
      <w:pPr>
        <w:pStyle w:val="Ttulo2"/>
        <w:numPr>
          <w:ilvl w:val="1"/>
          <w:numId w:val="2"/>
        </w:numPr>
      </w:pPr>
      <w:r w:rsidRPr="00F5054F">
        <w:t>El régimen del contrato</w:t>
      </w:r>
    </w:p>
    <w:p w14:paraId="09F20A96" w14:textId="543F721F" w:rsidR="00663823" w:rsidRPr="00F5054F" w:rsidRDefault="00663823" w:rsidP="00663823"/>
    <w:p w14:paraId="2B2B34DC" w14:textId="1EBFA5AE" w:rsidR="00F46D83" w:rsidRPr="00F5054F" w:rsidRDefault="00F46D83" w:rsidP="00F46D83">
      <w:r w:rsidRPr="00F5054F">
        <w:t>Si bien las partes mencionaron el artículo 355 superior en el contrato</w:t>
      </w:r>
      <w:r w:rsidRPr="00F5054F">
        <w:rPr>
          <w:rStyle w:val="Refdenotaalpie"/>
        </w:rPr>
        <w:footnoteReference w:id="2"/>
      </w:r>
      <w:r w:rsidRPr="00F5054F">
        <w:t xml:space="preserve"> lo cierto es que el artículo 1618 del Código Civil prevé que debe darse prevalencia a la intención </w:t>
      </w:r>
      <w:r w:rsidRPr="00F5054F">
        <w:lastRenderedPageBreak/>
        <w:t>común de las partes, si el contrato corresponde a un acuerdo de voluntades su alcance debe responder a aquello que las partes quisieron pactar más que a la literalidad de las palabras empleadas en el instrumento que recoge el acuerdo.</w:t>
      </w:r>
    </w:p>
    <w:p w14:paraId="339792EC" w14:textId="77777777" w:rsidR="00F46D83" w:rsidRPr="00F5054F" w:rsidRDefault="00F46D83" w:rsidP="00F46D83"/>
    <w:p w14:paraId="051587D3" w14:textId="6ACB4B9B" w:rsidR="00F46D83" w:rsidRPr="00F5054F" w:rsidRDefault="00F46D83" w:rsidP="00F46D83">
      <w:pPr>
        <w:rPr>
          <w:b/>
          <w:bCs/>
        </w:rPr>
      </w:pPr>
      <w:r w:rsidRPr="00F5054F">
        <w:t>Las disposiciones jurídicas citadas en el texto del contrato no resultan determinantes para esclarecer la tipología contractual de que trate pues, para ello deben verificarse e identificarse los elementos de su esencia, sin cuya concurrencia u observancia el negocio jurídico sería inexistente o se convertiría en uno distinto</w:t>
      </w:r>
      <w:r w:rsidRPr="00F5054F">
        <w:rPr>
          <w:rStyle w:val="Refdenotaalpie"/>
        </w:rPr>
        <w:footnoteReference w:id="3"/>
      </w:r>
      <w:r w:rsidRPr="00F5054F">
        <w:t>.</w:t>
      </w:r>
    </w:p>
    <w:p w14:paraId="28E1188F" w14:textId="77777777" w:rsidR="00F46D83" w:rsidRPr="00F5054F" w:rsidRDefault="00F46D83" w:rsidP="00663823"/>
    <w:p w14:paraId="2AC8A04D" w14:textId="66F7D60D" w:rsidR="00F46D83" w:rsidRPr="00F5054F" w:rsidRDefault="00F46D83" w:rsidP="00F46D83">
      <w:r w:rsidRPr="00F5054F">
        <w:t>Así, del clausulado contractual se tiene que el particular debía ejecutar labores de gerencia</w:t>
      </w:r>
      <w:r w:rsidR="005400AD" w:rsidRPr="00F5054F">
        <w:rPr>
          <w:rStyle w:val="Refdenotaalpie"/>
        </w:rPr>
        <w:footnoteReference w:id="4"/>
      </w:r>
      <w:r w:rsidRPr="00F5054F">
        <w:t xml:space="preserve"> e interventoría</w:t>
      </w:r>
      <w:r w:rsidR="005400AD" w:rsidRPr="00F5054F">
        <w:rPr>
          <w:rStyle w:val="Refdenotaalpie"/>
        </w:rPr>
        <w:footnoteReference w:id="5"/>
      </w:r>
      <w:r w:rsidRPr="00F5054F">
        <w:t>, en consecuencia, la relación negocial que perfilaron las partes se enmarcó en un contrato conmutativo de consultoría, expresamente previsto en el numeral 2 del artículo 32 de la Ley 80 de 1993 que a la letra reza:</w:t>
      </w:r>
    </w:p>
    <w:p w14:paraId="6DBA7A25" w14:textId="77777777" w:rsidR="00F46D83" w:rsidRPr="00F5054F" w:rsidRDefault="00F46D83" w:rsidP="00F46D83"/>
    <w:p w14:paraId="25ECC4EB" w14:textId="5DA939BF" w:rsidR="00F46D83" w:rsidRPr="00F5054F" w:rsidRDefault="00F46D83" w:rsidP="00F46D83">
      <w:pPr>
        <w:pStyle w:val="Cita"/>
        <w:rPr>
          <w:lang w:val="es-ES"/>
        </w:rPr>
      </w:pPr>
      <w:r w:rsidRPr="00F5054F">
        <w:rPr>
          <w:lang w:val="es-ES"/>
        </w:rPr>
        <w:t xml:space="preserve">“De los contratos estatales. Son contratos estatales todos los actos jurídicos generadores de obligaciones que celebren las entidades a que se refiere el presente estatuto, previstos en el derecho privado o en disposiciones especiales, o derivados del ejercicio de la autonomía de la voluntad, así como los que, a título enunciativo, se definen a continuación: (…) </w:t>
      </w:r>
    </w:p>
    <w:p w14:paraId="074B3F5F" w14:textId="77777777" w:rsidR="00F46D83" w:rsidRPr="00F5054F" w:rsidRDefault="00F46D83" w:rsidP="00F46D83">
      <w:pPr>
        <w:pStyle w:val="Cita"/>
        <w:rPr>
          <w:lang w:val="es-ES"/>
        </w:rPr>
      </w:pPr>
    </w:p>
    <w:p w14:paraId="6CCAC460" w14:textId="77777777" w:rsidR="00F46D83" w:rsidRPr="00F5054F" w:rsidRDefault="00F46D83" w:rsidP="00F46D83">
      <w:pPr>
        <w:pStyle w:val="Cita"/>
        <w:rPr>
          <w:lang w:val="es-ES"/>
        </w:rPr>
      </w:pPr>
      <w:r w:rsidRPr="00F5054F">
        <w:rPr>
          <w:lang w:val="es-ES"/>
        </w:rPr>
        <w:t>2. Contrato de Consultoría. 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9DC7ECD" w14:textId="77777777" w:rsidR="00F46D83" w:rsidRPr="00F5054F" w:rsidRDefault="00F46D83" w:rsidP="00F46D83">
      <w:pPr>
        <w:pStyle w:val="Cita"/>
        <w:rPr>
          <w:lang w:val="es-ES"/>
        </w:rPr>
      </w:pPr>
    </w:p>
    <w:p w14:paraId="5AF955EA" w14:textId="0CD6409C" w:rsidR="00F46D83" w:rsidRPr="00F5054F" w:rsidRDefault="00F46D83" w:rsidP="00F46D83">
      <w:pPr>
        <w:pStyle w:val="Cita"/>
        <w:rPr>
          <w:lang w:val="es-ES"/>
        </w:rPr>
      </w:pPr>
      <w:r w:rsidRPr="00F5054F">
        <w:rPr>
          <w:lang w:val="es-ES"/>
        </w:rPr>
        <w:t>Son también contratos de consultoría los que tienen por objeto la interventoría, asesoría, gerencia de obra o de proyectos, dirección, programación y la ejecución de diseños, planos, anteproyectos y proyectos.”</w:t>
      </w:r>
    </w:p>
    <w:p w14:paraId="2A61CAE0" w14:textId="77777777" w:rsidR="00F46D83" w:rsidRPr="00F5054F" w:rsidRDefault="00F46D83" w:rsidP="00F46D83"/>
    <w:p w14:paraId="04B0B730" w14:textId="2CB72DB3" w:rsidR="00F46D83" w:rsidRPr="00F5054F" w:rsidRDefault="00F46D83" w:rsidP="00F46D83">
      <w:r w:rsidRPr="00F5054F">
        <w:t>Sobre el contrato de consultoría</w:t>
      </w:r>
      <w:r w:rsidR="005400AD" w:rsidRPr="00F5054F">
        <w:t xml:space="preserve"> se ha precisado que este: </w:t>
      </w:r>
    </w:p>
    <w:p w14:paraId="0A706EAD" w14:textId="77777777" w:rsidR="00F46D83" w:rsidRPr="00F5054F" w:rsidRDefault="00F46D83" w:rsidP="00F46D83"/>
    <w:p w14:paraId="1652AC35" w14:textId="5E746B5A" w:rsidR="00F46D83" w:rsidRPr="00F5054F" w:rsidRDefault="005400AD" w:rsidP="005400AD">
      <w:pPr>
        <w:pStyle w:val="Cita"/>
        <w:rPr>
          <w:b/>
          <w:bCs/>
          <w:lang w:val="es-ES"/>
        </w:rPr>
      </w:pPr>
      <w:r w:rsidRPr="00F5054F">
        <w:rPr>
          <w:lang w:val="es-ES"/>
        </w:rPr>
        <w:t>“</w:t>
      </w:r>
      <w:r w:rsidR="00F46D83" w:rsidRPr="00F5054F">
        <w:rPr>
          <w:b/>
          <w:bCs/>
          <w:i w:val="0"/>
          <w:iCs w:val="0"/>
          <w:lang w:val="es-ES"/>
        </w:rPr>
        <w:t>[C]</w:t>
      </w:r>
      <w:proofErr w:type="spellStart"/>
      <w:r w:rsidR="00F46D83" w:rsidRPr="00F5054F">
        <w:rPr>
          <w:b/>
          <w:bCs/>
          <w:lang w:val="es-ES"/>
        </w:rPr>
        <w:t>onsiste</w:t>
      </w:r>
      <w:proofErr w:type="spellEnd"/>
      <w:r w:rsidR="00F46D83" w:rsidRPr="00F5054F">
        <w:rPr>
          <w:b/>
          <w:bCs/>
          <w:lang w:val="es-ES"/>
        </w:rPr>
        <w:t xml:space="preserve">, básicamente, </w:t>
      </w:r>
      <w:r w:rsidR="00F46D83" w:rsidRPr="00F5054F">
        <w:rPr>
          <w:lang w:val="es-ES"/>
        </w:rPr>
        <w:t xml:space="preserve">en la realización de estudios, diseños y en la asesoría técnica al control y supervisión de proyectos, así como </w:t>
      </w:r>
      <w:r w:rsidR="00F46D83" w:rsidRPr="00F5054F">
        <w:rPr>
          <w:b/>
          <w:bCs/>
          <w:lang w:val="es-ES"/>
        </w:rPr>
        <w:t>en la interventoría y en la gerencia</w:t>
      </w:r>
      <w:r w:rsidR="00F46D83" w:rsidRPr="00F5054F">
        <w:rPr>
          <w:lang w:val="es-ES"/>
        </w:rPr>
        <w:t xml:space="preserve"> y dirección de obras o proyectos, </w:t>
      </w:r>
      <w:r w:rsidR="00F46D83" w:rsidRPr="00F5054F">
        <w:rPr>
          <w:b/>
          <w:bCs/>
          <w:lang w:val="es-ES"/>
        </w:rPr>
        <w:t>lo cual encierra una variedad muy amplia de actividades, todas ellas regidas por un común denominador de índole técnico y cargadas de un matiz especializado en la ejecución de este tipo de contratos.</w:t>
      </w:r>
    </w:p>
    <w:p w14:paraId="7CA51A0F" w14:textId="77777777" w:rsidR="00F46D83" w:rsidRPr="00F5054F" w:rsidRDefault="00F46D83" w:rsidP="005400AD">
      <w:pPr>
        <w:pStyle w:val="Cita"/>
        <w:rPr>
          <w:lang w:val="es-ES"/>
        </w:rPr>
      </w:pPr>
    </w:p>
    <w:p w14:paraId="64E5A31D" w14:textId="4CFF4389" w:rsidR="00F46D83" w:rsidRPr="00F5054F" w:rsidRDefault="00F46D83" w:rsidP="005400AD">
      <w:pPr>
        <w:pStyle w:val="Cita"/>
        <w:rPr>
          <w:i w:val="0"/>
          <w:iCs w:val="0"/>
          <w:lang w:val="es-ES"/>
        </w:rPr>
      </w:pPr>
      <w:r w:rsidRPr="00F5054F">
        <w:rPr>
          <w:lang w:val="es-ES"/>
        </w:rPr>
        <w:t>De este modo, el contrato de consultoría se caracteriza porque sus obligaciones tienen un carácter marcadamente intelectual, como condición para el desarrollo de las actividades que le son propias, aunque también se asocia con la aplicación de esos conocimientos a la ejecución de proyectos u obras</w:t>
      </w:r>
      <w:r w:rsidRPr="00F5054F">
        <w:rPr>
          <w:i w:val="0"/>
          <w:iCs w:val="0"/>
          <w:lang w:val="es-ES"/>
        </w:rPr>
        <w:t>.</w:t>
      </w:r>
      <w:r w:rsidR="005400AD" w:rsidRPr="00F5054F">
        <w:rPr>
          <w:i w:val="0"/>
          <w:iCs w:val="0"/>
          <w:lang w:val="es-ES"/>
        </w:rPr>
        <w:t>”</w:t>
      </w:r>
      <w:r w:rsidR="005400AD" w:rsidRPr="00F5054F">
        <w:rPr>
          <w:rStyle w:val="Refdenotaalpie"/>
          <w:i w:val="0"/>
          <w:iCs w:val="0"/>
          <w:lang w:val="es-ES"/>
        </w:rPr>
        <w:footnoteReference w:id="6"/>
      </w:r>
      <w:r w:rsidR="005400AD" w:rsidRPr="00F5054F">
        <w:rPr>
          <w:i w:val="0"/>
          <w:iCs w:val="0"/>
          <w:lang w:val="es-ES"/>
        </w:rPr>
        <w:t>(resalta la Sala).</w:t>
      </w:r>
    </w:p>
    <w:p w14:paraId="58AF7E81" w14:textId="77777777" w:rsidR="00F46D83" w:rsidRPr="00F5054F" w:rsidRDefault="00F46D83" w:rsidP="00F46D83"/>
    <w:p w14:paraId="0EA97B31" w14:textId="1D8E69EB" w:rsidR="00F46D83" w:rsidRPr="00F5054F" w:rsidRDefault="005400AD" w:rsidP="00F46D83">
      <w:r w:rsidRPr="00F5054F">
        <w:t xml:space="preserve">En ese orden, </w:t>
      </w:r>
      <w:r w:rsidR="00F46D83" w:rsidRPr="00F5054F">
        <w:t>se concluye que el convenio de cooperación celebrado por las partes corresponde a un contrato de consultoría cuyo régimen jurídico es el previsto en la Ley 80 de 1993 ya que por regla general la contratación de los municipios se rigen por ese cuerpo normativo, con excepción de aquellos contratos que se prevea otra regulación y este no es el caso</w:t>
      </w:r>
      <w:r w:rsidRPr="00F5054F">
        <w:t xml:space="preserve"> por lo que no resultan aplicables las previsiones del artículo 355 superior</w:t>
      </w:r>
      <w:r w:rsidR="00F46D83" w:rsidRPr="00F5054F">
        <w:t>.</w:t>
      </w:r>
    </w:p>
    <w:p w14:paraId="371D801B" w14:textId="77777777" w:rsidR="00CD1C37" w:rsidRPr="00F5054F" w:rsidRDefault="00CD1C37" w:rsidP="00CD1C37"/>
    <w:p w14:paraId="01C865CD" w14:textId="1BFD55FF" w:rsidR="00CD1C37" w:rsidRPr="00F5054F" w:rsidRDefault="00CD1C37" w:rsidP="00CD1C37">
      <w:pPr>
        <w:pStyle w:val="Ttulo2"/>
      </w:pPr>
      <w:r w:rsidRPr="00F5054F">
        <w:t>Actualización de la condena</w:t>
      </w:r>
    </w:p>
    <w:p w14:paraId="7FF622B7" w14:textId="707AD0B0" w:rsidR="00CD1C37" w:rsidRPr="00F5054F" w:rsidRDefault="00CD1C37" w:rsidP="00CD1C37"/>
    <w:p w14:paraId="060DE0E0" w14:textId="7812D6AB" w:rsidR="000F42A0" w:rsidRPr="00F5054F" w:rsidRDefault="00CD1C37" w:rsidP="00CD1C37">
      <w:r w:rsidRPr="00F5054F">
        <w:t>El fallo de primera instancia condenó al pago de doscientos ocho millones setecientos cuarenta y un mil trescientos noventa y dos pesos ($208.741.392)</w:t>
      </w:r>
      <w:r w:rsidR="000F42A0" w:rsidRPr="00F5054F">
        <w:t xml:space="preserve"> suma que será actualizada con la siguiente fórmula:</w:t>
      </w:r>
    </w:p>
    <w:p w14:paraId="4A32EAD7" w14:textId="77777777" w:rsidR="00A0697B" w:rsidRPr="00F5054F" w:rsidRDefault="00A0697B" w:rsidP="00A0697B">
      <w:pPr>
        <w:rPr>
          <w:lang w:val="es-CO" w:eastAsia="es-ES"/>
        </w:rPr>
      </w:pPr>
    </w:p>
    <w:p w14:paraId="1E68137F" w14:textId="77777777" w:rsidR="00A0697B" w:rsidRPr="00A0697B" w:rsidRDefault="00A0697B" w:rsidP="00A0697B">
      <w:pPr>
        <w:overflowPunct w:val="0"/>
        <w:autoSpaceDE w:val="0"/>
        <w:autoSpaceDN w:val="0"/>
        <w:adjustRightInd w:val="0"/>
        <w:spacing w:line="240" w:lineRule="auto"/>
        <w:jc w:val="center"/>
        <w:textAlignment w:val="baseline"/>
        <w:rPr>
          <w:rFonts w:eastAsia="Times New Roman"/>
          <w:sz w:val="26"/>
          <w:szCs w:val="26"/>
          <w:lang w:val="es-CO" w:eastAsia="es-ES"/>
        </w:rPr>
      </w:pPr>
      <w:r w:rsidRPr="00A0697B">
        <w:rPr>
          <w:rFonts w:ascii="Calibri" w:hAnsi="Calibri" w:cs="Times New Roman"/>
          <w:noProof/>
          <w:sz w:val="22"/>
          <w:szCs w:val="22"/>
          <w:lang w:val="es-CO" w:eastAsia="es-CO"/>
        </w:rPr>
        <mc:AlternateContent>
          <mc:Choice Requires="wps">
            <w:drawing>
              <wp:inline distT="0" distB="0" distL="0" distR="0" wp14:anchorId="656F7E3A" wp14:editId="014A72A2">
                <wp:extent cx="1685925" cy="466724"/>
                <wp:effectExtent l="0" t="0" r="0" b="3810"/>
                <wp:docPr id="7" name="CuadroTexto 6">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txBox="1"/>
                      <wps:spPr>
                        <a:xfrm>
                          <a:off x="0" y="0"/>
                          <a:ext cx="1685925" cy="466724"/>
                        </a:xfrm>
                        <a:prstGeom prst="rect">
                          <a:avLst/>
                        </a:prstGeom>
                        <a:noFill/>
                        <a:ln>
                          <a:noFill/>
                        </a:ln>
                        <a:effectLst/>
                      </wps:spPr>
                      <wps:txbx>
                        <w:txbxContent>
                          <w:p w14:paraId="7A5E339A" w14:textId="77777777" w:rsidR="00A0697B" w:rsidRPr="00A0697B" w:rsidRDefault="00A0697B" w:rsidP="00A0697B">
                            <m:oMathPara>
                              <m:oMathParaPr>
                                <m:jc m:val="centerGroup"/>
                              </m:oMathParaPr>
                              <m:oMath>
                                <m:r>
                                  <m:rPr>
                                    <m:nor/>
                                  </m:rPr>
                                  <w:rPr>
                                    <w:color w:val="000000"/>
                                  </w:rPr>
                                  <m:t>vf = vi x</m:t>
                                </m:r>
                                <m:f>
                                  <m:fPr>
                                    <m:ctrlPr>
                                      <w:rPr>
                                        <w:rFonts w:ascii="Cambria Math" w:eastAsia="Times New Roman" w:hAnsi="Cambria Math" w:cs="Times New Roman"/>
                                        <w:i/>
                                        <w:iCs/>
                                        <w:color w:val="000000"/>
                                      </w:rPr>
                                    </m:ctrlPr>
                                  </m:fPr>
                                  <m:num>
                                    <m:r>
                                      <m:rPr>
                                        <m:nor/>
                                      </m:rPr>
                                      <w:rPr>
                                        <w:color w:val="000000"/>
                                      </w:rPr>
                                      <m:t>índice final</m:t>
                                    </m:r>
                                  </m:num>
                                  <m:den>
                                    <m:r>
                                      <m:rPr>
                                        <m:nor/>
                                      </m:rPr>
                                      <w:rPr>
                                        <w:color w:val="000000"/>
                                      </w:rPr>
                                      <m:t>índice inicial</m:t>
                                    </m:r>
                                  </m:den>
                                </m:f>
                              </m:oMath>
                            </m:oMathPara>
                          </w:p>
                          <w:p w14:paraId="0AEE8532" w14:textId="77777777" w:rsidR="00A0697B" w:rsidRDefault="00A0697B" w:rsidP="00A0697B">
                            <w:r>
                              <w:rPr>
                                <w:color w:val="000000"/>
                                <w:sz w:val="26"/>
                                <w:szCs w:val="26"/>
                              </w:rPr>
                              <w:t xml:space="preserve">Dónde: </w:t>
                            </w:r>
                          </w:p>
                          <w:p w14:paraId="7B789884" w14:textId="77777777" w:rsidR="00A0697B" w:rsidRDefault="00A0697B" w:rsidP="00A0697B">
                            <w:r>
                              <w:rPr>
                                <w:color w:val="000000"/>
                                <w:sz w:val="26"/>
                                <w:szCs w:val="26"/>
                              </w:rPr>
                              <w:t xml:space="preserve">   Vf: es el valor final o condena actualizada o ajustada.</w:t>
                            </w:r>
                          </w:p>
                          <w:p w14:paraId="5C7FF97C" w14:textId="77777777" w:rsidR="00A0697B" w:rsidRDefault="00A0697B" w:rsidP="00A0697B">
                            <w:r>
                              <w:rPr>
                                <w:color w:val="000000"/>
                                <w:sz w:val="26"/>
                                <w:szCs w:val="26"/>
                              </w:rPr>
                              <w:t xml:space="preserve">   Vi: es el valor inicial o de la condena ($24.120.000).</w:t>
                            </w:r>
                          </w:p>
                          <w:p w14:paraId="3492FBDD" w14:textId="77777777" w:rsidR="00A0697B" w:rsidRDefault="00A0697B" w:rsidP="00A0697B">
                            <w:r>
                              <w:rPr>
                                <w:color w:val="000000"/>
                                <w:sz w:val="26"/>
                                <w:szCs w:val="26"/>
                              </w:rPr>
                              <w:t xml:space="preserve">   Índice final: el de esta sentencia (marzo de 2016).</w:t>
                            </w:r>
                          </w:p>
                          <w:p w14:paraId="05D523C2" w14:textId="77777777" w:rsidR="00A0697B" w:rsidRDefault="00A0697B" w:rsidP="00A0697B">
                            <w:r>
                              <w:rPr>
                                <w:color w:val="000000"/>
                                <w:sz w:val="26"/>
                                <w:szCs w:val="26"/>
                              </w:rPr>
                              <w:t xml:space="preserve">   Índice inicial: el del avalúo (febrero de 2006).</w:t>
                            </w:r>
                          </w:p>
                          <w:p w14:paraId="5CC96E1D" w14:textId="77777777" w:rsidR="00A0697B" w:rsidRDefault="00A0697B" w:rsidP="00A0697B">
                            <m:oMathPara>
                              <m:oMathParaPr>
                                <m:jc m:val="centerGroup"/>
                              </m:oMathParaPr>
                              <m:oMath>
                                <m:r>
                                  <m:rPr>
                                    <m:nor/>
                                  </m:rPr>
                                  <w:rPr>
                                    <w:i/>
                                    <w:iCs/>
                                    <w:color w:val="000000"/>
                                    <w:sz w:val="26"/>
                                    <w:szCs w:val="26"/>
                                  </w:rPr>
                                  <m:t>Vf = $24.120.000 x</m:t>
                                </m:r>
                                <m:f>
                                  <m:fPr>
                                    <m:ctrlPr>
                                      <w:rPr>
                                        <w:rFonts w:ascii="Cambria Math" w:eastAsia="Times New Roman" w:hAnsi="Cambria Math" w:cs="Times New Roman"/>
                                        <w:i/>
                                        <w:iCs/>
                                        <w:color w:val="000000"/>
                                        <w:sz w:val="26"/>
                                        <w:szCs w:val="26"/>
                                      </w:rPr>
                                    </m:ctrlPr>
                                  </m:fPr>
                                  <m:num>
                                    <m:r>
                                      <m:rPr>
                                        <m:nor/>
                                      </m:rPr>
                                      <w:rPr>
                                        <w:i/>
                                        <w:iCs/>
                                        <w:color w:val="000000"/>
                                        <w:sz w:val="26"/>
                                        <w:szCs w:val="26"/>
                                      </w:rPr>
                                      <m:t>130.63</m:t>
                                    </m:r>
                                  </m:num>
                                  <m:den>
                                    <m:r>
                                      <m:rPr>
                                        <m:nor/>
                                      </m:rPr>
                                      <w:rPr>
                                        <w:i/>
                                        <w:iCs/>
                                        <w:color w:val="000000"/>
                                        <w:sz w:val="26"/>
                                        <w:szCs w:val="26"/>
                                      </w:rPr>
                                      <m:t>85.11</m:t>
                                    </m:r>
                                  </m:den>
                                </m:f>
                              </m:oMath>
                            </m:oMathPara>
                          </w:p>
                          <w:p w14:paraId="369247EB" w14:textId="77777777" w:rsidR="00A0697B" w:rsidRDefault="00A0697B" w:rsidP="00A0697B">
                            <w:pPr>
                              <w:jc w:val="center"/>
                            </w:pPr>
                            <w:r>
                              <w:rPr>
                                <w:color w:val="000000"/>
                                <w:sz w:val="26"/>
                                <w:szCs w:val="26"/>
                              </w:rPr>
                              <w:t>Vf = $36.212.591</w:t>
                            </w:r>
                          </w:p>
                          <w:p w14:paraId="24DDE61A" w14:textId="77777777" w:rsidR="00A0697B" w:rsidRDefault="00A0697B" w:rsidP="00A0697B">
                            <w:r>
                              <w:rPr>
                                <w:color w:val="000000"/>
                                <w:sz w:val="26"/>
                                <w:szCs w:val="26"/>
                              </w:rPr>
                              <w:t xml:space="preserve"> </w:t>
                            </w:r>
                          </w:p>
                        </w:txbxContent>
                      </wps:txbx>
                      <wps:bodyPr vertOverflow="clip" horzOverflow="clip" wrap="none" lIns="0" tIns="0" rIns="0" bIns="0" rtlCol="0" anchor="t">
                        <a:noAutofit/>
                      </wps:bodyPr>
                    </wps:wsp>
                  </a:graphicData>
                </a:graphic>
              </wp:inline>
            </w:drawing>
          </mc:Choice>
          <mc:Fallback>
            <w:pict>
              <v:shapetype w14:anchorId="656F7E3A" id="_x0000_t202" coordsize="21600,21600" o:spt="202" path="m,l,21600r21600,l21600,xe">
                <v:stroke joinstyle="miter"/>
                <v:path gradientshapeok="t" o:connecttype="rect"/>
              </v:shapetype>
              <v:shape id="CuadroTexto 6" o:spid="_x0000_s1026" type="#_x0000_t202" style="width:132.75pt;height:36.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" filled="f" stroked="f">
                <v:textbox inset="0,0,0,0">
                  <w:txbxContent>
                    <w:p w14:paraId="7A5E339A" w14:textId="77777777" w:rsidR="00A0697B" w:rsidRPr="00A0697B" w:rsidRDefault="00A0697B" w:rsidP="00A0697B">
                      <w:proofErr w:type="spellStart"/>
                      <m:oMathPara>
                        <m:oMathParaPr>
                          <m:jc m:val="centerGroup"/>
                        </m:oMathParaPr>
                        <m:oMath>
                          <m:r>
                            <m:rPr>
                              <m:nor/>
                            </m:rPr>
                            <w:rPr>
                              <w:color w:val="000000"/>
                            </w:rPr>
                            <m:t>vf</m:t>
                          </m:r>
                          <w:proofErr w:type="spellEnd"/>
                          <m:r>
                            <m:rPr>
                              <m:nor/>
                            </m:rPr>
                            <w:rPr>
                              <w:color w:val="000000"/>
                            </w:rPr>
                            <m:t> = vi x</m:t>
                          </m:r>
                          <m:f>
                            <m:fPr>
                              <m:ctrlPr>
                                <w:rPr>
                                  <w:rFonts w:ascii="Cambria Math" w:eastAsia="Times New Roman" w:hAnsi="Cambria Math" w:cs="Times New Roman"/>
                                  <w:i/>
                                  <w:iCs/>
                                  <w:color w:val="000000"/>
                                </w:rPr>
                              </m:ctrlPr>
                            </m:fPr>
                            <m:num>
                              <m:r>
                                <m:rPr>
                                  <m:nor/>
                                </m:rPr>
                                <w:rPr>
                                  <w:color w:val="000000"/>
                                </w:rPr>
                                <m:t>índice final</m:t>
                              </m:r>
                            </m:num>
                            <m:den>
                              <m:r>
                                <m:rPr>
                                  <m:nor/>
                                </m:rPr>
                                <w:rPr>
                                  <w:color w:val="000000"/>
                                </w:rPr>
                                <m:t>índice inicial</m:t>
                              </m:r>
                            </m:den>
                          </m:f>
                        </m:oMath>
                      </m:oMathPara>
                    </w:p>
                    <w:p w14:paraId="0AEE8532" w14:textId="77777777" w:rsidR="00A0697B" w:rsidRDefault="00A0697B" w:rsidP="00A0697B">
                      <w:r>
                        <w:rPr>
                          <w:color w:val="000000"/>
                          <w:sz w:val="26"/>
                          <w:szCs w:val="26"/>
                        </w:rPr>
                        <w:t xml:space="preserve">Dónde: </w:t>
                      </w:r>
                    </w:p>
                    <w:p w14:paraId="7B789884" w14:textId="77777777" w:rsidR="00A0697B" w:rsidRDefault="00A0697B" w:rsidP="00A0697B">
                      <w:r>
                        <w:rPr>
                          <w:color w:val="000000"/>
                          <w:sz w:val="26"/>
                          <w:szCs w:val="26"/>
                        </w:rPr>
                        <w:t xml:space="preserve">   </w:t>
                      </w:r>
                      <w:proofErr w:type="spellStart"/>
                      <w:r>
                        <w:rPr>
                          <w:color w:val="000000"/>
                          <w:sz w:val="26"/>
                          <w:szCs w:val="26"/>
                        </w:rPr>
                        <w:t>Vf</w:t>
                      </w:r>
                      <w:proofErr w:type="spellEnd"/>
                      <w:r>
                        <w:rPr>
                          <w:color w:val="000000"/>
                          <w:sz w:val="26"/>
                          <w:szCs w:val="26"/>
                        </w:rPr>
                        <w:t>: es el valor final o condena actualizada o ajustada.</w:t>
                      </w:r>
                    </w:p>
                    <w:p w14:paraId="5C7FF97C" w14:textId="77777777" w:rsidR="00A0697B" w:rsidRDefault="00A0697B" w:rsidP="00A0697B">
                      <w:r>
                        <w:rPr>
                          <w:color w:val="000000"/>
                          <w:sz w:val="26"/>
                          <w:szCs w:val="26"/>
                        </w:rPr>
                        <w:t xml:space="preserve">   Vi: es el valor inicial o de la condena ($24.120.000).</w:t>
                      </w:r>
                    </w:p>
                    <w:p w14:paraId="3492FBDD" w14:textId="77777777" w:rsidR="00A0697B" w:rsidRDefault="00A0697B" w:rsidP="00A0697B">
                      <w:r>
                        <w:rPr>
                          <w:color w:val="000000"/>
                          <w:sz w:val="26"/>
                          <w:szCs w:val="26"/>
                        </w:rPr>
                        <w:t xml:space="preserve">   Índice final: el de esta sentencia (marzo de 2016).</w:t>
                      </w:r>
                    </w:p>
                    <w:p w14:paraId="05D523C2" w14:textId="77777777" w:rsidR="00A0697B" w:rsidRDefault="00A0697B" w:rsidP="00A0697B">
                      <w:r>
                        <w:rPr>
                          <w:color w:val="000000"/>
                          <w:sz w:val="26"/>
                          <w:szCs w:val="26"/>
                        </w:rPr>
                        <w:t xml:space="preserve">   Índice inicial: el del avalúo (febrero de 2006).</w:t>
                      </w:r>
                    </w:p>
                    <w:p w14:paraId="5CC96E1D" w14:textId="77777777" w:rsidR="00A0697B" w:rsidRDefault="00A0697B" w:rsidP="00A0697B">
                      <w:proofErr w:type="spellStart"/>
                      <m:oMathPara>
                        <m:oMathParaPr>
                          <m:jc m:val="centerGroup"/>
                        </m:oMathParaPr>
                        <m:oMath>
                          <m:r>
                            <m:rPr>
                              <m:nor/>
                            </m:rPr>
                            <w:rPr>
                              <w:i/>
                              <w:iCs/>
                              <w:color w:val="000000"/>
                              <w:sz w:val="26"/>
                              <w:szCs w:val="26"/>
                            </w:rPr>
                            <m:t>Vf</m:t>
                          </m:r>
                          <w:proofErr w:type="spellEnd"/>
                          <m:r>
                            <m:rPr>
                              <m:nor/>
                            </m:rPr>
                            <w:rPr>
                              <w:i/>
                              <w:iCs/>
                              <w:color w:val="000000"/>
                              <w:sz w:val="26"/>
                              <w:szCs w:val="26"/>
                            </w:rPr>
                            <m:t> = $24.120.000 x</m:t>
                          </m:r>
                          <m:f>
                            <m:fPr>
                              <m:ctrlPr>
                                <w:rPr>
                                  <w:rFonts w:ascii="Cambria Math" w:eastAsia="Times New Roman" w:hAnsi="Cambria Math" w:cs="Times New Roman"/>
                                  <w:i/>
                                  <w:iCs/>
                                  <w:color w:val="000000"/>
                                  <w:sz w:val="26"/>
                                  <w:szCs w:val="26"/>
                                </w:rPr>
                              </m:ctrlPr>
                            </m:fPr>
                            <m:num>
                              <m:r>
                                <m:rPr>
                                  <m:nor/>
                                </m:rPr>
                                <w:rPr>
                                  <w:i/>
                                  <w:iCs/>
                                  <w:color w:val="000000"/>
                                  <w:sz w:val="26"/>
                                  <w:szCs w:val="26"/>
                                </w:rPr>
                                <m:t>130.63</m:t>
                              </m:r>
                            </m:num>
                            <m:den>
                              <m:r>
                                <m:rPr>
                                  <m:nor/>
                                </m:rPr>
                                <w:rPr>
                                  <w:i/>
                                  <w:iCs/>
                                  <w:color w:val="000000"/>
                                  <w:sz w:val="26"/>
                                  <w:szCs w:val="26"/>
                                </w:rPr>
                                <m:t>85.11</m:t>
                              </m:r>
                            </m:den>
                          </m:f>
                        </m:oMath>
                      </m:oMathPara>
                    </w:p>
                    <w:p w14:paraId="369247EB" w14:textId="77777777" w:rsidR="00A0697B" w:rsidRDefault="00A0697B" w:rsidP="00A0697B">
                      <w:pPr>
                        <w:jc w:val="center"/>
                      </w:pPr>
                      <w:proofErr w:type="spellStart"/>
                      <w:r>
                        <w:rPr>
                          <w:color w:val="000000"/>
                          <w:sz w:val="26"/>
                          <w:szCs w:val="26"/>
                        </w:rPr>
                        <w:t>Vf</w:t>
                      </w:r>
                      <w:proofErr w:type="spellEnd"/>
                      <w:r>
                        <w:rPr>
                          <w:color w:val="000000"/>
                          <w:sz w:val="26"/>
                          <w:szCs w:val="26"/>
                        </w:rPr>
                        <w:t xml:space="preserve"> = $36.212.591</w:t>
                      </w:r>
                    </w:p>
                    <w:p w14:paraId="24DDE61A" w14:textId="77777777" w:rsidR="00A0697B" w:rsidRDefault="00A0697B" w:rsidP="00A0697B">
                      <w:r>
                        <w:rPr>
                          <w:color w:val="000000"/>
                          <w:sz w:val="26"/>
                          <w:szCs w:val="26"/>
                        </w:rPr>
                        <w:t xml:space="preserve"> </w:t>
                      </w:r>
                    </w:p>
                  </w:txbxContent>
                </v:textbox>
                <w10:anchorlock/>
              </v:shape>
            </w:pict>
          </mc:Fallback>
        </mc:AlternateContent>
      </w:r>
    </w:p>
    <w:p w14:paraId="19C0BD5D" w14:textId="77777777" w:rsidR="00A0697B" w:rsidRPr="00A0697B" w:rsidRDefault="00A0697B" w:rsidP="00A0697B">
      <w:pPr>
        <w:widowControl w:val="0"/>
        <w:autoSpaceDE w:val="0"/>
        <w:autoSpaceDN w:val="0"/>
        <w:adjustRightInd w:val="0"/>
        <w:spacing w:line="240" w:lineRule="auto"/>
        <w:ind w:firstLine="709"/>
        <w:rPr>
          <w:bCs/>
          <w:lang w:val="es-CO"/>
        </w:rPr>
      </w:pPr>
      <w:r w:rsidRPr="00A0697B">
        <w:rPr>
          <w:bCs/>
          <w:lang w:val="es-CO"/>
        </w:rPr>
        <w:t xml:space="preserve">Dónde: </w:t>
      </w:r>
    </w:p>
    <w:p w14:paraId="122D648A" w14:textId="77777777" w:rsidR="00A0697B" w:rsidRPr="00A0697B" w:rsidRDefault="00A0697B" w:rsidP="00A0697B">
      <w:pPr>
        <w:widowControl w:val="0"/>
        <w:autoSpaceDE w:val="0"/>
        <w:autoSpaceDN w:val="0"/>
        <w:adjustRightInd w:val="0"/>
        <w:spacing w:line="240" w:lineRule="auto"/>
        <w:ind w:firstLine="709"/>
        <w:rPr>
          <w:bCs/>
          <w:lang w:val="es-CO"/>
        </w:rPr>
      </w:pPr>
      <w:r w:rsidRPr="00A0697B">
        <w:rPr>
          <w:bCs/>
          <w:lang w:val="es-CO"/>
        </w:rPr>
        <w:t xml:space="preserve">   </w:t>
      </w:r>
      <w:proofErr w:type="spellStart"/>
      <w:r w:rsidRPr="00A0697B">
        <w:rPr>
          <w:bCs/>
          <w:lang w:val="es-CO"/>
        </w:rPr>
        <w:t>vf</w:t>
      </w:r>
      <w:proofErr w:type="spellEnd"/>
      <w:r w:rsidRPr="00A0697B">
        <w:rPr>
          <w:bCs/>
          <w:lang w:val="es-CO"/>
        </w:rPr>
        <w:t>: es el valor final o condena actualizada o ajustada.</w:t>
      </w:r>
    </w:p>
    <w:p w14:paraId="7276CE1B" w14:textId="77777777" w:rsidR="00A0697B" w:rsidRPr="00A0697B" w:rsidRDefault="00A0697B" w:rsidP="00A0697B">
      <w:pPr>
        <w:widowControl w:val="0"/>
        <w:autoSpaceDE w:val="0"/>
        <w:autoSpaceDN w:val="0"/>
        <w:adjustRightInd w:val="0"/>
        <w:spacing w:line="240" w:lineRule="auto"/>
        <w:ind w:firstLine="709"/>
        <w:rPr>
          <w:bCs/>
          <w:lang w:val="es-CO"/>
        </w:rPr>
      </w:pPr>
      <w:r w:rsidRPr="00A0697B">
        <w:rPr>
          <w:bCs/>
          <w:lang w:val="es-CO"/>
        </w:rPr>
        <w:t xml:space="preserve">   vi: es el valor inicial.</w:t>
      </w:r>
    </w:p>
    <w:p w14:paraId="52CDE90E" w14:textId="39DCD0EE" w:rsidR="00A0697B" w:rsidRPr="00A0697B" w:rsidRDefault="00A0697B" w:rsidP="00A0697B">
      <w:pPr>
        <w:widowControl w:val="0"/>
        <w:autoSpaceDE w:val="0"/>
        <w:autoSpaceDN w:val="0"/>
        <w:adjustRightInd w:val="0"/>
        <w:spacing w:line="240" w:lineRule="auto"/>
        <w:ind w:firstLine="709"/>
        <w:rPr>
          <w:bCs/>
          <w:lang w:val="es-CO"/>
        </w:rPr>
      </w:pPr>
      <w:r w:rsidRPr="00A0697B">
        <w:rPr>
          <w:bCs/>
          <w:lang w:val="es-CO"/>
        </w:rPr>
        <w:t xml:space="preserve">   índice final: el de </w:t>
      </w:r>
      <w:r w:rsidRPr="00F5054F">
        <w:rPr>
          <w:bCs/>
          <w:lang w:val="es-CO"/>
        </w:rPr>
        <w:t>octubre</w:t>
      </w:r>
      <w:r w:rsidRPr="00A0697B">
        <w:rPr>
          <w:bCs/>
          <w:lang w:val="es-CO"/>
        </w:rPr>
        <w:t xml:space="preserve"> de 202</w:t>
      </w:r>
      <w:r w:rsidRPr="00F5054F">
        <w:rPr>
          <w:bCs/>
          <w:lang w:val="es-CO"/>
        </w:rPr>
        <w:t>1 (vigente a la fecha de esta sentencia)</w:t>
      </w:r>
      <w:r w:rsidRPr="00A0697B">
        <w:rPr>
          <w:bCs/>
          <w:lang w:val="es-CO"/>
        </w:rPr>
        <w:t>.</w:t>
      </w:r>
    </w:p>
    <w:p w14:paraId="407292AE" w14:textId="767F6528" w:rsidR="00A0697B" w:rsidRPr="00A0697B" w:rsidRDefault="00A0697B" w:rsidP="00A0697B">
      <w:pPr>
        <w:widowControl w:val="0"/>
        <w:autoSpaceDE w:val="0"/>
        <w:autoSpaceDN w:val="0"/>
        <w:adjustRightInd w:val="0"/>
        <w:spacing w:line="240" w:lineRule="auto"/>
        <w:ind w:left="709"/>
        <w:rPr>
          <w:bCs/>
          <w:lang w:val="es-CO"/>
        </w:rPr>
      </w:pPr>
      <w:r w:rsidRPr="00A0697B">
        <w:rPr>
          <w:bCs/>
          <w:lang w:val="es-CO"/>
        </w:rPr>
        <w:t xml:space="preserve">   índice inicial: el de </w:t>
      </w:r>
      <w:r w:rsidRPr="00F5054F">
        <w:rPr>
          <w:bCs/>
          <w:lang w:val="es-CO"/>
        </w:rPr>
        <w:t>abril de 2012 (vigente a la fecha del fallo impugnado)</w:t>
      </w:r>
      <w:r w:rsidRPr="00A0697B">
        <w:rPr>
          <w:bCs/>
          <w:lang w:val="es-CO"/>
        </w:rPr>
        <w:t>.</w:t>
      </w:r>
    </w:p>
    <w:p w14:paraId="0671F9D3" w14:textId="77777777" w:rsidR="00A0697B" w:rsidRPr="00A0697B" w:rsidRDefault="00A0697B" w:rsidP="00A0697B">
      <w:pPr>
        <w:widowControl w:val="0"/>
        <w:autoSpaceDE w:val="0"/>
        <w:autoSpaceDN w:val="0"/>
        <w:adjustRightInd w:val="0"/>
        <w:spacing w:line="240" w:lineRule="auto"/>
        <w:ind w:left="709"/>
        <w:rPr>
          <w:rFonts w:eastAsia="Times New Roman"/>
          <w:lang w:val="es-CO" w:eastAsia="es-ES"/>
        </w:rPr>
      </w:pPr>
    </w:p>
    <w:p w14:paraId="5D89DA9C" w14:textId="77777777" w:rsidR="00A0697B" w:rsidRPr="00A0697B" w:rsidRDefault="00A0697B" w:rsidP="00A0697B">
      <w:pPr>
        <w:overflowPunct w:val="0"/>
        <w:autoSpaceDE w:val="0"/>
        <w:autoSpaceDN w:val="0"/>
        <w:adjustRightInd w:val="0"/>
        <w:spacing w:line="240" w:lineRule="auto"/>
        <w:jc w:val="center"/>
        <w:textAlignment w:val="baseline"/>
        <w:rPr>
          <w:rFonts w:eastAsia="Times New Roman"/>
          <w:lang w:val="es-CO" w:eastAsia="es-ES"/>
        </w:rPr>
      </w:pPr>
      <w:r w:rsidRPr="00A0697B">
        <w:rPr>
          <w:rFonts w:ascii="Calibri" w:hAnsi="Calibri" w:cs="Times New Roman"/>
          <w:noProof/>
          <w:lang w:val="es-CO" w:eastAsia="es-CO"/>
        </w:rPr>
        <mc:AlternateContent>
          <mc:Choice Requires="wps">
            <w:drawing>
              <wp:inline distT="0" distB="0" distL="0" distR="0" wp14:anchorId="201C521F" wp14:editId="79873B9D">
                <wp:extent cx="2438400" cy="479833"/>
                <wp:effectExtent l="0" t="0" r="8255" b="3175"/>
                <wp:docPr id="4" name="CuadroTexto 7"/>
                <wp:cNvGraphicFramePr/>
                <a:graphic xmlns:a="http://schemas.openxmlformats.org/drawingml/2006/main">
                  <a:graphicData uri="http://schemas.microsoft.com/office/word/2010/wordprocessingShape">
                    <wps:wsp>
                      <wps:cNvSpPr txBox="1"/>
                      <wps:spPr>
                        <a:xfrm>
                          <a:off x="0" y="0"/>
                          <a:ext cx="2438400" cy="479833"/>
                        </a:xfrm>
                        <a:prstGeom prst="rect">
                          <a:avLst/>
                        </a:prstGeom>
                        <a:noFill/>
                        <a:ln>
                          <a:noFill/>
                        </a:ln>
                        <a:effectLst/>
                      </wps:spPr>
                      <wps:txbx>
                        <w:txbxContent>
                          <w:p w14:paraId="6FD14437" w14:textId="296BB77A" w:rsidR="00A0697B" w:rsidRPr="00801AFC" w:rsidRDefault="00A0697B" w:rsidP="00A0697B">
                            <w:pPr>
                              <w:jc w:val="center"/>
                              <w:rPr>
                                <w:sz w:val="22"/>
                                <w:szCs w:val="22"/>
                              </w:rPr>
                            </w:pPr>
                            <m:oMathPara>
                              <m:oMathParaPr>
                                <m:jc m:val="centerGroup"/>
                              </m:oMathParaPr>
                              <m:oMath>
                                <m:r>
                                  <m:rPr>
                                    <m:nor/>
                                  </m:rPr>
                                  <w:rPr>
                                    <w:color w:val="000000"/>
                                  </w:rPr>
                                  <m:t>vf = $208.741.392 x</m:t>
                                </m:r>
                                <m:f>
                                  <m:fPr>
                                    <m:ctrlPr>
                                      <w:rPr>
                                        <w:rFonts w:ascii="Cambria Math" w:eastAsia="Times New Roman" w:hAnsi="Cambria Math"/>
                                        <w:i/>
                                        <w:iCs/>
                                        <w:color w:val="000000"/>
                                      </w:rPr>
                                    </m:ctrlPr>
                                  </m:fPr>
                                  <m:num>
                                    <m:r>
                                      <m:rPr>
                                        <m:nor/>
                                      </m:rPr>
                                      <w:rPr>
                                        <w:color w:val="000000"/>
                                      </w:rPr>
                                      <m:t>110,06</m:t>
                                    </m:r>
                                  </m:num>
                                  <m:den>
                                    <m:r>
                                      <m:rPr>
                                        <m:nor/>
                                      </m:rPr>
                                      <w:rPr>
                                        <w:color w:val="000000"/>
                                      </w:rPr>
                                      <m:t>77,42</m:t>
                                    </m:r>
                                  </m:den>
                                </m:f>
                              </m:oMath>
                            </m:oMathPara>
                          </w:p>
                        </w:txbxContent>
                      </wps:txbx>
                      <wps:bodyPr vertOverflow="clip" horzOverflow="clip" wrap="none" lIns="0" tIns="0" rIns="0" bIns="0" rtlCol="0" anchor="t">
                        <a:noAutofit/>
                      </wps:bodyPr>
                    </wps:wsp>
                  </a:graphicData>
                </a:graphic>
              </wp:inline>
            </w:drawing>
          </mc:Choice>
          <mc:Fallback>
            <w:pict>
              <v:shape w14:anchorId="201C521F" id="CuadroTexto 7" o:spid="_x0000_s1027" type="#_x0000_t202" style="width:192pt;height:37.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" filled="f" stroked="f">
                <v:textbox inset="0,0,0,0">
                  <w:txbxContent>
                    <w:p w14:paraId="6FD14437" w14:textId="296BB77A" w:rsidR="00A0697B" w:rsidRPr="00801AFC" w:rsidRDefault="00A0697B" w:rsidP="00A0697B">
                      <w:pPr>
                        <w:jc w:val="center"/>
                        <w:rPr>
                          <w:sz w:val="22"/>
                          <w:szCs w:val="22"/>
                        </w:rPr>
                      </w:pPr>
                      <w:proofErr w:type="spellStart"/>
                      <m:oMathPara>
                        <m:oMathParaPr>
                          <m:jc m:val="centerGroup"/>
                        </m:oMathParaPr>
                        <m:oMath>
                          <m:r>
                            <m:rPr>
                              <m:nor/>
                            </m:rPr>
                            <w:rPr>
                              <w:color w:val="000000"/>
                            </w:rPr>
                            <m:t>vf</m:t>
                          </m:r>
                          <w:proofErr w:type="spellEnd"/>
                          <m:r>
                            <m:rPr>
                              <m:nor/>
                            </m:rPr>
                            <w:rPr>
                              <w:color w:val="000000"/>
                            </w:rPr>
                            <m:t> = $</m:t>
                          </m:r>
                          <m:r>
                            <m:rPr>
                              <m:nor/>
                            </m:rPr>
                            <w:rPr>
                              <w:color w:val="000000"/>
                            </w:rPr>
                            <m:t>208.741.392</m:t>
                          </m:r>
                          <m:r>
                            <m:rPr>
                              <m:nor/>
                            </m:rPr>
                            <w:rPr>
                              <w:color w:val="000000"/>
                            </w:rPr>
                            <m:t> x</m:t>
                          </m:r>
                          <m:f>
                            <m:fPr>
                              <m:ctrlPr>
                                <w:rPr>
                                  <w:rFonts w:ascii="Cambria Math" w:eastAsia="Times New Roman" w:hAnsi="Cambria Math"/>
                                  <w:i/>
                                  <w:iCs/>
                                  <w:color w:val="000000"/>
                                </w:rPr>
                              </m:ctrlPr>
                            </m:fPr>
                            <m:num>
                              <m:r>
                                <m:rPr>
                                  <m:nor/>
                                </m:rPr>
                                <w:rPr>
                                  <w:color w:val="000000"/>
                                </w:rPr>
                                <m:t>1</m:t>
                              </m:r>
                              <m:r>
                                <m:rPr>
                                  <m:nor/>
                                </m:rPr>
                                <w:rPr>
                                  <w:color w:val="000000"/>
                                </w:rPr>
                                <m:t>10,06</m:t>
                              </m:r>
                            </m:num>
                            <m:den>
                              <m:r>
                                <m:rPr>
                                  <m:nor/>
                                </m:rPr>
                                <w:rPr>
                                  <w:color w:val="000000"/>
                                </w:rPr>
                                <m:t>77,42</m:t>
                              </m:r>
                            </m:den>
                          </m:f>
                        </m:oMath>
                      </m:oMathPara>
                    </w:p>
                  </w:txbxContent>
                </v:textbox>
                <w10:anchorlock/>
              </v:shape>
            </w:pict>
          </mc:Fallback>
        </mc:AlternateContent>
      </w:r>
    </w:p>
    <w:p w14:paraId="0C946D0A" w14:textId="77777777" w:rsidR="00A0697B" w:rsidRPr="00A0697B" w:rsidRDefault="00A0697B" w:rsidP="00A0697B">
      <w:pPr>
        <w:overflowPunct w:val="0"/>
        <w:autoSpaceDE w:val="0"/>
        <w:autoSpaceDN w:val="0"/>
        <w:adjustRightInd w:val="0"/>
        <w:spacing w:line="240" w:lineRule="auto"/>
        <w:jc w:val="center"/>
        <w:textAlignment w:val="baseline"/>
        <w:rPr>
          <w:rFonts w:eastAsia="Times New Roman"/>
          <w:lang w:val="es-CO" w:eastAsia="es-ES"/>
        </w:rPr>
      </w:pPr>
    </w:p>
    <w:p w14:paraId="3527CE5B" w14:textId="4377D632" w:rsidR="00A0697B" w:rsidRPr="00A0697B" w:rsidRDefault="00A0697B" w:rsidP="00A0697B">
      <w:pPr>
        <w:overflowPunct w:val="0"/>
        <w:autoSpaceDE w:val="0"/>
        <w:autoSpaceDN w:val="0"/>
        <w:adjustRightInd w:val="0"/>
        <w:spacing w:line="240" w:lineRule="auto"/>
        <w:jc w:val="center"/>
        <w:textAlignment w:val="baseline"/>
        <w:rPr>
          <w:rFonts w:eastAsia="Times New Roman"/>
          <w:lang w:val="es-CO" w:eastAsia="es-ES"/>
        </w:rPr>
      </w:pPr>
      <w:proofErr w:type="spellStart"/>
      <w:r w:rsidRPr="00A0697B">
        <w:rPr>
          <w:rFonts w:eastAsia="Times New Roman"/>
          <w:lang w:val="es-CO" w:eastAsia="es-ES"/>
        </w:rPr>
        <w:t>vf</w:t>
      </w:r>
      <w:proofErr w:type="spellEnd"/>
      <w:r w:rsidRPr="00A0697B">
        <w:rPr>
          <w:rFonts w:eastAsia="Times New Roman"/>
          <w:lang w:val="es-CO" w:eastAsia="es-ES"/>
        </w:rPr>
        <w:t xml:space="preserve"> = $</w:t>
      </w:r>
      <w:r w:rsidR="00801AFC" w:rsidRPr="00F5054F">
        <w:rPr>
          <w:rFonts w:eastAsia="Times New Roman"/>
          <w:lang w:val="es-CO" w:eastAsia="es-ES"/>
        </w:rPr>
        <w:t>296.746.029</w:t>
      </w:r>
    </w:p>
    <w:p w14:paraId="53245BF7" w14:textId="77777777" w:rsidR="00A0697B" w:rsidRPr="00F5054F" w:rsidRDefault="00A0697B" w:rsidP="00A0697B">
      <w:pPr>
        <w:rPr>
          <w:lang w:val="es-CO" w:eastAsia="es-ES"/>
        </w:rPr>
      </w:pPr>
    </w:p>
    <w:p w14:paraId="47C597D4" w14:textId="68076C82" w:rsidR="00CD1C37" w:rsidRPr="00F5054F" w:rsidRDefault="00A0697B" w:rsidP="00663823">
      <w:pPr>
        <w:rPr>
          <w:bCs/>
          <w:lang w:val="es-CO" w:eastAsia="es-ES"/>
        </w:rPr>
      </w:pPr>
      <w:r w:rsidRPr="00F5054F">
        <w:rPr>
          <w:lang w:val="es-CO" w:eastAsia="es-ES"/>
        </w:rPr>
        <w:t>En ese orden, la condena a cargo de</w:t>
      </w:r>
      <w:r w:rsidR="00801AFC" w:rsidRPr="00F5054F">
        <w:rPr>
          <w:lang w:val="es-CO" w:eastAsia="es-ES"/>
        </w:rPr>
        <w:t xml:space="preserve">l demandado </w:t>
      </w:r>
      <w:r w:rsidRPr="00F5054F">
        <w:rPr>
          <w:lang w:val="es-CO" w:eastAsia="es-ES"/>
        </w:rPr>
        <w:t xml:space="preserve">asciende a </w:t>
      </w:r>
      <w:r w:rsidR="00801AFC" w:rsidRPr="00F5054F">
        <w:rPr>
          <w:lang w:val="es-CO" w:eastAsia="es-ES"/>
        </w:rPr>
        <w:t xml:space="preserve">doscientos noventa y seis millones </w:t>
      </w:r>
      <w:r w:rsidR="00F5054F" w:rsidRPr="00F5054F">
        <w:rPr>
          <w:lang w:val="es-CO" w:eastAsia="es-ES"/>
        </w:rPr>
        <w:t>setecientos</w:t>
      </w:r>
      <w:r w:rsidR="00801AFC" w:rsidRPr="00F5054F">
        <w:rPr>
          <w:lang w:val="es-CO" w:eastAsia="es-ES"/>
        </w:rPr>
        <w:t xml:space="preserve"> cuarenta y seis mil veintinueve pesos </w:t>
      </w:r>
      <w:r w:rsidRPr="00F5054F">
        <w:rPr>
          <w:lang w:val="es-CO" w:eastAsia="es-ES"/>
        </w:rPr>
        <w:t>($</w:t>
      </w:r>
      <w:r w:rsidR="00F5054F" w:rsidRPr="00F5054F">
        <w:rPr>
          <w:lang w:val="es-CO" w:eastAsia="es-ES"/>
        </w:rPr>
        <w:t>296.746.029</w:t>
      </w:r>
      <w:r w:rsidRPr="00F5054F">
        <w:rPr>
          <w:lang w:val="es-CO" w:eastAsia="es-ES"/>
        </w:rPr>
        <w:t>).</w:t>
      </w:r>
    </w:p>
    <w:p w14:paraId="7D1F5C1B" w14:textId="77777777" w:rsidR="00CD1C37" w:rsidRPr="00F5054F" w:rsidRDefault="00CD1C37" w:rsidP="00663823"/>
    <w:p w14:paraId="39DC0F18" w14:textId="3F6AF944" w:rsidR="00991418" w:rsidRPr="00F5054F" w:rsidRDefault="00991418" w:rsidP="00991418">
      <w:pPr>
        <w:pStyle w:val="Ttulo2"/>
      </w:pPr>
      <w:r w:rsidRPr="00F5054F">
        <w:t>Conclusión</w:t>
      </w:r>
    </w:p>
    <w:p w14:paraId="76D6F123" w14:textId="673C86C8" w:rsidR="00991418" w:rsidRPr="00F5054F" w:rsidRDefault="00991418" w:rsidP="00663823"/>
    <w:p w14:paraId="71B0F7D4" w14:textId="5256A14F" w:rsidR="00DA42A5" w:rsidRPr="00F5054F" w:rsidRDefault="00A72B6B" w:rsidP="00A72B6B">
      <w:pPr>
        <w:pStyle w:val="Prrafodelista"/>
        <w:numPr>
          <w:ilvl w:val="0"/>
          <w:numId w:val="0"/>
        </w:numPr>
        <w:rPr>
          <w:lang w:val="es-ES"/>
        </w:rPr>
      </w:pPr>
      <w:r w:rsidRPr="00A72B6B">
        <w:rPr>
          <w:lang w:val="es-ES"/>
        </w:rPr>
        <w:t xml:space="preserve">Se modificará la sentencia impugnada que accedió parcialmente a las pretensiones de la demanda para </w:t>
      </w:r>
      <w:r>
        <w:rPr>
          <w:lang w:val="es-ES"/>
        </w:rPr>
        <w:t xml:space="preserve">actualizar el valor de la condena y, en lo demás, se confirmará porque </w:t>
      </w:r>
      <w:r w:rsidR="005400AD" w:rsidRPr="00F5054F">
        <w:rPr>
          <w:lang w:val="es-ES"/>
        </w:rPr>
        <w:t xml:space="preserve">el fallo no adolece de incongruencia y tampoco se puede aplicar el régimen contractual señalado por el apelante. </w:t>
      </w:r>
    </w:p>
    <w:p w14:paraId="3745B4AE" w14:textId="77777777" w:rsidR="00991418" w:rsidRPr="00F5054F" w:rsidRDefault="00991418" w:rsidP="00663823"/>
    <w:p w14:paraId="258CCDB9" w14:textId="133214BB" w:rsidR="00663823" w:rsidRPr="00F5054F" w:rsidRDefault="00776DC0" w:rsidP="00663823">
      <w:pPr>
        <w:pStyle w:val="Ttulo2"/>
        <w:numPr>
          <w:ilvl w:val="0"/>
          <w:numId w:val="21"/>
        </w:numPr>
      </w:pPr>
      <w:r w:rsidRPr="00F5054F">
        <w:t>C</w:t>
      </w:r>
      <w:r w:rsidR="00663823" w:rsidRPr="00F5054F">
        <w:t>ondena en costas</w:t>
      </w:r>
    </w:p>
    <w:p w14:paraId="606B10CA" w14:textId="77777777" w:rsidR="000245FE" w:rsidRPr="00F5054F" w:rsidRDefault="000245FE" w:rsidP="00646CE9"/>
    <w:p w14:paraId="74564337" w14:textId="02295FEE" w:rsidR="00D66E01" w:rsidRPr="00F5054F" w:rsidRDefault="00D66E01" w:rsidP="00D66E01">
      <w:r w:rsidRPr="00F5054F">
        <w:t xml:space="preserve">De conformidad con lo dispuesto en el artículo </w:t>
      </w:r>
      <w:r w:rsidR="004733B3" w:rsidRPr="00F5054F">
        <w:t>171</w:t>
      </w:r>
      <w:r w:rsidRPr="00F5054F">
        <w:t xml:space="preserve"> del </w:t>
      </w:r>
      <w:r w:rsidR="004733B3" w:rsidRPr="00F5054F">
        <w:t xml:space="preserve">CCA </w:t>
      </w:r>
      <w:r w:rsidRPr="00F5054F">
        <w:t xml:space="preserve">en el presente asunto no hay lugar a condenar en costas en esta instancia por cuanto </w:t>
      </w:r>
      <w:r w:rsidR="004733B3" w:rsidRPr="00F5054F">
        <w:t xml:space="preserve">la conducta de las partes </w:t>
      </w:r>
      <w:r w:rsidRPr="00F5054F">
        <w:t>no evidencia en modo alguno una actuación caprichosa</w:t>
      </w:r>
      <w:r w:rsidR="004733B3" w:rsidRPr="00F5054F">
        <w:t>,</w:t>
      </w:r>
      <w:r w:rsidRPr="00F5054F">
        <w:t xml:space="preserve"> arbitraria</w:t>
      </w:r>
      <w:r w:rsidR="004733B3" w:rsidRPr="00F5054F">
        <w:t xml:space="preserve"> o temeraria</w:t>
      </w:r>
      <w:r w:rsidRPr="00F5054F">
        <w:t>.</w:t>
      </w:r>
    </w:p>
    <w:p w14:paraId="2ECB87D4" w14:textId="77777777" w:rsidR="00C407A3" w:rsidRPr="00F5054F" w:rsidRDefault="00C407A3" w:rsidP="00646CE9"/>
    <w:p w14:paraId="7EC17176" w14:textId="458B1E4E" w:rsidR="00646CE9" w:rsidRPr="00F5054F" w:rsidRDefault="00D76A6E" w:rsidP="00646CE9">
      <w:r w:rsidRPr="00F5054F">
        <w:t xml:space="preserve">En mérito de lo expuesto, el </w:t>
      </w:r>
      <w:r w:rsidR="004856A0" w:rsidRPr="00F5054F">
        <w:rPr>
          <w:b/>
          <w:bCs/>
        </w:rPr>
        <w:t>CONSEJO DE ESTADO,</w:t>
      </w:r>
      <w:r w:rsidR="0066399F" w:rsidRPr="00F5054F">
        <w:rPr>
          <w:b/>
          <w:bCs/>
        </w:rPr>
        <w:t xml:space="preserve"> EN </w:t>
      </w:r>
      <w:r w:rsidR="004856A0" w:rsidRPr="00F5054F">
        <w:rPr>
          <w:b/>
          <w:bCs/>
        </w:rPr>
        <w:t>SALA DE LO CONTENCIOSO ADMINISTRATIVO, SECCIÓN TERCERA, SUBSECCIÓN B</w:t>
      </w:r>
      <w:r w:rsidRPr="00F5054F">
        <w:t xml:space="preserve">, </w:t>
      </w:r>
      <w:r w:rsidR="00D162C3" w:rsidRPr="00F5054F">
        <w:t>administrando justicia en nombre de la República de Colombia y por autoridad de la ley</w:t>
      </w:r>
      <w:r w:rsidRPr="00F5054F">
        <w:t>,</w:t>
      </w:r>
    </w:p>
    <w:p w14:paraId="5E2AB8EC" w14:textId="77777777" w:rsidR="00D76A6E" w:rsidRPr="00F5054F" w:rsidRDefault="00D76A6E" w:rsidP="00646CE9">
      <w:pPr>
        <w:rPr>
          <w:sz w:val="20"/>
          <w:szCs w:val="20"/>
        </w:rPr>
      </w:pPr>
    </w:p>
    <w:p w14:paraId="280515B8" w14:textId="3C66AB89" w:rsidR="00646CE9" w:rsidRPr="00F5054F" w:rsidRDefault="00BF3085" w:rsidP="00227F0D">
      <w:pPr>
        <w:pStyle w:val="Ttulo1"/>
        <w:numPr>
          <w:ilvl w:val="0"/>
          <w:numId w:val="0"/>
        </w:numPr>
      </w:pPr>
      <w:r w:rsidRPr="00F5054F">
        <w:t>F</w:t>
      </w:r>
      <w:r w:rsidR="004856A0" w:rsidRPr="00F5054F">
        <w:t xml:space="preserve"> </w:t>
      </w:r>
      <w:r w:rsidRPr="00F5054F">
        <w:t>A</w:t>
      </w:r>
      <w:r w:rsidR="004856A0" w:rsidRPr="00F5054F">
        <w:t xml:space="preserve"> </w:t>
      </w:r>
      <w:r w:rsidRPr="00F5054F">
        <w:t>L</w:t>
      </w:r>
      <w:r w:rsidR="004856A0" w:rsidRPr="00F5054F">
        <w:t xml:space="preserve"> </w:t>
      </w:r>
      <w:proofErr w:type="spellStart"/>
      <w:r w:rsidRPr="00F5054F">
        <w:t>L</w:t>
      </w:r>
      <w:proofErr w:type="spellEnd"/>
      <w:r w:rsidR="004856A0" w:rsidRPr="00F5054F">
        <w:t xml:space="preserve"> </w:t>
      </w:r>
      <w:r w:rsidRPr="00F5054F">
        <w:t>A</w:t>
      </w:r>
      <w:r w:rsidR="004856A0" w:rsidRPr="00F5054F">
        <w:t xml:space="preserve"> :</w:t>
      </w:r>
    </w:p>
    <w:p w14:paraId="661F0178" w14:textId="1262A738" w:rsidR="00646CE9" w:rsidRPr="00F5054F" w:rsidRDefault="00646CE9" w:rsidP="00646CE9"/>
    <w:p w14:paraId="34989DD0" w14:textId="09E8F8D2" w:rsidR="008B6D29" w:rsidRPr="00F5054F" w:rsidRDefault="00AB090E" w:rsidP="005400AD">
      <w:r w:rsidRPr="00F5054F">
        <w:rPr>
          <w:b/>
          <w:bCs/>
        </w:rPr>
        <w:t>1</w:t>
      </w:r>
      <w:r w:rsidR="00064CD7" w:rsidRPr="00F5054F">
        <w:rPr>
          <w:b/>
          <w:bCs/>
        </w:rPr>
        <w:t>º</w:t>
      </w:r>
      <w:r w:rsidRPr="00F5054F">
        <w:rPr>
          <w:b/>
          <w:bCs/>
        </w:rPr>
        <w:t xml:space="preserve">) </w:t>
      </w:r>
      <w:r w:rsidR="00F5054F" w:rsidRPr="00F5054F">
        <w:rPr>
          <w:b/>
          <w:bCs/>
        </w:rPr>
        <w:t xml:space="preserve">Modifícase </w:t>
      </w:r>
      <w:r w:rsidR="00F5054F" w:rsidRPr="00F5054F">
        <w:t>el ordinal cuarto de la parte resolutiva de la</w:t>
      </w:r>
      <w:r w:rsidR="00F5054F" w:rsidRPr="00F5054F">
        <w:rPr>
          <w:b/>
          <w:bCs/>
        </w:rPr>
        <w:t xml:space="preserve"> </w:t>
      </w:r>
      <w:r w:rsidRPr="00F5054F">
        <w:t xml:space="preserve">sentencia de </w:t>
      </w:r>
      <w:r w:rsidR="008B6D29" w:rsidRPr="00F5054F">
        <w:t>11 de abril de 2012</w:t>
      </w:r>
      <w:r w:rsidR="0036140A" w:rsidRPr="00F5054F">
        <w:t xml:space="preserve"> proferida por el Tribunal Administrativo de</w:t>
      </w:r>
      <w:r w:rsidR="008B6D29" w:rsidRPr="00F5054F">
        <w:t>l Magdalena</w:t>
      </w:r>
      <w:r w:rsidR="00F5054F" w:rsidRPr="00F5054F">
        <w:t>, el cual queda así:</w:t>
      </w:r>
    </w:p>
    <w:p w14:paraId="06A3FFC2" w14:textId="499E3694" w:rsidR="005400AD" w:rsidRPr="00F5054F" w:rsidRDefault="005400AD" w:rsidP="005400AD"/>
    <w:p w14:paraId="13B96CC6" w14:textId="4837D6D7" w:rsidR="00F5054F" w:rsidRPr="00F5054F" w:rsidRDefault="00F5054F" w:rsidP="00F5054F">
      <w:pPr>
        <w:pStyle w:val="Cita"/>
        <w:rPr>
          <w:i w:val="0"/>
          <w:iCs w:val="0"/>
          <w:lang w:val="es-ES"/>
        </w:rPr>
      </w:pPr>
      <w:r w:rsidRPr="00F5054F">
        <w:rPr>
          <w:b/>
          <w:bCs/>
          <w:i w:val="0"/>
          <w:iCs w:val="0"/>
          <w:lang w:val="es-ES"/>
        </w:rPr>
        <w:t>CUARTO: CONDÉNASE</w:t>
      </w:r>
      <w:r w:rsidRPr="00F5054F">
        <w:rPr>
          <w:i w:val="0"/>
          <w:iCs w:val="0"/>
          <w:lang w:val="es-ES"/>
        </w:rPr>
        <w:t xml:space="preserve"> al municipio de Aracataca (</w:t>
      </w:r>
      <w:proofErr w:type="spellStart"/>
      <w:r w:rsidRPr="00F5054F">
        <w:rPr>
          <w:i w:val="0"/>
          <w:iCs w:val="0"/>
          <w:lang w:val="es-ES"/>
        </w:rPr>
        <w:t>Magd</w:t>
      </w:r>
      <w:proofErr w:type="spellEnd"/>
      <w:r w:rsidRPr="00F5054F">
        <w:rPr>
          <w:i w:val="0"/>
          <w:iCs w:val="0"/>
          <w:lang w:val="es-ES"/>
        </w:rPr>
        <w:t xml:space="preserve">.) al pago de </w:t>
      </w:r>
      <w:r w:rsidRPr="00F5054F">
        <w:rPr>
          <w:b/>
          <w:bCs/>
          <w:i w:val="0"/>
          <w:iCs w:val="0"/>
          <w:lang w:val="es-ES"/>
        </w:rPr>
        <w:t xml:space="preserve">DOSCIENTOS NOVENTA Y SEIS MILLONES SETECIENTOS CUARENTA Y SEIS MIL VEINTINUEVE PESOS ($296.746.029) </w:t>
      </w:r>
      <w:r w:rsidRPr="00F5054F">
        <w:rPr>
          <w:i w:val="0"/>
          <w:iCs w:val="0"/>
          <w:lang w:val="es-ES"/>
        </w:rPr>
        <w:t>por concepto de perjuicios materiales atendiendo el derrotero delineado en este proveído.</w:t>
      </w:r>
    </w:p>
    <w:p w14:paraId="55A09EA3" w14:textId="0DF2A903" w:rsidR="00F5054F" w:rsidRPr="00F5054F" w:rsidRDefault="00F5054F" w:rsidP="005400AD"/>
    <w:p w14:paraId="314A8ABE" w14:textId="1432960A" w:rsidR="00F5054F" w:rsidRDefault="00F5054F" w:rsidP="005400AD">
      <w:r w:rsidRPr="00F5054F">
        <w:rPr>
          <w:b/>
          <w:bCs/>
        </w:rPr>
        <w:t>2º)</w:t>
      </w:r>
      <w:r w:rsidRPr="00F5054F">
        <w:t xml:space="preserve"> </w:t>
      </w:r>
      <w:proofErr w:type="spellStart"/>
      <w:r w:rsidRPr="00F5054F">
        <w:rPr>
          <w:b/>
          <w:bCs/>
        </w:rPr>
        <w:t>Confírmase</w:t>
      </w:r>
      <w:proofErr w:type="spellEnd"/>
      <w:r w:rsidRPr="00F5054F">
        <w:t xml:space="preserve"> en lo demás el fallo apelado.</w:t>
      </w:r>
    </w:p>
    <w:p w14:paraId="73B2C244" w14:textId="77777777" w:rsidR="00A72B6B" w:rsidRPr="00F5054F" w:rsidRDefault="00A72B6B" w:rsidP="005400AD"/>
    <w:p w14:paraId="77AD6EAE" w14:textId="3F195CBE" w:rsidR="00AB090E" w:rsidRPr="00F5054F" w:rsidRDefault="00F5054F" w:rsidP="00646CE9">
      <w:r w:rsidRPr="00F5054F">
        <w:rPr>
          <w:b/>
          <w:bCs/>
        </w:rPr>
        <w:t>3</w:t>
      </w:r>
      <w:r w:rsidR="00064CD7" w:rsidRPr="00F5054F">
        <w:rPr>
          <w:b/>
          <w:bCs/>
        </w:rPr>
        <w:t>º</w:t>
      </w:r>
      <w:r w:rsidR="00AB090E" w:rsidRPr="00F5054F">
        <w:rPr>
          <w:b/>
          <w:bCs/>
        </w:rPr>
        <w:t>)</w:t>
      </w:r>
      <w:r w:rsidR="00AB090E" w:rsidRPr="00F5054F">
        <w:t xml:space="preserve"> </w:t>
      </w:r>
      <w:proofErr w:type="spellStart"/>
      <w:r w:rsidR="005D49B5" w:rsidRPr="00F5054F">
        <w:rPr>
          <w:b/>
          <w:bCs/>
        </w:rPr>
        <w:t>Abstiénese</w:t>
      </w:r>
      <w:proofErr w:type="spellEnd"/>
      <w:r w:rsidR="005D49B5" w:rsidRPr="00F5054F">
        <w:t xml:space="preserve"> de </w:t>
      </w:r>
      <w:r w:rsidR="00AB090E" w:rsidRPr="00F5054F">
        <w:t>condena</w:t>
      </w:r>
      <w:r w:rsidR="005D49B5" w:rsidRPr="00F5054F">
        <w:t>r</w:t>
      </w:r>
      <w:r w:rsidR="00AB090E" w:rsidRPr="00F5054F">
        <w:t xml:space="preserve"> en costas</w:t>
      </w:r>
      <w:r w:rsidRPr="00F5054F">
        <w:t>.</w:t>
      </w:r>
    </w:p>
    <w:p w14:paraId="7B50FD19" w14:textId="6D0A928D" w:rsidR="00AB090E" w:rsidRPr="00F5054F" w:rsidRDefault="00AB090E" w:rsidP="00646CE9"/>
    <w:p w14:paraId="49A52FC5" w14:textId="7FBF7DA8" w:rsidR="00AB090E" w:rsidRPr="00F5054F" w:rsidRDefault="00F5054F" w:rsidP="00AB090E">
      <w:r w:rsidRPr="00F5054F">
        <w:rPr>
          <w:b/>
          <w:bCs/>
        </w:rPr>
        <w:lastRenderedPageBreak/>
        <w:t>4</w:t>
      </w:r>
      <w:r w:rsidR="00064CD7" w:rsidRPr="00F5054F">
        <w:rPr>
          <w:b/>
          <w:bCs/>
        </w:rPr>
        <w:t>º</w:t>
      </w:r>
      <w:r w:rsidR="00AB090E" w:rsidRPr="00F5054F">
        <w:rPr>
          <w:b/>
          <w:bCs/>
        </w:rPr>
        <w:t>)</w:t>
      </w:r>
      <w:r w:rsidR="00AB090E" w:rsidRPr="00F5054F">
        <w:t xml:space="preserve"> Ejecutoriada </w:t>
      </w:r>
      <w:r w:rsidR="005D49B5" w:rsidRPr="00F5054F">
        <w:t xml:space="preserve">la presente sentencia, </w:t>
      </w:r>
      <w:r w:rsidR="00AB090E" w:rsidRPr="00F5054F">
        <w:t xml:space="preserve">por la secretaría </w:t>
      </w:r>
      <w:r w:rsidR="00AB090E" w:rsidRPr="00F5054F">
        <w:rPr>
          <w:b/>
          <w:bCs/>
        </w:rPr>
        <w:t>devuélvase</w:t>
      </w:r>
      <w:r w:rsidR="00AB090E" w:rsidRPr="00F5054F">
        <w:t xml:space="preserve"> el expediente al </w:t>
      </w:r>
      <w:r w:rsidR="00802C7A" w:rsidRPr="00F5054F">
        <w:t xml:space="preserve">tribunal </w:t>
      </w:r>
      <w:r w:rsidR="00AB090E" w:rsidRPr="00F5054F">
        <w:t xml:space="preserve">de origen </w:t>
      </w:r>
      <w:r w:rsidR="005D49B5" w:rsidRPr="00F5054F">
        <w:t>para lo su cargo.</w:t>
      </w:r>
    </w:p>
    <w:p w14:paraId="594E1025" w14:textId="2D6EB149" w:rsidR="00AB090E" w:rsidRPr="00F5054F" w:rsidRDefault="00AB090E" w:rsidP="00646CE9"/>
    <w:p w14:paraId="3C2CBA4C" w14:textId="122EEAEF" w:rsidR="000F2DE0" w:rsidRPr="00F5054F" w:rsidRDefault="00AB090E" w:rsidP="005D49B5">
      <w:pPr>
        <w:rPr>
          <w:b/>
          <w:bCs/>
        </w:rPr>
      </w:pPr>
      <w:r w:rsidRPr="00F5054F">
        <w:rPr>
          <w:b/>
          <w:bCs/>
        </w:rPr>
        <w:t>NOTIFÍQUESE y CÚMPLASE</w:t>
      </w:r>
    </w:p>
    <w:p w14:paraId="59442179" w14:textId="2CF77DB9" w:rsidR="000F2DE0" w:rsidRPr="00F5054F" w:rsidRDefault="000F2DE0" w:rsidP="005D49B5">
      <w:pPr>
        <w:spacing w:line="240" w:lineRule="auto"/>
      </w:pPr>
    </w:p>
    <w:p w14:paraId="2D9EE874" w14:textId="4E7008F9" w:rsidR="005D49B5" w:rsidRPr="00F5054F" w:rsidRDefault="005D49B5" w:rsidP="005D49B5">
      <w:pPr>
        <w:spacing w:line="240" w:lineRule="auto"/>
      </w:pPr>
    </w:p>
    <w:p w14:paraId="3B15082E" w14:textId="77777777" w:rsidR="00F274B3" w:rsidRPr="00F5054F" w:rsidRDefault="00F274B3" w:rsidP="005D49B5">
      <w:pPr>
        <w:spacing w:line="240" w:lineRule="auto"/>
      </w:pPr>
    </w:p>
    <w:p w14:paraId="1E6CC54D" w14:textId="77777777" w:rsidR="005D49B5" w:rsidRPr="00F5054F" w:rsidRDefault="005D49B5" w:rsidP="005D49B5">
      <w:pPr>
        <w:spacing w:line="240" w:lineRule="auto"/>
        <w:jc w:val="center"/>
        <w:rPr>
          <w:b/>
          <w:bCs/>
        </w:rPr>
      </w:pPr>
      <w:r w:rsidRPr="00F5054F">
        <w:rPr>
          <w:b/>
          <w:bCs/>
        </w:rPr>
        <w:t>ALBERTO MONTAÑA PLATA</w:t>
      </w:r>
    </w:p>
    <w:p w14:paraId="28437B8B" w14:textId="13C237AC" w:rsidR="005D49B5" w:rsidRPr="00F5054F" w:rsidRDefault="005D49B5" w:rsidP="005D49B5">
      <w:pPr>
        <w:spacing w:line="240" w:lineRule="auto"/>
        <w:jc w:val="center"/>
        <w:rPr>
          <w:b/>
          <w:bCs/>
        </w:rPr>
      </w:pPr>
      <w:r w:rsidRPr="00F5054F">
        <w:rPr>
          <w:b/>
          <w:bCs/>
        </w:rPr>
        <w:t>Presidente de la Sala</w:t>
      </w:r>
    </w:p>
    <w:p w14:paraId="25C5120D" w14:textId="23315577" w:rsidR="000F2DE0" w:rsidRPr="00F5054F" w:rsidRDefault="005D49B5" w:rsidP="005D49B5">
      <w:pPr>
        <w:spacing w:line="240" w:lineRule="auto"/>
        <w:jc w:val="center"/>
        <w:rPr>
          <w:b/>
          <w:bCs/>
        </w:rPr>
      </w:pPr>
      <w:r w:rsidRPr="00F5054F">
        <w:rPr>
          <w:b/>
          <w:bCs/>
        </w:rPr>
        <w:t>(Firmado electrónicamente)</w:t>
      </w:r>
    </w:p>
    <w:p w14:paraId="36A88668" w14:textId="54CE0F4C" w:rsidR="000D5A52" w:rsidRPr="00F5054F" w:rsidRDefault="000D5A52" w:rsidP="005D49B5">
      <w:pPr>
        <w:spacing w:line="240" w:lineRule="auto"/>
        <w:jc w:val="center"/>
        <w:rPr>
          <w:b/>
          <w:bCs/>
        </w:rPr>
      </w:pPr>
      <w:r w:rsidRPr="00F5054F">
        <w:rPr>
          <w:b/>
          <w:bCs/>
        </w:rPr>
        <w:t>Salvamento de voto</w:t>
      </w:r>
    </w:p>
    <w:p w14:paraId="0C8EFB7C" w14:textId="1CDE81B3" w:rsidR="005D49B5" w:rsidRPr="00F5054F" w:rsidRDefault="005D49B5" w:rsidP="005D49B5">
      <w:pPr>
        <w:spacing w:line="240" w:lineRule="auto"/>
      </w:pPr>
    </w:p>
    <w:p w14:paraId="1F227D0E" w14:textId="4935C10D" w:rsidR="005D49B5" w:rsidRPr="00F5054F" w:rsidRDefault="005D49B5" w:rsidP="005D49B5">
      <w:pPr>
        <w:spacing w:line="240" w:lineRule="auto"/>
      </w:pPr>
    </w:p>
    <w:p w14:paraId="2E3BFD45" w14:textId="77777777" w:rsidR="00F274B3" w:rsidRPr="00F5054F" w:rsidRDefault="00F274B3" w:rsidP="005D49B5">
      <w:pPr>
        <w:spacing w:line="240" w:lineRule="auto"/>
      </w:pPr>
    </w:p>
    <w:tbl>
      <w:tblPr>
        <w:tblW w:w="0" w:type="auto"/>
        <w:tblLook w:val="04A0" w:firstRow="1" w:lastRow="0" w:firstColumn="1" w:lastColumn="0" w:noHBand="0" w:noVBand="1"/>
      </w:tblPr>
      <w:tblGrid>
        <w:gridCol w:w="4420"/>
        <w:gridCol w:w="4420"/>
      </w:tblGrid>
      <w:tr w:rsidR="000F2DE0" w:rsidRPr="00F5054F" w14:paraId="37649CA5" w14:textId="77777777" w:rsidTr="007A5E7A">
        <w:tc>
          <w:tcPr>
            <w:tcW w:w="4556" w:type="dxa"/>
            <w:shd w:val="clear" w:color="auto" w:fill="auto"/>
          </w:tcPr>
          <w:p w14:paraId="6ED83049" w14:textId="13854E38" w:rsidR="000F2DE0" w:rsidRPr="00F5054F" w:rsidRDefault="005D49B5" w:rsidP="005D49B5">
            <w:pPr>
              <w:spacing w:line="240" w:lineRule="auto"/>
              <w:jc w:val="center"/>
              <w:rPr>
                <w:b/>
                <w:bCs/>
              </w:rPr>
            </w:pPr>
            <w:bookmarkStart w:id="3" w:name="_Hlk81941119"/>
            <w:r w:rsidRPr="00F5054F">
              <w:rPr>
                <w:b/>
                <w:bCs/>
              </w:rPr>
              <w:t xml:space="preserve">FREDY IBARRA MARTÍNEZ </w:t>
            </w:r>
            <w:r w:rsidR="000F2DE0" w:rsidRPr="00F5054F">
              <w:rPr>
                <w:b/>
                <w:bCs/>
              </w:rPr>
              <w:t>Magistrado</w:t>
            </w:r>
          </w:p>
          <w:p w14:paraId="2B70085A" w14:textId="1955DAD6" w:rsidR="00AD5CE4" w:rsidRPr="00F5054F" w:rsidRDefault="00AD5CE4" w:rsidP="005D49B5">
            <w:pPr>
              <w:spacing w:line="240" w:lineRule="auto"/>
              <w:jc w:val="center"/>
              <w:rPr>
                <w:b/>
                <w:bCs/>
              </w:rPr>
            </w:pPr>
            <w:r w:rsidRPr="00F5054F">
              <w:rPr>
                <w:b/>
                <w:bCs/>
              </w:rPr>
              <w:t>(Firmado electrónicamente)</w:t>
            </w:r>
            <w:bookmarkEnd w:id="3"/>
          </w:p>
        </w:tc>
        <w:tc>
          <w:tcPr>
            <w:tcW w:w="4557" w:type="dxa"/>
            <w:shd w:val="clear" w:color="auto" w:fill="auto"/>
          </w:tcPr>
          <w:p w14:paraId="2394739E" w14:textId="77777777" w:rsidR="000F2DE0" w:rsidRPr="00F5054F" w:rsidRDefault="000F2DE0" w:rsidP="005D49B5">
            <w:pPr>
              <w:spacing w:line="240" w:lineRule="auto"/>
              <w:jc w:val="center"/>
              <w:rPr>
                <w:b/>
                <w:bCs/>
              </w:rPr>
            </w:pPr>
            <w:r w:rsidRPr="00F5054F">
              <w:rPr>
                <w:b/>
                <w:bCs/>
              </w:rPr>
              <w:t>MARTÍN BERMÚDEZ MUÑOZ</w:t>
            </w:r>
          </w:p>
          <w:p w14:paraId="4E8B6AF7" w14:textId="77777777" w:rsidR="000F2DE0" w:rsidRPr="00F5054F" w:rsidRDefault="000F2DE0" w:rsidP="005D49B5">
            <w:pPr>
              <w:spacing w:line="240" w:lineRule="auto"/>
              <w:jc w:val="center"/>
              <w:rPr>
                <w:b/>
                <w:bCs/>
              </w:rPr>
            </w:pPr>
            <w:r w:rsidRPr="00F5054F">
              <w:rPr>
                <w:b/>
                <w:bCs/>
              </w:rPr>
              <w:t>Magistrado</w:t>
            </w:r>
          </w:p>
          <w:p w14:paraId="11244480" w14:textId="3413ADE3" w:rsidR="00AD5CE4" w:rsidRPr="00F5054F" w:rsidRDefault="00AD5CE4" w:rsidP="005D49B5">
            <w:pPr>
              <w:spacing w:line="240" w:lineRule="auto"/>
              <w:jc w:val="center"/>
              <w:rPr>
                <w:b/>
                <w:bCs/>
              </w:rPr>
            </w:pPr>
            <w:r w:rsidRPr="00F5054F">
              <w:rPr>
                <w:b/>
                <w:bCs/>
              </w:rPr>
              <w:t>(Firmado electrónicamente)</w:t>
            </w:r>
          </w:p>
        </w:tc>
      </w:tr>
    </w:tbl>
    <w:p w14:paraId="0EEBBF13" w14:textId="7B8015E2" w:rsidR="000F2DE0" w:rsidRPr="00F5054F" w:rsidRDefault="000F2DE0" w:rsidP="005D49B5">
      <w:pPr>
        <w:spacing w:line="240" w:lineRule="auto"/>
        <w:jc w:val="center"/>
      </w:pPr>
    </w:p>
    <w:p w14:paraId="5032A4A4" w14:textId="3EE67F0F" w:rsidR="34485A0D" w:rsidRDefault="34485A0D" w:rsidP="005D49B5">
      <w:pPr>
        <w:spacing w:line="240" w:lineRule="auto"/>
        <w:jc w:val="center"/>
      </w:pPr>
    </w:p>
    <w:p w14:paraId="2BA54189" w14:textId="77777777" w:rsidR="00A72B6B" w:rsidRPr="00F5054F" w:rsidRDefault="00A72B6B" w:rsidP="005D49B5">
      <w:pPr>
        <w:spacing w:line="240" w:lineRule="auto"/>
        <w:jc w:val="center"/>
      </w:pPr>
    </w:p>
    <w:p w14:paraId="7BD46E4B" w14:textId="236841D4" w:rsidR="0024452D" w:rsidRPr="00F5054F" w:rsidRDefault="00A72B6B" w:rsidP="005D49B5">
      <w:pPr>
        <w:spacing w:line="240" w:lineRule="auto"/>
        <w:rPr>
          <w:sz w:val="22"/>
          <w:szCs w:val="22"/>
        </w:rPr>
      </w:pPr>
      <w:r w:rsidRPr="00A72B6B">
        <w:rPr>
          <w:sz w:val="22"/>
          <w:szCs w:val="22"/>
        </w:rPr>
        <w:t>Constancia. La presente providencia fue firmada electrónicamente por los magistrados en la plataforma SAMAI, en consecuencia, se garantiza la autenticidad, integridad, conservación y posterior consulta de conformidad con el artículo 2 del Decreto Legislativo 806 de 2020.</w:t>
      </w:r>
    </w:p>
    <w:sectPr w:rsidR="0024452D" w:rsidRPr="00F5054F" w:rsidSect="00626DEE">
      <w:headerReference w:type="default" r:id="rId12"/>
      <w:headerReference w:type="first" r:id="rId13"/>
      <w:pgSz w:w="12242" w:h="18722" w:code="11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3E50" w14:textId="77777777" w:rsidR="00BC6E8A" w:rsidRDefault="00BC6E8A" w:rsidP="00117091">
      <w:r>
        <w:separator/>
      </w:r>
    </w:p>
  </w:endnote>
  <w:endnote w:type="continuationSeparator" w:id="0">
    <w:p w14:paraId="67282F8F" w14:textId="77777777" w:rsidR="00BC6E8A" w:rsidRDefault="00BC6E8A"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363F" w14:textId="77777777" w:rsidR="00BC6E8A" w:rsidRDefault="00BC6E8A" w:rsidP="00117091">
      <w:r>
        <w:separator/>
      </w:r>
    </w:p>
  </w:footnote>
  <w:footnote w:type="continuationSeparator" w:id="0">
    <w:p w14:paraId="717E378B" w14:textId="77777777" w:rsidR="00BC6E8A" w:rsidRDefault="00BC6E8A" w:rsidP="00117091">
      <w:r>
        <w:continuationSeparator/>
      </w:r>
    </w:p>
  </w:footnote>
  <w:footnote w:id="1">
    <w:p w14:paraId="2512ECB9" w14:textId="5A46AF60" w:rsidR="00FF36B1" w:rsidRPr="00F5054F" w:rsidRDefault="00FF36B1">
      <w:pPr>
        <w:pStyle w:val="Textonotapie"/>
        <w:rPr>
          <w:lang w:val="es-CO"/>
        </w:rPr>
      </w:pPr>
      <w:r w:rsidRPr="00F5054F">
        <w:rPr>
          <w:rStyle w:val="Refdenotaalpie"/>
        </w:rPr>
        <w:footnoteRef/>
      </w:r>
      <w:r w:rsidRPr="00F5054F">
        <w:t xml:space="preserve"> Consejo de Estado, Sección Tercera, Sala Plena, sentencia de 9 de febrero de 2012, exp. 50001-23-31-000-1997-06093-01 (21.060), CP Mauricio Fajardo Gómez.</w:t>
      </w:r>
    </w:p>
  </w:footnote>
  <w:footnote w:id="2">
    <w:p w14:paraId="287F2815" w14:textId="62D20375" w:rsidR="00F46D83" w:rsidRPr="00F5054F" w:rsidRDefault="00F46D83">
      <w:pPr>
        <w:pStyle w:val="Textonotapie"/>
      </w:pPr>
      <w:r w:rsidRPr="00F5054F">
        <w:rPr>
          <w:rStyle w:val="Refdenotaalpie"/>
        </w:rPr>
        <w:footnoteRef/>
      </w:r>
      <w:r w:rsidRPr="00F5054F">
        <w:t xml:space="preserve"> En las consideraciones del contratos se consignó que “</w:t>
      </w:r>
      <w:r w:rsidRPr="00F5054F">
        <w:rPr>
          <w:i/>
          <w:iCs/>
        </w:rPr>
        <w:t>el artículo 355 de la Constitución Política de Colombia faculta la celebración de convenios con entidades privadas sin ánimo de lucro y de reconocida idoneidad con el fin de impulsar programas de interés público acordes con el plan nacional y los planes seccionales de desarrollo, en concordancia con el Decreto 777 de 1992 y el artículo 96 de la Ley 489 de 1998, 8) para el logro de los propósitos comunes se requiere aunar esfuerzos y desarrollar mecanismos de cooperación y apoyo económico que aceleren y concreten el objeto del presente convenio.”</w:t>
      </w:r>
      <w:r w:rsidRPr="00F5054F">
        <w:t xml:space="preserve"> (fl. 12 cdno ppal.).</w:t>
      </w:r>
    </w:p>
  </w:footnote>
  <w:footnote w:id="3">
    <w:p w14:paraId="458FD63B" w14:textId="3DA47641" w:rsidR="00F46D83" w:rsidRPr="00F5054F" w:rsidRDefault="00F46D83">
      <w:pPr>
        <w:pStyle w:val="Textonotapie"/>
      </w:pPr>
      <w:r w:rsidRPr="00F5054F">
        <w:rPr>
          <w:rStyle w:val="Refdenotaalpie"/>
        </w:rPr>
        <w:footnoteRef/>
      </w:r>
      <w:r w:rsidRPr="00F5054F">
        <w:t xml:space="preserve"> Sobre el particular </w:t>
      </w:r>
      <w:r w:rsidRPr="00F5054F">
        <w:rPr>
          <w:lang w:val="es-CO"/>
        </w:rPr>
        <w:t>“</w:t>
      </w:r>
      <w:r w:rsidRPr="00F5054F">
        <w:rPr>
          <w:i/>
          <w:iCs/>
          <w:lang w:val="es-CO"/>
        </w:rPr>
        <w:t>s</w:t>
      </w:r>
      <w:r w:rsidRPr="00F5054F">
        <w:rPr>
          <w:i/>
          <w:lang w:val="es-CO"/>
        </w:rPr>
        <w:t>e ha aludido a los elementos esenciales del negocio –</w:t>
      </w:r>
      <w:r w:rsidRPr="00F5054F">
        <w:rPr>
          <w:i/>
          <w:lang w:val="es-CO"/>
        </w:rPr>
        <w:t xml:space="preserve">esentialia negotii– como a aquellos que ‘constituyen lo mínimo que las partes deben declarar para precisar el interés que pretenden desarrollar jurídicamente y el sentido en que quieren hacerlo’, por manera que si las partes guardan silencio acerca de estos elementos, el negocio por ellas deseado no se hallará en condiciones de producir </w:t>
      </w:r>
      <w:r w:rsidRPr="00F5054F">
        <w:rPr>
          <w:i/>
          <w:lang w:val="es-CO"/>
        </w:rPr>
        <w:t>todos su efectos o devendrá en un vínculo diverso</w:t>
      </w:r>
      <w:r w:rsidRPr="00F5054F">
        <w:rPr>
          <w:lang w:val="es-CO"/>
        </w:rPr>
        <w:t>”. Consejo de Estado, Sección Tercera, sentencia de 18 de marzo de 2010, exp. 14.390, CP Mauricio Fajardo Gómez.</w:t>
      </w:r>
    </w:p>
  </w:footnote>
  <w:footnote w:id="4">
    <w:p w14:paraId="79622BB2" w14:textId="0B6CDC1D" w:rsidR="005400AD" w:rsidRPr="00F5054F" w:rsidRDefault="005400AD">
      <w:pPr>
        <w:pStyle w:val="Textonotapie"/>
      </w:pPr>
      <w:r w:rsidRPr="00F5054F">
        <w:rPr>
          <w:rStyle w:val="Refdenotaalpie"/>
        </w:rPr>
        <w:footnoteRef/>
      </w:r>
      <w:r w:rsidRPr="00F5054F">
        <w:t xml:space="preserve"> En la cláusula segunda relacionada con el alcance las partes acordaron: “</w:t>
      </w:r>
      <w:r w:rsidRPr="00F5054F">
        <w:rPr>
          <w:i/>
          <w:iCs/>
        </w:rPr>
        <w:t>ACODAL brindará apoyo técnico a EL MUNICIPIO en lo correspondiente al objeto de este convenio mediante la gerencia integral del mismo.</w:t>
      </w:r>
      <w:r w:rsidRPr="00F5054F">
        <w:t>” (fl. 12 cdno. ppal. - mayúsculas sostenidas del texto original).</w:t>
      </w:r>
    </w:p>
  </w:footnote>
  <w:footnote w:id="5">
    <w:p w14:paraId="4CDBAAC8" w14:textId="38F4339D" w:rsidR="005400AD" w:rsidRPr="00F5054F" w:rsidRDefault="005400AD">
      <w:pPr>
        <w:pStyle w:val="Textonotapie"/>
      </w:pPr>
      <w:r w:rsidRPr="00F5054F">
        <w:rPr>
          <w:rStyle w:val="Refdenotaalpie"/>
        </w:rPr>
        <w:footnoteRef/>
      </w:r>
      <w:r w:rsidRPr="00F5054F">
        <w:t xml:space="preserve"> En aclaración de 2 de abril de 2007 las partes agregaron las labores de interventoría: “</w:t>
      </w:r>
      <w:r w:rsidRPr="00F5054F">
        <w:rPr>
          <w:i/>
          <w:iCs/>
        </w:rPr>
        <w:t>ACODAL y EL MUNICIPIO han acordado que ACODAL prestará los servicios de interventoría temporalmente en el contrato de construcción de la planta de tratamiento.</w:t>
      </w:r>
      <w:r w:rsidRPr="00F5054F">
        <w:t>” (fl. 12 cdno. ppal. - mayúsculas sostenidas del texto original).</w:t>
      </w:r>
    </w:p>
  </w:footnote>
  <w:footnote w:id="6">
    <w:p w14:paraId="187CC620" w14:textId="490AF020" w:rsidR="005400AD" w:rsidRPr="00F5054F" w:rsidRDefault="005400AD">
      <w:pPr>
        <w:pStyle w:val="Textonotapie"/>
      </w:pPr>
      <w:r w:rsidRPr="00F5054F">
        <w:rPr>
          <w:rStyle w:val="Refdenotaalpie"/>
        </w:rPr>
        <w:footnoteRef/>
      </w:r>
      <w:r w:rsidRPr="00F5054F">
        <w:t xml:space="preserve"> Consejo de Estado, Sección Tercera, sentencia de 30 de noviembre de 2006, exp. 30.832, CP Alier Hernández Enríquez.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58224226"/>
      <w:docPartObj>
        <w:docPartGallery w:val="Page Numbers (Top of Page)"/>
        <w:docPartUnique/>
      </w:docPartObj>
    </w:sdtPr>
    <w:sdtEndPr>
      <w:rPr>
        <w:sz w:val="24"/>
      </w:rPr>
    </w:sdtEndPr>
    <w:sdtContent>
      <w:p w14:paraId="6ACD19BE" w14:textId="66947E49" w:rsidR="00EB0CA5" w:rsidRPr="00FD3F4E" w:rsidRDefault="00EB0CA5" w:rsidP="00BC41A3">
        <w:pPr>
          <w:pStyle w:val="Encabezado"/>
          <w:tabs>
            <w:tab w:val="clear" w:pos="4252"/>
            <w:tab w:val="clear" w:pos="8504"/>
          </w:tabs>
          <w:spacing w:line="240" w:lineRule="auto"/>
          <w:jc w:val="right"/>
          <w:rPr>
            <w:szCs w:val="20"/>
          </w:rPr>
        </w:pPr>
        <w:r w:rsidRPr="00FD3F4E">
          <w:rPr>
            <w:szCs w:val="20"/>
          </w:rPr>
          <w:fldChar w:fldCharType="begin"/>
        </w:r>
        <w:r w:rsidRPr="00FD3F4E">
          <w:rPr>
            <w:szCs w:val="20"/>
          </w:rPr>
          <w:instrText>PAGE   \* MERGEFORMAT</w:instrText>
        </w:r>
        <w:r w:rsidRPr="00FD3F4E">
          <w:rPr>
            <w:szCs w:val="20"/>
          </w:rPr>
          <w:fldChar w:fldCharType="separate"/>
        </w:r>
        <w:r w:rsidR="00FD3F4E">
          <w:rPr>
            <w:noProof/>
            <w:szCs w:val="20"/>
          </w:rPr>
          <w:t>12</w:t>
        </w:r>
        <w:r w:rsidRPr="00FD3F4E">
          <w:rPr>
            <w:szCs w:val="20"/>
          </w:rPr>
          <w:fldChar w:fldCharType="end"/>
        </w:r>
      </w:p>
    </w:sdtContent>
  </w:sdt>
  <w:p w14:paraId="222B0163" w14:textId="78F290F9" w:rsidR="00EB0CA5" w:rsidRPr="006D688D" w:rsidRDefault="00EB0CA5" w:rsidP="00BC41A3">
    <w:pPr>
      <w:spacing w:line="240" w:lineRule="auto"/>
      <w:jc w:val="right"/>
      <w:rPr>
        <w:sz w:val="20"/>
        <w:szCs w:val="20"/>
      </w:rPr>
    </w:pPr>
  </w:p>
  <w:p w14:paraId="5D8FB5C3" w14:textId="69218850" w:rsidR="00B05CFF" w:rsidRDefault="00EB0CA5" w:rsidP="00BC41A3">
    <w:pPr>
      <w:pStyle w:val="Encabezado"/>
      <w:tabs>
        <w:tab w:val="clear" w:pos="4252"/>
        <w:tab w:val="clear" w:pos="8504"/>
      </w:tabs>
      <w:spacing w:line="240" w:lineRule="auto"/>
      <w:jc w:val="right"/>
      <w:rPr>
        <w:i/>
        <w:iCs/>
        <w:sz w:val="20"/>
        <w:szCs w:val="20"/>
        <w:lang w:val="es-CO"/>
      </w:rPr>
    </w:pPr>
    <w:r w:rsidRPr="006D688D">
      <w:rPr>
        <w:i/>
        <w:iCs/>
        <w:sz w:val="20"/>
        <w:szCs w:val="20"/>
        <w:lang w:val="es-CO"/>
      </w:rPr>
      <w:t xml:space="preserve">Expediente: </w:t>
    </w:r>
    <w:r w:rsidR="00B05CFF" w:rsidRPr="00B05CFF">
      <w:rPr>
        <w:i/>
        <w:iCs/>
        <w:sz w:val="20"/>
        <w:szCs w:val="20"/>
        <w:lang w:val="es-CO"/>
      </w:rPr>
      <w:t>47001-23-31-000-2010-00405-01 (45</w:t>
    </w:r>
    <w:r w:rsidR="004B14DF">
      <w:rPr>
        <w:i/>
        <w:iCs/>
        <w:sz w:val="20"/>
        <w:szCs w:val="20"/>
        <w:lang w:val="es-CO"/>
      </w:rPr>
      <w:t>.</w:t>
    </w:r>
    <w:r w:rsidR="00B05CFF" w:rsidRPr="00B05CFF">
      <w:rPr>
        <w:i/>
        <w:iCs/>
        <w:sz w:val="20"/>
        <w:szCs w:val="20"/>
        <w:lang w:val="es-CO"/>
      </w:rPr>
      <w:t>348)</w:t>
    </w:r>
  </w:p>
  <w:p w14:paraId="5E739D85" w14:textId="746AE186" w:rsidR="00EB0CA5" w:rsidRPr="006D688D" w:rsidRDefault="00EB0CA5" w:rsidP="00BC41A3">
    <w:pPr>
      <w:pStyle w:val="Encabezado"/>
      <w:tabs>
        <w:tab w:val="clear" w:pos="4252"/>
        <w:tab w:val="clear" w:pos="8504"/>
      </w:tabs>
      <w:spacing w:line="240" w:lineRule="auto"/>
      <w:jc w:val="right"/>
      <w:rPr>
        <w:i/>
        <w:iCs/>
        <w:sz w:val="20"/>
        <w:szCs w:val="20"/>
        <w:lang w:val="es-CO"/>
      </w:rPr>
    </w:pPr>
    <w:r w:rsidRPr="006D688D">
      <w:rPr>
        <w:i/>
        <w:iCs/>
        <w:sz w:val="20"/>
        <w:szCs w:val="20"/>
        <w:lang w:val="es-CO"/>
      </w:rPr>
      <w:t xml:space="preserve">Actor: </w:t>
    </w:r>
    <w:r w:rsidR="00B05CFF" w:rsidRPr="00B05CFF">
      <w:rPr>
        <w:i/>
        <w:iCs/>
        <w:sz w:val="20"/>
        <w:szCs w:val="20"/>
        <w:lang w:val="es-CO"/>
      </w:rPr>
      <w:t>Asociación Colombiana de Ingeniería Sanitaria y Ambiental</w:t>
    </w:r>
  </w:p>
  <w:p w14:paraId="29312BF0" w14:textId="0ED6F567" w:rsidR="00482661" w:rsidRPr="00482661" w:rsidRDefault="00EB0CA5" w:rsidP="00761DB5">
    <w:pPr>
      <w:pStyle w:val="Encabezado"/>
      <w:tabs>
        <w:tab w:val="clear" w:pos="4252"/>
        <w:tab w:val="clear" w:pos="8504"/>
      </w:tabs>
      <w:spacing w:line="240" w:lineRule="auto"/>
      <w:jc w:val="right"/>
      <w:rPr>
        <w:i/>
        <w:iCs/>
        <w:sz w:val="20"/>
        <w:szCs w:val="20"/>
        <w:lang w:val="es-CO"/>
      </w:rPr>
    </w:pPr>
    <w:r w:rsidRPr="00482661">
      <w:rPr>
        <w:i/>
        <w:iCs/>
        <w:sz w:val="20"/>
        <w:szCs w:val="20"/>
        <w:lang w:val="es-CO"/>
      </w:rPr>
      <w:t>Controversias contractuales</w:t>
    </w:r>
  </w:p>
  <w:p w14:paraId="7DFE15C8" w14:textId="2413DDD0" w:rsidR="00EB0CA5" w:rsidRPr="008327DE" w:rsidRDefault="00482661" w:rsidP="00761DB5">
    <w:pPr>
      <w:pStyle w:val="Encabezado"/>
      <w:tabs>
        <w:tab w:val="clear" w:pos="4252"/>
        <w:tab w:val="clear" w:pos="8504"/>
      </w:tabs>
      <w:spacing w:line="240" w:lineRule="auto"/>
      <w:jc w:val="right"/>
      <w:rPr>
        <w:i/>
        <w:iCs/>
        <w:sz w:val="20"/>
        <w:szCs w:val="20"/>
        <w:u w:val="single"/>
        <w:lang w:val="es-CO"/>
      </w:rPr>
    </w:pPr>
    <w:r>
      <w:rPr>
        <w:i/>
        <w:iCs/>
        <w:sz w:val="20"/>
        <w:szCs w:val="20"/>
        <w:u w:val="single"/>
        <w:lang w:val="es-CO"/>
      </w:rPr>
      <w:t>A</w:t>
    </w:r>
    <w:r w:rsidR="00EB0CA5" w:rsidRPr="008327DE">
      <w:rPr>
        <w:i/>
        <w:iCs/>
        <w:sz w:val="20"/>
        <w:szCs w:val="20"/>
        <w:u w:val="single"/>
        <w:lang w:val="es-CO"/>
      </w:rPr>
      <w:t>pelación de sentencia</w:t>
    </w:r>
  </w:p>
  <w:p w14:paraId="1CA79C77" w14:textId="77777777" w:rsidR="00EB0CA5" w:rsidRPr="00BC41A3" w:rsidRDefault="00EB0CA5" w:rsidP="00761DB5">
    <w:pPr>
      <w:pStyle w:val="Encabezado"/>
      <w:tabs>
        <w:tab w:val="clear" w:pos="4252"/>
        <w:tab w:val="clear" w:pos="8504"/>
      </w:tabs>
      <w:spacing w:line="240" w:lineRule="auto"/>
      <w:jc w:val="right"/>
      <w:rPr>
        <w:color w:val="767171"/>
        <w:sz w:val="20"/>
        <w:szCs w:val="20"/>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2821" w14:textId="3E3A8C79" w:rsidR="00EB0CA5" w:rsidRPr="00BC41A3" w:rsidRDefault="00EB0CA5" w:rsidP="00BC41A3">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4AD1"/>
    <w:multiLevelType w:val="multilevel"/>
    <w:tmpl w:val="ED2C5564"/>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2002CC1"/>
    <w:multiLevelType w:val="multilevel"/>
    <w:tmpl w:val="A5368DFA"/>
    <w:lvl w:ilvl="0">
      <w:start w:val="1"/>
      <w:numFmt w:val="decimal"/>
      <w:pStyle w:val="Prrafodelista"/>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 w15:restartNumberingAfterBreak="0">
    <w:nsid w:val="15980F2B"/>
    <w:multiLevelType w:val="hybridMultilevel"/>
    <w:tmpl w:val="1250DE0E"/>
    <w:lvl w:ilvl="0" w:tplc="24343406">
      <w:start w:val="18"/>
      <w:numFmt w:val="bullet"/>
      <w:lvlText w:val="-"/>
      <w:lvlJc w:val="left"/>
      <w:pPr>
        <w:ind w:left="927" w:hanging="360"/>
      </w:pPr>
      <w:rPr>
        <w:rFonts w:ascii="Verdana" w:eastAsia="Calibri" w:hAnsi="Verdana"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 w15:restartNumberingAfterBreak="0">
    <w:nsid w:val="16DA5BC6"/>
    <w:multiLevelType w:val="hybridMultilevel"/>
    <w:tmpl w:val="0240AD70"/>
    <w:lvl w:ilvl="0" w:tplc="6BCCD3C4">
      <w:start w:val="1"/>
      <w:numFmt w:val="decimal"/>
      <w:suff w:val="space"/>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611AC6"/>
    <w:multiLevelType w:val="multilevel"/>
    <w:tmpl w:val="44A8654C"/>
    <w:styleLink w:val="Estilo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B8D4C55"/>
    <w:multiLevelType w:val="multilevel"/>
    <w:tmpl w:val="604A612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3D4F31E7"/>
    <w:multiLevelType w:val="hybridMultilevel"/>
    <w:tmpl w:val="3DD22506"/>
    <w:lvl w:ilvl="0" w:tplc="6CDEF194">
      <w:start w:val="1"/>
      <w:numFmt w:val="lowerLetter"/>
      <w:suff w:val="space"/>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53678D3"/>
    <w:multiLevelType w:val="hybridMultilevel"/>
    <w:tmpl w:val="67B61BBC"/>
    <w:lvl w:ilvl="0" w:tplc="BB08B9FC">
      <w:start w:val="1"/>
      <w:numFmt w:val="lowerLetter"/>
      <w:suff w:val="space"/>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57A2C5A"/>
    <w:multiLevelType w:val="multilevel"/>
    <w:tmpl w:val="44A8654C"/>
    <w:numStyleLink w:val="Estilo1"/>
  </w:abstractNum>
  <w:abstractNum w:abstractNumId="9" w15:restartNumberingAfterBreak="0">
    <w:nsid w:val="48551B97"/>
    <w:multiLevelType w:val="hybridMultilevel"/>
    <w:tmpl w:val="7E840470"/>
    <w:lvl w:ilvl="0" w:tplc="5F3E3ABA">
      <w:start w:val="1"/>
      <w:numFmt w:val="lowerLetter"/>
      <w:suff w:val="space"/>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A87BD6"/>
    <w:multiLevelType w:val="multilevel"/>
    <w:tmpl w:val="C8D65A5E"/>
    <w:lvl w:ilvl="0">
      <w:start w:val="1"/>
      <w:numFmt w:val="decimal"/>
      <w:suff w:val="space"/>
      <w:lvlText w:val="%1."/>
      <w:lvlJc w:val="left"/>
      <w:pPr>
        <w:ind w:left="0" w:firstLine="0"/>
      </w:pPr>
      <w:rPr>
        <w:rFonts w:ascii="Arial" w:hAnsi="Arial" w:hint="default"/>
        <w:sz w:val="26"/>
        <w:szCs w:val="26"/>
      </w:rPr>
    </w:lvl>
    <w:lvl w:ilvl="1">
      <w:start w:val="1"/>
      <w:numFmt w:val="decimal"/>
      <w:suff w:val="space"/>
      <w:lvlText w:val="%1.%2."/>
      <w:lvlJc w:val="left"/>
      <w:pPr>
        <w:ind w:left="0" w:firstLine="0"/>
      </w:pPr>
      <w:rPr>
        <w:rFonts w:ascii="Arial" w:hAnsi="Arial" w:hint="default"/>
        <w:color w:val="auto"/>
        <w:sz w:val="26"/>
        <w:szCs w:val="26"/>
      </w:rPr>
    </w:lvl>
    <w:lvl w:ilvl="2">
      <w:start w:val="1"/>
      <w:numFmt w:val="decimal"/>
      <w:suff w:val="space"/>
      <w:lvlText w:val="%1.%2.%3."/>
      <w:lvlJc w:val="left"/>
      <w:pPr>
        <w:ind w:left="0" w:firstLine="0"/>
      </w:pPr>
      <w:rPr>
        <w:rFonts w:ascii="Arial" w:hAnsi="Arial" w:hint="default"/>
      </w:rPr>
    </w:lvl>
    <w:lvl w:ilvl="3">
      <w:start w:val="1"/>
      <w:numFmt w:val="decimal"/>
      <w:suff w:val="space"/>
      <w:lvlText w:val="%1.%2.%3.%4."/>
      <w:lvlJc w:val="left"/>
      <w:pPr>
        <w:ind w:left="0" w:firstLine="0"/>
      </w:pPr>
      <w:rPr>
        <w:rFonts w:ascii="Arial" w:hAnsi="Arial"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6650236"/>
    <w:multiLevelType w:val="multilevel"/>
    <w:tmpl w:val="080E3D32"/>
    <w:lvl w:ilvl="0">
      <w:start w:val="1"/>
      <w:numFmt w:val="decimal"/>
      <w:pStyle w:val="Ttulo2"/>
      <w:suff w:val="space"/>
      <w:lvlText w:val="%1."/>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2" w15:restartNumberingAfterBreak="0">
    <w:nsid w:val="6A852F64"/>
    <w:multiLevelType w:val="multilevel"/>
    <w:tmpl w:val="14B001C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6C1E09A1"/>
    <w:multiLevelType w:val="hybridMultilevel"/>
    <w:tmpl w:val="C4BAB7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0F41358"/>
    <w:multiLevelType w:val="hybridMultilevel"/>
    <w:tmpl w:val="78467B40"/>
    <w:lvl w:ilvl="0" w:tplc="C256E2AA">
      <w:start w:val="1"/>
      <w:numFmt w:val="upperRoman"/>
      <w:pStyle w:val="Ttulo1"/>
      <w:suff w:val="space"/>
      <w:lvlText w:val="%1."/>
      <w:lvlJc w:val="righ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1"/>
  </w:num>
  <w:num w:numId="3">
    <w:abstractNumId w:val="11"/>
    <w:lvlOverride w:ilvl="0">
      <w:startOverride w:val="1"/>
    </w:lvlOverride>
  </w:num>
  <w:num w:numId="4">
    <w:abstractNumId w:val="3"/>
  </w:num>
  <w:num w:numId="5">
    <w:abstractNumId w:val="12"/>
  </w:num>
  <w:num w:numId="6">
    <w:abstractNumId w:val="0"/>
  </w:num>
  <w:num w:numId="7">
    <w:abstractNumId w:val="5"/>
  </w:num>
  <w:num w:numId="8">
    <w:abstractNumId w:val="4"/>
  </w:num>
  <w:num w:numId="9">
    <w:abstractNumId w:val="8"/>
    <w:lvlOverride w:ilvl="0">
      <w:lvl w:ilvl="0">
        <w:start w:val="1"/>
        <w:numFmt w:val="decimal"/>
        <w:suff w:val="space"/>
        <w:lvlText w:val="%1."/>
        <w:lvlJc w:val="left"/>
        <w:pPr>
          <w:ind w:left="0" w:firstLine="0"/>
        </w:pPr>
        <w:rPr>
          <w:rFonts w:hint="default"/>
        </w:rPr>
      </w:lvl>
    </w:lvlOverride>
  </w:num>
  <w:num w:numId="10">
    <w:abstractNumId w:val="1"/>
  </w:num>
  <w:num w:numId="11">
    <w:abstractNumId w:val="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24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562"/>
    <w:rsid w:val="00001D9F"/>
    <w:rsid w:val="00002BB4"/>
    <w:rsid w:val="00004560"/>
    <w:rsid w:val="00005915"/>
    <w:rsid w:val="00006D3C"/>
    <w:rsid w:val="00010669"/>
    <w:rsid w:val="00012E7F"/>
    <w:rsid w:val="0001385D"/>
    <w:rsid w:val="00014AAC"/>
    <w:rsid w:val="00014BAD"/>
    <w:rsid w:val="00015908"/>
    <w:rsid w:val="00016C19"/>
    <w:rsid w:val="00017548"/>
    <w:rsid w:val="00017F8B"/>
    <w:rsid w:val="000203C3"/>
    <w:rsid w:val="0002062B"/>
    <w:rsid w:val="000206E8"/>
    <w:rsid w:val="000216C9"/>
    <w:rsid w:val="00021BC2"/>
    <w:rsid w:val="00022A2A"/>
    <w:rsid w:val="00023C57"/>
    <w:rsid w:val="00023E44"/>
    <w:rsid w:val="00024116"/>
    <w:rsid w:val="00024293"/>
    <w:rsid w:val="000245FE"/>
    <w:rsid w:val="00025281"/>
    <w:rsid w:val="000263C5"/>
    <w:rsid w:val="00026B04"/>
    <w:rsid w:val="00027320"/>
    <w:rsid w:val="00030218"/>
    <w:rsid w:val="00031B0D"/>
    <w:rsid w:val="0003298B"/>
    <w:rsid w:val="00033D81"/>
    <w:rsid w:val="000342BE"/>
    <w:rsid w:val="00034D57"/>
    <w:rsid w:val="0003603B"/>
    <w:rsid w:val="00036B41"/>
    <w:rsid w:val="00037DFD"/>
    <w:rsid w:val="000421F8"/>
    <w:rsid w:val="000429B3"/>
    <w:rsid w:val="00042C09"/>
    <w:rsid w:val="000445E9"/>
    <w:rsid w:val="000467FE"/>
    <w:rsid w:val="00046833"/>
    <w:rsid w:val="0004790C"/>
    <w:rsid w:val="000524ED"/>
    <w:rsid w:val="000531C8"/>
    <w:rsid w:val="0005518B"/>
    <w:rsid w:val="000579D5"/>
    <w:rsid w:val="00060403"/>
    <w:rsid w:val="00060550"/>
    <w:rsid w:val="00060BF2"/>
    <w:rsid w:val="00061040"/>
    <w:rsid w:val="000626D8"/>
    <w:rsid w:val="00063019"/>
    <w:rsid w:val="00064CD7"/>
    <w:rsid w:val="000659CC"/>
    <w:rsid w:val="00066A79"/>
    <w:rsid w:val="0007192B"/>
    <w:rsid w:val="00072289"/>
    <w:rsid w:val="00073869"/>
    <w:rsid w:val="00073D7E"/>
    <w:rsid w:val="000746B8"/>
    <w:rsid w:val="00076B7E"/>
    <w:rsid w:val="00077402"/>
    <w:rsid w:val="00080AE0"/>
    <w:rsid w:val="00080B6D"/>
    <w:rsid w:val="00081D59"/>
    <w:rsid w:val="00083672"/>
    <w:rsid w:val="00084339"/>
    <w:rsid w:val="0008451B"/>
    <w:rsid w:val="00084EDA"/>
    <w:rsid w:val="00084FC8"/>
    <w:rsid w:val="0008548D"/>
    <w:rsid w:val="00085DB6"/>
    <w:rsid w:val="00085E68"/>
    <w:rsid w:val="000872E7"/>
    <w:rsid w:val="000875B6"/>
    <w:rsid w:val="0009035A"/>
    <w:rsid w:val="00091158"/>
    <w:rsid w:val="00091322"/>
    <w:rsid w:val="000913E3"/>
    <w:rsid w:val="00091D41"/>
    <w:rsid w:val="00092652"/>
    <w:rsid w:val="00093AB3"/>
    <w:rsid w:val="00093C85"/>
    <w:rsid w:val="00094731"/>
    <w:rsid w:val="00095E06"/>
    <w:rsid w:val="000961A7"/>
    <w:rsid w:val="000A006D"/>
    <w:rsid w:val="000A1FEA"/>
    <w:rsid w:val="000A298B"/>
    <w:rsid w:val="000A3F99"/>
    <w:rsid w:val="000A5408"/>
    <w:rsid w:val="000A5710"/>
    <w:rsid w:val="000A5830"/>
    <w:rsid w:val="000A5AC3"/>
    <w:rsid w:val="000A6621"/>
    <w:rsid w:val="000A71C6"/>
    <w:rsid w:val="000A74E7"/>
    <w:rsid w:val="000B0055"/>
    <w:rsid w:val="000B0ABD"/>
    <w:rsid w:val="000B0BD4"/>
    <w:rsid w:val="000B143F"/>
    <w:rsid w:val="000B1B96"/>
    <w:rsid w:val="000B5A3E"/>
    <w:rsid w:val="000B5FF3"/>
    <w:rsid w:val="000B6812"/>
    <w:rsid w:val="000B7935"/>
    <w:rsid w:val="000C02D8"/>
    <w:rsid w:val="000C04A3"/>
    <w:rsid w:val="000C1EBB"/>
    <w:rsid w:val="000C45A5"/>
    <w:rsid w:val="000C4CA3"/>
    <w:rsid w:val="000C5EAA"/>
    <w:rsid w:val="000C7B4F"/>
    <w:rsid w:val="000D044A"/>
    <w:rsid w:val="000D095E"/>
    <w:rsid w:val="000D14E0"/>
    <w:rsid w:val="000D1A2D"/>
    <w:rsid w:val="000D22B3"/>
    <w:rsid w:val="000D2AB5"/>
    <w:rsid w:val="000D4411"/>
    <w:rsid w:val="000D59D7"/>
    <w:rsid w:val="000D5A52"/>
    <w:rsid w:val="000D64D4"/>
    <w:rsid w:val="000D6917"/>
    <w:rsid w:val="000D7686"/>
    <w:rsid w:val="000D7FBB"/>
    <w:rsid w:val="000E1152"/>
    <w:rsid w:val="000E213D"/>
    <w:rsid w:val="000E276E"/>
    <w:rsid w:val="000E289B"/>
    <w:rsid w:val="000E2A31"/>
    <w:rsid w:val="000E3225"/>
    <w:rsid w:val="000E35D1"/>
    <w:rsid w:val="000E39C3"/>
    <w:rsid w:val="000E70D2"/>
    <w:rsid w:val="000F0570"/>
    <w:rsid w:val="000F1FE3"/>
    <w:rsid w:val="000F2DE0"/>
    <w:rsid w:val="000F2F11"/>
    <w:rsid w:val="000F32A8"/>
    <w:rsid w:val="000F42A0"/>
    <w:rsid w:val="000F7579"/>
    <w:rsid w:val="000F7C46"/>
    <w:rsid w:val="00100302"/>
    <w:rsid w:val="00101DCC"/>
    <w:rsid w:val="001020F0"/>
    <w:rsid w:val="00102554"/>
    <w:rsid w:val="0010408B"/>
    <w:rsid w:val="00104097"/>
    <w:rsid w:val="001055B2"/>
    <w:rsid w:val="001064E0"/>
    <w:rsid w:val="00106F71"/>
    <w:rsid w:val="00110082"/>
    <w:rsid w:val="001105D1"/>
    <w:rsid w:val="001109A6"/>
    <w:rsid w:val="00110A88"/>
    <w:rsid w:val="0011122D"/>
    <w:rsid w:val="00112D26"/>
    <w:rsid w:val="001149E6"/>
    <w:rsid w:val="00116DE1"/>
    <w:rsid w:val="00117091"/>
    <w:rsid w:val="0011745E"/>
    <w:rsid w:val="001176F1"/>
    <w:rsid w:val="00120025"/>
    <w:rsid w:val="001205A8"/>
    <w:rsid w:val="00123027"/>
    <w:rsid w:val="00123226"/>
    <w:rsid w:val="001239AE"/>
    <w:rsid w:val="001242C0"/>
    <w:rsid w:val="001255D9"/>
    <w:rsid w:val="001264DF"/>
    <w:rsid w:val="00127A50"/>
    <w:rsid w:val="0013008D"/>
    <w:rsid w:val="0013147D"/>
    <w:rsid w:val="001314F6"/>
    <w:rsid w:val="001333E3"/>
    <w:rsid w:val="001341FA"/>
    <w:rsid w:val="00135155"/>
    <w:rsid w:val="0013734A"/>
    <w:rsid w:val="00140770"/>
    <w:rsid w:val="00141530"/>
    <w:rsid w:val="00142666"/>
    <w:rsid w:val="00143963"/>
    <w:rsid w:val="00143C34"/>
    <w:rsid w:val="00146725"/>
    <w:rsid w:val="00152A79"/>
    <w:rsid w:val="00153BA0"/>
    <w:rsid w:val="00154A57"/>
    <w:rsid w:val="00155BB6"/>
    <w:rsid w:val="0015624A"/>
    <w:rsid w:val="00157A69"/>
    <w:rsid w:val="00161686"/>
    <w:rsid w:val="0016188D"/>
    <w:rsid w:val="0016384B"/>
    <w:rsid w:val="00166952"/>
    <w:rsid w:val="00170499"/>
    <w:rsid w:val="00172969"/>
    <w:rsid w:val="00172D86"/>
    <w:rsid w:val="00173285"/>
    <w:rsid w:val="001746AD"/>
    <w:rsid w:val="00175137"/>
    <w:rsid w:val="00175289"/>
    <w:rsid w:val="0017577F"/>
    <w:rsid w:val="00180D15"/>
    <w:rsid w:val="00181BE6"/>
    <w:rsid w:val="00183F25"/>
    <w:rsid w:val="0018472C"/>
    <w:rsid w:val="00190597"/>
    <w:rsid w:val="001929A1"/>
    <w:rsid w:val="00194060"/>
    <w:rsid w:val="00194E29"/>
    <w:rsid w:val="00195E62"/>
    <w:rsid w:val="001967A2"/>
    <w:rsid w:val="001A02B0"/>
    <w:rsid w:val="001A0526"/>
    <w:rsid w:val="001A10AA"/>
    <w:rsid w:val="001A1EFB"/>
    <w:rsid w:val="001A2253"/>
    <w:rsid w:val="001A28CD"/>
    <w:rsid w:val="001A495B"/>
    <w:rsid w:val="001A4F6F"/>
    <w:rsid w:val="001B01F1"/>
    <w:rsid w:val="001B0499"/>
    <w:rsid w:val="001B22DB"/>
    <w:rsid w:val="001B2E24"/>
    <w:rsid w:val="001B3E9F"/>
    <w:rsid w:val="001B3FBB"/>
    <w:rsid w:val="001B4E69"/>
    <w:rsid w:val="001B740D"/>
    <w:rsid w:val="001B7421"/>
    <w:rsid w:val="001C020F"/>
    <w:rsid w:val="001C047A"/>
    <w:rsid w:val="001C398F"/>
    <w:rsid w:val="001C3BEA"/>
    <w:rsid w:val="001C3C1F"/>
    <w:rsid w:val="001C6202"/>
    <w:rsid w:val="001C654D"/>
    <w:rsid w:val="001C7A5C"/>
    <w:rsid w:val="001C7B7B"/>
    <w:rsid w:val="001D499A"/>
    <w:rsid w:val="001D6FF8"/>
    <w:rsid w:val="001E066F"/>
    <w:rsid w:val="001E169E"/>
    <w:rsid w:val="001E28BD"/>
    <w:rsid w:val="001E3ABE"/>
    <w:rsid w:val="001E7A03"/>
    <w:rsid w:val="001F027B"/>
    <w:rsid w:val="001F09ED"/>
    <w:rsid w:val="001F22D4"/>
    <w:rsid w:val="001F2E97"/>
    <w:rsid w:val="001F37DB"/>
    <w:rsid w:val="001F3C52"/>
    <w:rsid w:val="001F40D3"/>
    <w:rsid w:val="001F479E"/>
    <w:rsid w:val="001F57CA"/>
    <w:rsid w:val="001F6428"/>
    <w:rsid w:val="001F6FE3"/>
    <w:rsid w:val="001F7107"/>
    <w:rsid w:val="0020043B"/>
    <w:rsid w:val="002050E6"/>
    <w:rsid w:val="002057DB"/>
    <w:rsid w:val="00206BF8"/>
    <w:rsid w:val="00207A7B"/>
    <w:rsid w:val="00207E09"/>
    <w:rsid w:val="002115BB"/>
    <w:rsid w:val="00211D31"/>
    <w:rsid w:val="00212CD9"/>
    <w:rsid w:val="002174DD"/>
    <w:rsid w:val="00217F14"/>
    <w:rsid w:val="00220FC4"/>
    <w:rsid w:val="00222733"/>
    <w:rsid w:val="002230DF"/>
    <w:rsid w:val="00223578"/>
    <w:rsid w:val="00223745"/>
    <w:rsid w:val="00224C18"/>
    <w:rsid w:val="002267ED"/>
    <w:rsid w:val="00226A89"/>
    <w:rsid w:val="00227F0D"/>
    <w:rsid w:val="00230218"/>
    <w:rsid w:val="002310F0"/>
    <w:rsid w:val="002322F5"/>
    <w:rsid w:val="0023255C"/>
    <w:rsid w:val="00232ADF"/>
    <w:rsid w:val="00233767"/>
    <w:rsid w:val="0023485A"/>
    <w:rsid w:val="00234966"/>
    <w:rsid w:val="002355A7"/>
    <w:rsid w:val="002369C0"/>
    <w:rsid w:val="002371A2"/>
    <w:rsid w:val="002375BD"/>
    <w:rsid w:val="002375C7"/>
    <w:rsid w:val="0023793F"/>
    <w:rsid w:val="002421C5"/>
    <w:rsid w:val="00242C24"/>
    <w:rsid w:val="00242EB9"/>
    <w:rsid w:val="0024452D"/>
    <w:rsid w:val="00246239"/>
    <w:rsid w:val="0024790C"/>
    <w:rsid w:val="0025067E"/>
    <w:rsid w:val="00251AEF"/>
    <w:rsid w:val="00252147"/>
    <w:rsid w:val="00252309"/>
    <w:rsid w:val="002535BE"/>
    <w:rsid w:val="00253C36"/>
    <w:rsid w:val="00255A98"/>
    <w:rsid w:val="002564E1"/>
    <w:rsid w:val="0025667F"/>
    <w:rsid w:val="002571CC"/>
    <w:rsid w:val="00261F35"/>
    <w:rsid w:val="00262CB5"/>
    <w:rsid w:val="0026373F"/>
    <w:rsid w:val="002702FC"/>
    <w:rsid w:val="00270997"/>
    <w:rsid w:val="00271D8F"/>
    <w:rsid w:val="0027430D"/>
    <w:rsid w:val="00275B93"/>
    <w:rsid w:val="002801DC"/>
    <w:rsid w:val="00282D05"/>
    <w:rsid w:val="002845A1"/>
    <w:rsid w:val="00287D67"/>
    <w:rsid w:val="00291CE5"/>
    <w:rsid w:val="00294A35"/>
    <w:rsid w:val="00294D3D"/>
    <w:rsid w:val="002959D2"/>
    <w:rsid w:val="0029654C"/>
    <w:rsid w:val="00297930"/>
    <w:rsid w:val="002A4890"/>
    <w:rsid w:val="002A5754"/>
    <w:rsid w:val="002A643A"/>
    <w:rsid w:val="002A6CB0"/>
    <w:rsid w:val="002A7E2F"/>
    <w:rsid w:val="002B0886"/>
    <w:rsid w:val="002B18F2"/>
    <w:rsid w:val="002B4466"/>
    <w:rsid w:val="002B5967"/>
    <w:rsid w:val="002B6C0A"/>
    <w:rsid w:val="002C00C6"/>
    <w:rsid w:val="002C0EDC"/>
    <w:rsid w:val="002C148E"/>
    <w:rsid w:val="002C1EA0"/>
    <w:rsid w:val="002C2D84"/>
    <w:rsid w:val="002C3D60"/>
    <w:rsid w:val="002C4306"/>
    <w:rsid w:val="002C6A8C"/>
    <w:rsid w:val="002C78D5"/>
    <w:rsid w:val="002D01E9"/>
    <w:rsid w:val="002D0A19"/>
    <w:rsid w:val="002D20C3"/>
    <w:rsid w:val="002D2ECE"/>
    <w:rsid w:val="002D3D2A"/>
    <w:rsid w:val="002D44EE"/>
    <w:rsid w:val="002D480B"/>
    <w:rsid w:val="002D6ADE"/>
    <w:rsid w:val="002D70D2"/>
    <w:rsid w:val="002E055F"/>
    <w:rsid w:val="002E0B94"/>
    <w:rsid w:val="002E18A8"/>
    <w:rsid w:val="002E1978"/>
    <w:rsid w:val="002E1CBE"/>
    <w:rsid w:val="002E2DA1"/>
    <w:rsid w:val="002E3BE3"/>
    <w:rsid w:val="002F1725"/>
    <w:rsid w:val="002F191F"/>
    <w:rsid w:val="002F213F"/>
    <w:rsid w:val="002F3BCC"/>
    <w:rsid w:val="002F44A9"/>
    <w:rsid w:val="002F4D8B"/>
    <w:rsid w:val="002F5F07"/>
    <w:rsid w:val="002F691C"/>
    <w:rsid w:val="00300EC3"/>
    <w:rsid w:val="00301A21"/>
    <w:rsid w:val="00303F69"/>
    <w:rsid w:val="00305D25"/>
    <w:rsid w:val="0030666A"/>
    <w:rsid w:val="00306F2B"/>
    <w:rsid w:val="0030786F"/>
    <w:rsid w:val="003107AD"/>
    <w:rsid w:val="00310E71"/>
    <w:rsid w:val="00311E6F"/>
    <w:rsid w:val="0031227C"/>
    <w:rsid w:val="00312F5D"/>
    <w:rsid w:val="00313528"/>
    <w:rsid w:val="00313C40"/>
    <w:rsid w:val="00314E08"/>
    <w:rsid w:val="0031514A"/>
    <w:rsid w:val="00316557"/>
    <w:rsid w:val="00316F5D"/>
    <w:rsid w:val="0031720E"/>
    <w:rsid w:val="003200C6"/>
    <w:rsid w:val="00320D10"/>
    <w:rsid w:val="00320DAB"/>
    <w:rsid w:val="00321E6C"/>
    <w:rsid w:val="00324D14"/>
    <w:rsid w:val="00325CBF"/>
    <w:rsid w:val="003272CF"/>
    <w:rsid w:val="00330691"/>
    <w:rsid w:val="0033194D"/>
    <w:rsid w:val="00333258"/>
    <w:rsid w:val="00333455"/>
    <w:rsid w:val="003336D6"/>
    <w:rsid w:val="00333889"/>
    <w:rsid w:val="003356A0"/>
    <w:rsid w:val="00335B8E"/>
    <w:rsid w:val="00335C3B"/>
    <w:rsid w:val="00336CA1"/>
    <w:rsid w:val="00337448"/>
    <w:rsid w:val="0034069A"/>
    <w:rsid w:val="00342DF1"/>
    <w:rsid w:val="00343337"/>
    <w:rsid w:val="003439F7"/>
    <w:rsid w:val="00343A9E"/>
    <w:rsid w:val="0034552C"/>
    <w:rsid w:val="003468F8"/>
    <w:rsid w:val="0034764F"/>
    <w:rsid w:val="00347A89"/>
    <w:rsid w:val="00350D49"/>
    <w:rsid w:val="0035215B"/>
    <w:rsid w:val="00352F63"/>
    <w:rsid w:val="00354898"/>
    <w:rsid w:val="0036140A"/>
    <w:rsid w:val="00361633"/>
    <w:rsid w:val="00361666"/>
    <w:rsid w:val="00363CF7"/>
    <w:rsid w:val="0036707D"/>
    <w:rsid w:val="0037166E"/>
    <w:rsid w:val="00371C97"/>
    <w:rsid w:val="00372B77"/>
    <w:rsid w:val="00372D5B"/>
    <w:rsid w:val="003730FE"/>
    <w:rsid w:val="003737E8"/>
    <w:rsid w:val="00374674"/>
    <w:rsid w:val="00375267"/>
    <w:rsid w:val="003755A5"/>
    <w:rsid w:val="00375ABA"/>
    <w:rsid w:val="003771A0"/>
    <w:rsid w:val="003817A9"/>
    <w:rsid w:val="00381F3A"/>
    <w:rsid w:val="00382F9D"/>
    <w:rsid w:val="003847E5"/>
    <w:rsid w:val="00384C21"/>
    <w:rsid w:val="00385719"/>
    <w:rsid w:val="00385AE7"/>
    <w:rsid w:val="00385DB5"/>
    <w:rsid w:val="00386BC1"/>
    <w:rsid w:val="00387E0C"/>
    <w:rsid w:val="00387E16"/>
    <w:rsid w:val="003916A1"/>
    <w:rsid w:val="00392A0C"/>
    <w:rsid w:val="00394265"/>
    <w:rsid w:val="00394994"/>
    <w:rsid w:val="00394A69"/>
    <w:rsid w:val="00396656"/>
    <w:rsid w:val="00396FC5"/>
    <w:rsid w:val="003A0707"/>
    <w:rsid w:val="003A1641"/>
    <w:rsid w:val="003A2E79"/>
    <w:rsid w:val="003A443E"/>
    <w:rsid w:val="003B1C02"/>
    <w:rsid w:val="003B1DDE"/>
    <w:rsid w:val="003B2BA2"/>
    <w:rsid w:val="003B4515"/>
    <w:rsid w:val="003B60F4"/>
    <w:rsid w:val="003B71FC"/>
    <w:rsid w:val="003B7517"/>
    <w:rsid w:val="003C0C70"/>
    <w:rsid w:val="003C3FBE"/>
    <w:rsid w:val="003C457C"/>
    <w:rsid w:val="003C4F39"/>
    <w:rsid w:val="003C5088"/>
    <w:rsid w:val="003C692B"/>
    <w:rsid w:val="003C7687"/>
    <w:rsid w:val="003D138C"/>
    <w:rsid w:val="003D2699"/>
    <w:rsid w:val="003D753D"/>
    <w:rsid w:val="003E038E"/>
    <w:rsid w:val="003E07BA"/>
    <w:rsid w:val="003E14B2"/>
    <w:rsid w:val="003E16F9"/>
    <w:rsid w:val="003E281D"/>
    <w:rsid w:val="003E29D0"/>
    <w:rsid w:val="003F0CFF"/>
    <w:rsid w:val="003F1EB6"/>
    <w:rsid w:val="003F2585"/>
    <w:rsid w:val="003F2BA3"/>
    <w:rsid w:val="003F7CC2"/>
    <w:rsid w:val="00401312"/>
    <w:rsid w:val="00401BF7"/>
    <w:rsid w:val="00402998"/>
    <w:rsid w:val="004037C3"/>
    <w:rsid w:val="004039F8"/>
    <w:rsid w:val="00404A48"/>
    <w:rsid w:val="00404F3C"/>
    <w:rsid w:val="00410D5D"/>
    <w:rsid w:val="00411AC6"/>
    <w:rsid w:val="00412193"/>
    <w:rsid w:val="00412486"/>
    <w:rsid w:val="00413816"/>
    <w:rsid w:val="00413C24"/>
    <w:rsid w:val="00413C44"/>
    <w:rsid w:val="00414A12"/>
    <w:rsid w:val="004151C9"/>
    <w:rsid w:val="00415B93"/>
    <w:rsid w:val="00415C11"/>
    <w:rsid w:val="004165E1"/>
    <w:rsid w:val="00416EE0"/>
    <w:rsid w:val="00416FAB"/>
    <w:rsid w:val="0042023C"/>
    <w:rsid w:val="004211FA"/>
    <w:rsid w:val="00423654"/>
    <w:rsid w:val="00430D89"/>
    <w:rsid w:val="0043354F"/>
    <w:rsid w:val="00433954"/>
    <w:rsid w:val="00433E8A"/>
    <w:rsid w:val="00433FFA"/>
    <w:rsid w:val="0044031C"/>
    <w:rsid w:val="00440B6C"/>
    <w:rsid w:val="0044133B"/>
    <w:rsid w:val="00441760"/>
    <w:rsid w:val="0044184E"/>
    <w:rsid w:val="0044304E"/>
    <w:rsid w:val="0044434B"/>
    <w:rsid w:val="004444A1"/>
    <w:rsid w:val="004463C8"/>
    <w:rsid w:val="00446D8B"/>
    <w:rsid w:val="00450148"/>
    <w:rsid w:val="0045175C"/>
    <w:rsid w:val="004541B4"/>
    <w:rsid w:val="00455649"/>
    <w:rsid w:val="004568B0"/>
    <w:rsid w:val="00457202"/>
    <w:rsid w:val="004577B1"/>
    <w:rsid w:val="00457F4B"/>
    <w:rsid w:val="00460199"/>
    <w:rsid w:val="00460359"/>
    <w:rsid w:val="004638C9"/>
    <w:rsid w:val="00464801"/>
    <w:rsid w:val="00464EE2"/>
    <w:rsid w:val="004672D6"/>
    <w:rsid w:val="00470473"/>
    <w:rsid w:val="0047123F"/>
    <w:rsid w:val="004733B3"/>
    <w:rsid w:val="0047355B"/>
    <w:rsid w:val="0047488E"/>
    <w:rsid w:val="00474B98"/>
    <w:rsid w:val="00474C09"/>
    <w:rsid w:val="00474D76"/>
    <w:rsid w:val="00476D44"/>
    <w:rsid w:val="00476FBB"/>
    <w:rsid w:val="00477A41"/>
    <w:rsid w:val="00477E8E"/>
    <w:rsid w:val="004802E0"/>
    <w:rsid w:val="00481C5F"/>
    <w:rsid w:val="00482359"/>
    <w:rsid w:val="00482661"/>
    <w:rsid w:val="00483294"/>
    <w:rsid w:val="00483855"/>
    <w:rsid w:val="00484288"/>
    <w:rsid w:val="004846CD"/>
    <w:rsid w:val="00484F09"/>
    <w:rsid w:val="004853DA"/>
    <w:rsid w:val="004856A0"/>
    <w:rsid w:val="004857F6"/>
    <w:rsid w:val="004858E2"/>
    <w:rsid w:val="00490F3A"/>
    <w:rsid w:val="0049172B"/>
    <w:rsid w:val="004948C9"/>
    <w:rsid w:val="00495350"/>
    <w:rsid w:val="004959FB"/>
    <w:rsid w:val="004A10BB"/>
    <w:rsid w:val="004A20AD"/>
    <w:rsid w:val="004A2EBB"/>
    <w:rsid w:val="004A3D26"/>
    <w:rsid w:val="004A49D5"/>
    <w:rsid w:val="004A5335"/>
    <w:rsid w:val="004A5577"/>
    <w:rsid w:val="004A56C6"/>
    <w:rsid w:val="004A59E5"/>
    <w:rsid w:val="004A6783"/>
    <w:rsid w:val="004A750D"/>
    <w:rsid w:val="004B14DF"/>
    <w:rsid w:val="004B2B3C"/>
    <w:rsid w:val="004B5A9F"/>
    <w:rsid w:val="004B5D68"/>
    <w:rsid w:val="004B5E27"/>
    <w:rsid w:val="004B619D"/>
    <w:rsid w:val="004B7757"/>
    <w:rsid w:val="004C16CE"/>
    <w:rsid w:val="004C4F7D"/>
    <w:rsid w:val="004C55EE"/>
    <w:rsid w:val="004C5BAD"/>
    <w:rsid w:val="004C7AE7"/>
    <w:rsid w:val="004D1FF3"/>
    <w:rsid w:val="004D32D2"/>
    <w:rsid w:val="004D6525"/>
    <w:rsid w:val="004E01EB"/>
    <w:rsid w:val="004E0CFF"/>
    <w:rsid w:val="004E3A63"/>
    <w:rsid w:val="004E3D73"/>
    <w:rsid w:val="004E4CB4"/>
    <w:rsid w:val="004E51C3"/>
    <w:rsid w:val="004F032E"/>
    <w:rsid w:val="004F0542"/>
    <w:rsid w:val="004F265B"/>
    <w:rsid w:val="004F2990"/>
    <w:rsid w:val="004F4FAD"/>
    <w:rsid w:val="004F6F5E"/>
    <w:rsid w:val="005007B2"/>
    <w:rsid w:val="00502333"/>
    <w:rsid w:val="0050524C"/>
    <w:rsid w:val="0050555E"/>
    <w:rsid w:val="00507E54"/>
    <w:rsid w:val="005115F4"/>
    <w:rsid w:val="00511EE3"/>
    <w:rsid w:val="005120E6"/>
    <w:rsid w:val="00512911"/>
    <w:rsid w:val="005167DC"/>
    <w:rsid w:val="00516E4C"/>
    <w:rsid w:val="00517A24"/>
    <w:rsid w:val="005229F3"/>
    <w:rsid w:val="00524693"/>
    <w:rsid w:val="00524CFB"/>
    <w:rsid w:val="005263E3"/>
    <w:rsid w:val="0053254F"/>
    <w:rsid w:val="00532658"/>
    <w:rsid w:val="00535935"/>
    <w:rsid w:val="00535B10"/>
    <w:rsid w:val="00537CE4"/>
    <w:rsid w:val="00537FB3"/>
    <w:rsid w:val="005400AD"/>
    <w:rsid w:val="00540E63"/>
    <w:rsid w:val="00544080"/>
    <w:rsid w:val="005443FA"/>
    <w:rsid w:val="00546118"/>
    <w:rsid w:val="00547F53"/>
    <w:rsid w:val="00550037"/>
    <w:rsid w:val="005508BF"/>
    <w:rsid w:val="00552BED"/>
    <w:rsid w:val="0055359D"/>
    <w:rsid w:val="0055380E"/>
    <w:rsid w:val="00553A03"/>
    <w:rsid w:val="00555DAD"/>
    <w:rsid w:val="00557891"/>
    <w:rsid w:val="00557D42"/>
    <w:rsid w:val="005606AC"/>
    <w:rsid w:val="0056121C"/>
    <w:rsid w:val="005651EB"/>
    <w:rsid w:val="0056547E"/>
    <w:rsid w:val="00566851"/>
    <w:rsid w:val="00572E86"/>
    <w:rsid w:val="00573CA8"/>
    <w:rsid w:val="005744D2"/>
    <w:rsid w:val="00574AC1"/>
    <w:rsid w:val="00575224"/>
    <w:rsid w:val="00576508"/>
    <w:rsid w:val="00576C2B"/>
    <w:rsid w:val="00577421"/>
    <w:rsid w:val="00577619"/>
    <w:rsid w:val="00581741"/>
    <w:rsid w:val="005840D3"/>
    <w:rsid w:val="005847D1"/>
    <w:rsid w:val="005861F6"/>
    <w:rsid w:val="0058638D"/>
    <w:rsid w:val="00586E22"/>
    <w:rsid w:val="00593041"/>
    <w:rsid w:val="00595CE8"/>
    <w:rsid w:val="00596C18"/>
    <w:rsid w:val="005A112C"/>
    <w:rsid w:val="005A2462"/>
    <w:rsid w:val="005B15DB"/>
    <w:rsid w:val="005B2B16"/>
    <w:rsid w:val="005B40CA"/>
    <w:rsid w:val="005B4C12"/>
    <w:rsid w:val="005B6320"/>
    <w:rsid w:val="005B6DDC"/>
    <w:rsid w:val="005B73FF"/>
    <w:rsid w:val="005C213A"/>
    <w:rsid w:val="005C3063"/>
    <w:rsid w:val="005C4408"/>
    <w:rsid w:val="005C48F6"/>
    <w:rsid w:val="005C6F54"/>
    <w:rsid w:val="005D036A"/>
    <w:rsid w:val="005D12C8"/>
    <w:rsid w:val="005D1791"/>
    <w:rsid w:val="005D2407"/>
    <w:rsid w:val="005D361D"/>
    <w:rsid w:val="005D49B5"/>
    <w:rsid w:val="005D55B2"/>
    <w:rsid w:val="005D5911"/>
    <w:rsid w:val="005D7AFF"/>
    <w:rsid w:val="005E29D6"/>
    <w:rsid w:val="005E32C8"/>
    <w:rsid w:val="005E5C95"/>
    <w:rsid w:val="005E6317"/>
    <w:rsid w:val="005E65AD"/>
    <w:rsid w:val="005F0436"/>
    <w:rsid w:val="005F21A9"/>
    <w:rsid w:val="005F3327"/>
    <w:rsid w:val="005F434F"/>
    <w:rsid w:val="005F554B"/>
    <w:rsid w:val="005F7A58"/>
    <w:rsid w:val="00600D39"/>
    <w:rsid w:val="00601389"/>
    <w:rsid w:val="00601E9B"/>
    <w:rsid w:val="00602DA5"/>
    <w:rsid w:val="00602DD7"/>
    <w:rsid w:val="006030E0"/>
    <w:rsid w:val="006054E9"/>
    <w:rsid w:val="00605CE8"/>
    <w:rsid w:val="00605E1A"/>
    <w:rsid w:val="0061235D"/>
    <w:rsid w:val="00612FEC"/>
    <w:rsid w:val="0061322A"/>
    <w:rsid w:val="0061385D"/>
    <w:rsid w:val="006143CE"/>
    <w:rsid w:val="006160DF"/>
    <w:rsid w:val="006170D8"/>
    <w:rsid w:val="00617A42"/>
    <w:rsid w:val="00620924"/>
    <w:rsid w:val="00621F3E"/>
    <w:rsid w:val="006223D4"/>
    <w:rsid w:val="00625C1F"/>
    <w:rsid w:val="00625E8D"/>
    <w:rsid w:val="00626DEE"/>
    <w:rsid w:val="0062710B"/>
    <w:rsid w:val="00627260"/>
    <w:rsid w:val="00630196"/>
    <w:rsid w:val="00630C29"/>
    <w:rsid w:val="00631947"/>
    <w:rsid w:val="00634BC0"/>
    <w:rsid w:val="00635D29"/>
    <w:rsid w:val="00635F38"/>
    <w:rsid w:val="0063609F"/>
    <w:rsid w:val="006363FD"/>
    <w:rsid w:val="006375E6"/>
    <w:rsid w:val="006422F2"/>
    <w:rsid w:val="006431F8"/>
    <w:rsid w:val="006452B2"/>
    <w:rsid w:val="00646CE9"/>
    <w:rsid w:val="006503D9"/>
    <w:rsid w:val="00651F05"/>
    <w:rsid w:val="00653BCA"/>
    <w:rsid w:val="00654246"/>
    <w:rsid w:val="00655A8B"/>
    <w:rsid w:val="00657930"/>
    <w:rsid w:val="00660832"/>
    <w:rsid w:val="006615F2"/>
    <w:rsid w:val="006627BB"/>
    <w:rsid w:val="00663261"/>
    <w:rsid w:val="00663823"/>
    <w:rsid w:val="0066399F"/>
    <w:rsid w:val="00664A8F"/>
    <w:rsid w:val="00670500"/>
    <w:rsid w:val="00670B2D"/>
    <w:rsid w:val="006736EF"/>
    <w:rsid w:val="006745CC"/>
    <w:rsid w:val="00675874"/>
    <w:rsid w:val="00677967"/>
    <w:rsid w:val="00681B5C"/>
    <w:rsid w:val="00684A85"/>
    <w:rsid w:val="00685672"/>
    <w:rsid w:val="006868F8"/>
    <w:rsid w:val="0068785E"/>
    <w:rsid w:val="00687DBA"/>
    <w:rsid w:val="006912B5"/>
    <w:rsid w:val="006912EE"/>
    <w:rsid w:val="0069145B"/>
    <w:rsid w:val="006921BF"/>
    <w:rsid w:val="0069264B"/>
    <w:rsid w:val="00693ACB"/>
    <w:rsid w:val="00693C3D"/>
    <w:rsid w:val="00694351"/>
    <w:rsid w:val="00694A0F"/>
    <w:rsid w:val="00695957"/>
    <w:rsid w:val="00695A71"/>
    <w:rsid w:val="00696364"/>
    <w:rsid w:val="006964D8"/>
    <w:rsid w:val="006969D4"/>
    <w:rsid w:val="0069718B"/>
    <w:rsid w:val="00697C24"/>
    <w:rsid w:val="006A0615"/>
    <w:rsid w:val="006A0F66"/>
    <w:rsid w:val="006A3276"/>
    <w:rsid w:val="006A5663"/>
    <w:rsid w:val="006A58AF"/>
    <w:rsid w:val="006A6524"/>
    <w:rsid w:val="006B0E15"/>
    <w:rsid w:val="006B11A1"/>
    <w:rsid w:val="006B284D"/>
    <w:rsid w:val="006B2A43"/>
    <w:rsid w:val="006B4296"/>
    <w:rsid w:val="006B460F"/>
    <w:rsid w:val="006B6EB9"/>
    <w:rsid w:val="006C18C1"/>
    <w:rsid w:val="006C5170"/>
    <w:rsid w:val="006C591D"/>
    <w:rsid w:val="006C68D9"/>
    <w:rsid w:val="006C6AA0"/>
    <w:rsid w:val="006C742B"/>
    <w:rsid w:val="006C7FA9"/>
    <w:rsid w:val="006D03E5"/>
    <w:rsid w:val="006D1292"/>
    <w:rsid w:val="006D1B28"/>
    <w:rsid w:val="006D3B97"/>
    <w:rsid w:val="006D51D1"/>
    <w:rsid w:val="006D521B"/>
    <w:rsid w:val="006D6189"/>
    <w:rsid w:val="006D688D"/>
    <w:rsid w:val="006E16F2"/>
    <w:rsid w:val="006E3265"/>
    <w:rsid w:val="006E36DB"/>
    <w:rsid w:val="006E672C"/>
    <w:rsid w:val="006E7003"/>
    <w:rsid w:val="006E7575"/>
    <w:rsid w:val="006F09CA"/>
    <w:rsid w:val="006F12CC"/>
    <w:rsid w:val="006F159B"/>
    <w:rsid w:val="006F17FF"/>
    <w:rsid w:val="006F224D"/>
    <w:rsid w:val="006F30F5"/>
    <w:rsid w:val="006F523E"/>
    <w:rsid w:val="006F7412"/>
    <w:rsid w:val="0070023E"/>
    <w:rsid w:val="00702402"/>
    <w:rsid w:val="0070312F"/>
    <w:rsid w:val="00703A59"/>
    <w:rsid w:val="007055B2"/>
    <w:rsid w:val="00707D5D"/>
    <w:rsid w:val="00710543"/>
    <w:rsid w:val="00715127"/>
    <w:rsid w:val="0071523C"/>
    <w:rsid w:val="007209D1"/>
    <w:rsid w:val="00721E30"/>
    <w:rsid w:val="00722D33"/>
    <w:rsid w:val="00723410"/>
    <w:rsid w:val="00724384"/>
    <w:rsid w:val="0072475A"/>
    <w:rsid w:val="0072544E"/>
    <w:rsid w:val="0072595A"/>
    <w:rsid w:val="00730EC1"/>
    <w:rsid w:val="00734DC9"/>
    <w:rsid w:val="00734FAB"/>
    <w:rsid w:val="0073633A"/>
    <w:rsid w:val="00736D91"/>
    <w:rsid w:val="00737232"/>
    <w:rsid w:val="007401D0"/>
    <w:rsid w:val="00740783"/>
    <w:rsid w:val="00740CD9"/>
    <w:rsid w:val="007479E3"/>
    <w:rsid w:val="00747D8E"/>
    <w:rsid w:val="0075092F"/>
    <w:rsid w:val="00750ACD"/>
    <w:rsid w:val="007523D1"/>
    <w:rsid w:val="00752CAF"/>
    <w:rsid w:val="007542A4"/>
    <w:rsid w:val="00755EBA"/>
    <w:rsid w:val="00756808"/>
    <w:rsid w:val="00760DAF"/>
    <w:rsid w:val="0076190D"/>
    <w:rsid w:val="00761DB5"/>
    <w:rsid w:val="00763A3F"/>
    <w:rsid w:val="00764D4E"/>
    <w:rsid w:val="00764E81"/>
    <w:rsid w:val="00765867"/>
    <w:rsid w:val="0076603C"/>
    <w:rsid w:val="00766609"/>
    <w:rsid w:val="00766655"/>
    <w:rsid w:val="00766D2F"/>
    <w:rsid w:val="007675B8"/>
    <w:rsid w:val="00767814"/>
    <w:rsid w:val="00770DF3"/>
    <w:rsid w:val="007715C5"/>
    <w:rsid w:val="00772C78"/>
    <w:rsid w:val="0077458C"/>
    <w:rsid w:val="007748F6"/>
    <w:rsid w:val="00774B76"/>
    <w:rsid w:val="00776224"/>
    <w:rsid w:val="007763C7"/>
    <w:rsid w:val="00776DC0"/>
    <w:rsid w:val="007771F0"/>
    <w:rsid w:val="00777580"/>
    <w:rsid w:val="007822E7"/>
    <w:rsid w:val="00782B8C"/>
    <w:rsid w:val="0078305A"/>
    <w:rsid w:val="00786070"/>
    <w:rsid w:val="0079089C"/>
    <w:rsid w:val="00791527"/>
    <w:rsid w:val="0079221F"/>
    <w:rsid w:val="00792B0C"/>
    <w:rsid w:val="00792E8D"/>
    <w:rsid w:val="00793041"/>
    <w:rsid w:val="0079336B"/>
    <w:rsid w:val="007941A1"/>
    <w:rsid w:val="007942C2"/>
    <w:rsid w:val="0079705E"/>
    <w:rsid w:val="007A0674"/>
    <w:rsid w:val="007A12AC"/>
    <w:rsid w:val="007A1A85"/>
    <w:rsid w:val="007A3D5E"/>
    <w:rsid w:val="007A45C1"/>
    <w:rsid w:val="007A5E7A"/>
    <w:rsid w:val="007A5FD4"/>
    <w:rsid w:val="007A7C90"/>
    <w:rsid w:val="007B1D3B"/>
    <w:rsid w:val="007B363C"/>
    <w:rsid w:val="007B36E4"/>
    <w:rsid w:val="007B41D3"/>
    <w:rsid w:val="007B4D00"/>
    <w:rsid w:val="007C1CF1"/>
    <w:rsid w:val="007C2981"/>
    <w:rsid w:val="007C3CDD"/>
    <w:rsid w:val="007C3E72"/>
    <w:rsid w:val="007C4149"/>
    <w:rsid w:val="007C47AB"/>
    <w:rsid w:val="007C4F04"/>
    <w:rsid w:val="007C5545"/>
    <w:rsid w:val="007C5FAA"/>
    <w:rsid w:val="007C7987"/>
    <w:rsid w:val="007D2D45"/>
    <w:rsid w:val="007D3580"/>
    <w:rsid w:val="007D3840"/>
    <w:rsid w:val="007D5DBD"/>
    <w:rsid w:val="007D7A05"/>
    <w:rsid w:val="007E0986"/>
    <w:rsid w:val="007E25C8"/>
    <w:rsid w:val="007E3CFC"/>
    <w:rsid w:val="007E4171"/>
    <w:rsid w:val="007E4B60"/>
    <w:rsid w:val="007E52DB"/>
    <w:rsid w:val="007E6E2C"/>
    <w:rsid w:val="007E6E99"/>
    <w:rsid w:val="007F12E0"/>
    <w:rsid w:val="007F2EE4"/>
    <w:rsid w:val="007F3540"/>
    <w:rsid w:val="007F4365"/>
    <w:rsid w:val="007F59C8"/>
    <w:rsid w:val="007F7510"/>
    <w:rsid w:val="00801AFC"/>
    <w:rsid w:val="00802C7A"/>
    <w:rsid w:val="008034D1"/>
    <w:rsid w:val="008036CA"/>
    <w:rsid w:val="008065EF"/>
    <w:rsid w:val="00806924"/>
    <w:rsid w:val="00810343"/>
    <w:rsid w:val="00810DC4"/>
    <w:rsid w:val="00811232"/>
    <w:rsid w:val="00811E70"/>
    <w:rsid w:val="008121F8"/>
    <w:rsid w:val="00812DE4"/>
    <w:rsid w:val="00813CC4"/>
    <w:rsid w:val="00814002"/>
    <w:rsid w:val="00814003"/>
    <w:rsid w:val="0081447D"/>
    <w:rsid w:val="00815445"/>
    <w:rsid w:val="0081597A"/>
    <w:rsid w:val="00815C8C"/>
    <w:rsid w:val="008166C8"/>
    <w:rsid w:val="00821BD5"/>
    <w:rsid w:val="00822C60"/>
    <w:rsid w:val="00823E1F"/>
    <w:rsid w:val="00824A90"/>
    <w:rsid w:val="00824E6E"/>
    <w:rsid w:val="00825BD5"/>
    <w:rsid w:val="0082665C"/>
    <w:rsid w:val="00826D66"/>
    <w:rsid w:val="008327DE"/>
    <w:rsid w:val="00833634"/>
    <w:rsid w:val="008339E5"/>
    <w:rsid w:val="008342ED"/>
    <w:rsid w:val="00834B02"/>
    <w:rsid w:val="0083762B"/>
    <w:rsid w:val="0083796E"/>
    <w:rsid w:val="00842D80"/>
    <w:rsid w:val="008438DC"/>
    <w:rsid w:val="008438F7"/>
    <w:rsid w:val="008476CB"/>
    <w:rsid w:val="00850247"/>
    <w:rsid w:val="00850A78"/>
    <w:rsid w:val="008513E2"/>
    <w:rsid w:val="00851758"/>
    <w:rsid w:val="0085196C"/>
    <w:rsid w:val="0085254A"/>
    <w:rsid w:val="008548CE"/>
    <w:rsid w:val="00855D64"/>
    <w:rsid w:val="008603D9"/>
    <w:rsid w:val="00861A94"/>
    <w:rsid w:val="00861F53"/>
    <w:rsid w:val="0086476E"/>
    <w:rsid w:val="00864EB5"/>
    <w:rsid w:val="00865B60"/>
    <w:rsid w:val="008714B2"/>
    <w:rsid w:val="00871943"/>
    <w:rsid w:val="008727B8"/>
    <w:rsid w:val="0087328B"/>
    <w:rsid w:val="00873ED7"/>
    <w:rsid w:val="0087568E"/>
    <w:rsid w:val="00877044"/>
    <w:rsid w:val="00877C8F"/>
    <w:rsid w:val="008841F0"/>
    <w:rsid w:val="00885575"/>
    <w:rsid w:val="00885918"/>
    <w:rsid w:val="00887CFE"/>
    <w:rsid w:val="00893007"/>
    <w:rsid w:val="00895020"/>
    <w:rsid w:val="00895984"/>
    <w:rsid w:val="008961A6"/>
    <w:rsid w:val="00896947"/>
    <w:rsid w:val="008A308F"/>
    <w:rsid w:val="008A43F0"/>
    <w:rsid w:val="008A5372"/>
    <w:rsid w:val="008A68FA"/>
    <w:rsid w:val="008A7AEF"/>
    <w:rsid w:val="008B0605"/>
    <w:rsid w:val="008B0B04"/>
    <w:rsid w:val="008B2153"/>
    <w:rsid w:val="008B2E77"/>
    <w:rsid w:val="008B4CE8"/>
    <w:rsid w:val="008B543B"/>
    <w:rsid w:val="008B5B07"/>
    <w:rsid w:val="008B6AC1"/>
    <w:rsid w:val="008B6C43"/>
    <w:rsid w:val="008B6D29"/>
    <w:rsid w:val="008B7D81"/>
    <w:rsid w:val="008C025C"/>
    <w:rsid w:val="008C089A"/>
    <w:rsid w:val="008C0CCE"/>
    <w:rsid w:val="008C292D"/>
    <w:rsid w:val="008C2C45"/>
    <w:rsid w:val="008C4A19"/>
    <w:rsid w:val="008C6A59"/>
    <w:rsid w:val="008C7154"/>
    <w:rsid w:val="008C7641"/>
    <w:rsid w:val="008D3F86"/>
    <w:rsid w:val="008D4DBC"/>
    <w:rsid w:val="008D4F83"/>
    <w:rsid w:val="008D6084"/>
    <w:rsid w:val="008D7532"/>
    <w:rsid w:val="008D77F0"/>
    <w:rsid w:val="008D7CBB"/>
    <w:rsid w:val="008E0054"/>
    <w:rsid w:val="008E0AEB"/>
    <w:rsid w:val="008E0AF8"/>
    <w:rsid w:val="008E1BC0"/>
    <w:rsid w:val="008E2901"/>
    <w:rsid w:val="008E2D27"/>
    <w:rsid w:val="008E2D2F"/>
    <w:rsid w:val="008E50D7"/>
    <w:rsid w:val="008E5274"/>
    <w:rsid w:val="008F1CCB"/>
    <w:rsid w:val="008F236E"/>
    <w:rsid w:val="008F25DA"/>
    <w:rsid w:val="008F5076"/>
    <w:rsid w:val="008F66B5"/>
    <w:rsid w:val="008F77EA"/>
    <w:rsid w:val="008F782C"/>
    <w:rsid w:val="008F79A2"/>
    <w:rsid w:val="0090006B"/>
    <w:rsid w:val="009002C5"/>
    <w:rsid w:val="0090040C"/>
    <w:rsid w:val="00900DD4"/>
    <w:rsid w:val="00903510"/>
    <w:rsid w:val="00903F92"/>
    <w:rsid w:val="00904306"/>
    <w:rsid w:val="0090480A"/>
    <w:rsid w:val="00905CA9"/>
    <w:rsid w:val="009064A4"/>
    <w:rsid w:val="0090716C"/>
    <w:rsid w:val="009077AD"/>
    <w:rsid w:val="00910222"/>
    <w:rsid w:val="009108AC"/>
    <w:rsid w:val="00910B59"/>
    <w:rsid w:val="0091119A"/>
    <w:rsid w:val="009111ED"/>
    <w:rsid w:val="00911AD7"/>
    <w:rsid w:val="00911C03"/>
    <w:rsid w:val="00911FDF"/>
    <w:rsid w:val="009126D6"/>
    <w:rsid w:val="00912860"/>
    <w:rsid w:val="009136F2"/>
    <w:rsid w:val="009145C6"/>
    <w:rsid w:val="00914920"/>
    <w:rsid w:val="00916968"/>
    <w:rsid w:val="00920A20"/>
    <w:rsid w:val="00921343"/>
    <w:rsid w:val="00925796"/>
    <w:rsid w:val="009274C5"/>
    <w:rsid w:val="009303A5"/>
    <w:rsid w:val="009309A1"/>
    <w:rsid w:val="00930BB4"/>
    <w:rsid w:val="00930ED6"/>
    <w:rsid w:val="0093166C"/>
    <w:rsid w:val="009316E2"/>
    <w:rsid w:val="00934A40"/>
    <w:rsid w:val="00934FF7"/>
    <w:rsid w:val="0093592C"/>
    <w:rsid w:val="009363B8"/>
    <w:rsid w:val="00936C66"/>
    <w:rsid w:val="00937990"/>
    <w:rsid w:val="0094183F"/>
    <w:rsid w:val="00942F03"/>
    <w:rsid w:val="00943C33"/>
    <w:rsid w:val="009445AB"/>
    <w:rsid w:val="00944D0C"/>
    <w:rsid w:val="00947169"/>
    <w:rsid w:val="00951A1F"/>
    <w:rsid w:val="009538FC"/>
    <w:rsid w:val="00954B43"/>
    <w:rsid w:val="00954FF7"/>
    <w:rsid w:val="00956E97"/>
    <w:rsid w:val="00957115"/>
    <w:rsid w:val="00957E89"/>
    <w:rsid w:val="00960498"/>
    <w:rsid w:val="009611BA"/>
    <w:rsid w:val="00961CF6"/>
    <w:rsid w:val="009649BE"/>
    <w:rsid w:val="00965BAA"/>
    <w:rsid w:val="0096765D"/>
    <w:rsid w:val="00970280"/>
    <w:rsid w:val="009718CC"/>
    <w:rsid w:val="00973854"/>
    <w:rsid w:val="00974C20"/>
    <w:rsid w:val="009753DF"/>
    <w:rsid w:val="00975DC8"/>
    <w:rsid w:val="0097631E"/>
    <w:rsid w:val="00977959"/>
    <w:rsid w:val="009801D5"/>
    <w:rsid w:val="00980574"/>
    <w:rsid w:val="00981ED4"/>
    <w:rsid w:val="0098290A"/>
    <w:rsid w:val="00982C82"/>
    <w:rsid w:val="009834A8"/>
    <w:rsid w:val="00983C59"/>
    <w:rsid w:val="00984C45"/>
    <w:rsid w:val="009855D4"/>
    <w:rsid w:val="00987229"/>
    <w:rsid w:val="009903B5"/>
    <w:rsid w:val="0099058D"/>
    <w:rsid w:val="0099071F"/>
    <w:rsid w:val="00991254"/>
    <w:rsid w:val="00991418"/>
    <w:rsid w:val="009915E1"/>
    <w:rsid w:val="00992C84"/>
    <w:rsid w:val="00992F82"/>
    <w:rsid w:val="00995BD7"/>
    <w:rsid w:val="00995F5E"/>
    <w:rsid w:val="00996286"/>
    <w:rsid w:val="00996FC3"/>
    <w:rsid w:val="009A0519"/>
    <w:rsid w:val="009A0999"/>
    <w:rsid w:val="009A1039"/>
    <w:rsid w:val="009A285F"/>
    <w:rsid w:val="009A2DD1"/>
    <w:rsid w:val="009A4782"/>
    <w:rsid w:val="009A49F8"/>
    <w:rsid w:val="009A600B"/>
    <w:rsid w:val="009A69DC"/>
    <w:rsid w:val="009B2A5A"/>
    <w:rsid w:val="009B2C83"/>
    <w:rsid w:val="009B45E5"/>
    <w:rsid w:val="009B67AF"/>
    <w:rsid w:val="009B6F61"/>
    <w:rsid w:val="009C06FD"/>
    <w:rsid w:val="009C0DE2"/>
    <w:rsid w:val="009C170E"/>
    <w:rsid w:val="009C3305"/>
    <w:rsid w:val="009C5560"/>
    <w:rsid w:val="009C5745"/>
    <w:rsid w:val="009C6048"/>
    <w:rsid w:val="009C6B9C"/>
    <w:rsid w:val="009C6DEF"/>
    <w:rsid w:val="009D0205"/>
    <w:rsid w:val="009D11BE"/>
    <w:rsid w:val="009D2DB6"/>
    <w:rsid w:val="009E1A45"/>
    <w:rsid w:val="009E434E"/>
    <w:rsid w:val="009E4A9D"/>
    <w:rsid w:val="009E4D20"/>
    <w:rsid w:val="009E5319"/>
    <w:rsid w:val="009E6046"/>
    <w:rsid w:val="009E62EA"/>
    <w:rsid w:val="009E6EEE"/>
    <w:rsid w:val="009E75BB"/>
    <w:rsid w:val="009F14F7"/>
    <w:rsid w:val="009F15EF"/>
    <w:rsid w:val="009F311B"/>
    <w:rsid w:val="009F46B9"/>
    <w:rsid w:val="009F4ABB"/>
    <w:rsid w:val="009F4CC8"/>
    <w:rsid w:val="009F692A"/>
    <w:rsid w:val="00A03BC6"/>
    <w:rsid w:val="00A04730"/>
    <w:rsid w:val="00A063CF"/>
    <w:rsid w:val="00A0697B"/>
    <w:rsid w:val="00A06E3C"/>
    <w:rsid w:val="00A07DA8"/>
    <w:rsid w:val="00A15FCE"/>
    <w:rsid w:val="00A176CB"/>
    <w:rsid w:val="00A1792F"/>
    <w:rsid w:val="00A17D93"/>
    <w:rsid w:val="00A201C7"/>
    <w:rsid w:val="00A224F5"/>
    <w:rsid w:val="00A259CF"/>
    <w:rsid w:val="00A302B8"/>
    <w:rsid w:val="00A30C44"/>
    <w:rsid w:val="00A310C7"/>
    <w:rsid w:val="00A327B5"/>
    <w:rsid w:val="00A32E27"/>
    <w:rsid w:val="00A32FA0"/>
    <w:rsid w:val="00A34015"/>
    <w:rsid w:val="00A34B37"/>
    <w:rsid w:val="00A35771"/>
    <w:rsid w:val="00A36A3E"/>
    <w:rsid w:val="00A36D00"/>
    <w:rsid w:val="00A40068"/>
    <w:rsid w:val="00A4128B"/>
    <w:rsid w:val="00A433C2"/>
    <w:rsid w:val="00A43579"/>
    <w:rsid w:val="00A441CF"/>
    <w:rsid w:val="00A456FD"/>
    <w:rsid w:val="00A46360"/>
    <w:rsid w:val="00A46D93"/>
    <w:rsid w:val="00A508EA"/>
    <w:rsid w:val="00A509D0"/>
    <w:rsid w:val="00A51CB6"/>
    <w:rsid w:val="00A52854"/>
    <w:rsid w:val="00A53875"/>
    <w:rsid w:val="00A54F7D"/>
    <w:rsid w:val="00A54FDF"/>
    <w:rsid w:val="00A557B5"/>
    <w:rsid w:val="00A56FB8"/>
    <w:rsid w:val="00A616BB"/>
    <w:rsid w:val="00A627EB"/>
    <w:rsid w:val="00A63CA8"/>
    <w:rsid w:val="00A6427D"/>
    <w:rsid w:val="00A64427"/>
    <w:rsid w:val="00A65005"/>
    <w:rsid w:val="00A66376"/>
    <w:rsid w:val="00A712F7"/>
    <w:rsid w:val="00A723D9"/>
    <w:rsid w:val="00A72B6B"/>
    <w:rsid w:val="00A72F63"/>
    <w:rsid w:val="00A74D6D"/>
    <w:rsid w:val="00A77BBC"/>
    <w:rsid w:val="00A77C4A"/>
    <w:rsid w:val="00A80EF8"/>
    <w:rsid w:val="00A80F84"/>
    <w:rsid w:val="00A8159B"/>
    <w:rsid w:val="00A82D6D"/>
    <w:rsid w:val="00A83E0F"/>
    <w:rsid w:val="00A83F6D"/>
    <w:rsid w:val="00A84E69"/>
    <w:rsid w:val="00A85B0F"/>
    <w:rsid w:val="00A86EA3"/>
    <w:rsid w:val="00A8702B"/>
    <w:rsid w:val="00A91BB7"/>
    <w:rsid w:val="00A92CA5"/>
    <w:rsid w:val="00A92CC0"/>
    <w:rsid w:val="00A93F22"/>
    <w:rsid w:val="00A94850"/>
    <w:rsid w:val="00A9552C"/>
    <w:rsid w:val="00A96F97"/>
    <w:rsid w:val="00A972BC"/>
    <w:rsid w:val="00AA09AB"/>
    <w:rsid w:val="00AA342C"/>
    <w:rsid w:val="00AA5DB6"/>
    <w:rsid w:val="00AA6597"/>
    <w:rsid w:val="00AA6CBC"/>
    <w:rsid w:val="00AB090E"/>
    <w:rsid w:val="00AB1775"/>
    <w:rsid w:val="00AB3BCB"/>
    <w:rsid w:val="00AB4B6E"/>
    <w:rsid w:val="00AB6365"/>
    <w:rsid w:val="00AC10EB"/>
    <w:rsid w:val="00AC2485"/>
    <w:rsid w:val="00AC786A"/>
    <w:rsid w:val="00AD43E6"/>
    <w:rsid w:val="00AD54D1"/>
    <w:rsid w:val="00AD5CE4"/>
    <w:rsid w:val="00AD619D"/>
    <w:rsid w:val="00AD6CCE"/>
    <w:rsid w:val="00AD758C"/>
    <w:rsid w:val="00AE05F6"/>
    <w:rsid w:val="00AE16CA"/>
    <w:rsid w:val="00AE171B"/>
    <w:rsid w:val="00AE2540"/>
    <w:rsid w:val="00AE2E7C"/>
    <w:rsid w:val="00AE4026"/>
    <w:rsid w:val="00AE5822"/>
    <w:rsid w:val="00AE59E1"/>
    <w:rsid w:val="00AE5AA0"/>
    <w:rsid w:val="00AE7ED4"/>
    <w:rsid w:val="00AF0788"/>
    <w:rsid w:val="00AF264E"/>
    <w:rsid w:val="00AF2FCC"/>
    <w:rsid w:val="00AF32AE"/>
    <w:rsid w:val="00AF3D96"/>
    <w:rsid w:val="00AF5F0D"/>
    <w:rsid w:val="00AF634C"/>
    <w:rsid w:val="00B00E9F"/>
    <w:rsid w:val="00B023B6"/>
    <w:rsid w:val="00B02820"/>
    <w:rsid w:val="00B02D96"/>
    <w:rsid w:val="00B03494"/>
    <w:rsid w:val="00B03F9B"/>
    <w:rsid w:val="00B04880"/>
    <w:rsid w:val="00B04A38"/>
    <w:rsid w:val="00B04CA1"/>
    <w:rsid w:val="00B05CFF"/>
    <w:rsid w:val="00B06780"/>
    <w:rsid w:val="00B06F54"/>
    <w:rsid w:val="00B07BE7"/>
    <w:rsid w:val="00B10134"/>
    <w:rsid w:val="00B101F1"/>
    <w:rsid w:val="00B1091F"/>
    <w:rsid w:val="00B12369"/>
    <w:rsid w:val="00B13A06"/>
    <w:rsid w:val="00B13A80"/>
    <w:rsid w:val="00B212DD"/>
    <w:rsid w:val="00B21B88"/>
    <w:rsid w:val="00B22720"/>
    <w:rsid w:val="00B24A52"/>
    <w:rsid w:val="00B2509A"/>
    <w:rsid w:val="00B251D5"/>
    <w:rsid w:val="00B27828"/>
    <w:rsid w:val="00B30C56"/>
    <w:rsid w:val="00B34FF2"/>
    <w:rsid w:val="00B35F2D"/>
    <w:rsid w:val="00B37EB2"/>
    <w:rsid w:val="00B4433F"/>
    <w:rsid w:val="00B45631"/>
    <w:rsid w:val="00B46A68"/>
    <w:rsid w:val="00B46BC5"/>
    <w:rsid w:val="00B473D5"/>
    <w:rsid w:val="00B503DB"/>
    <w:rsid w:val="00B51DF7"/>
    <w:rsid w:val="00B52491"/>
    <w:rsid w:val="00B55421"/>
    <w:rsid w:val="00B556E1"/>
    <w:rsid w:val="00B6265E"/>
    <w:rsid w:val="00B641A4"/>
    <w:rsid w:val="00B66BA8"/>
    <w:rsid w:val="00B66C1A"/>
    <w:rsid w:val="00B66DA4"/>
    <w:rsid w:val="00B66DAC"/>
    <w:rsid w:val="00B67475"/>
    <w:rsid w:val="00B67D52"/>
    <w:rsid w:val="00B7081A"/>
    <w:rsid w:val="00B70A68"/>
    <w:rsid w:val="00B71AFA"/>
    <w:rsid w:val="00B720B7"/>
    <w:rsid w:val="00B771D4"/>
    <w:rsid w:val="00B8420A"/>
    <w:rsid w:val="00B8441F"/>
    <w:rsid w:val="00B84AED"/>
    <w:rsid w:val="00B8740C"/>
    <w:rsid w:val="00B904DF"/>
    <w:rsid w:val="00B92EB7"/>
    <w:rsid w:val="00B9314A"/>
    <w:rsid w:val="00B93E06"/>
    <w:rsid w:val="00B93E4C"/>
    <w:rsid w:val="00B93F5A"/>
    <w:rsid w:val="00B94036"/>
    <w:rsid w:val="00B96ADB"/>
    <w:rsid w:val="00B97E8B"/>
    <w:rsid w:val="00BA0DD7"/>
    <w:rsid w:val="00BA2CD4"/>
    <w:rsid w:val="00BA4C39"/>
    <w:rsid w:val="00BA55CA"/>
    <w:rsid w:val="00BA7238"/>
    <w:rsid w:val="00BA7B03"/>
    <w:rsid w:val="00BB0BED"/>
    <w:rsid w:val="00BB0DD6"/>
    <w:rsid w:val="00BB2743"/>
    <w:rsid w:val="00BB31DD"/>
    <w:rsid w:val="00BB42BC"/>
    <w:rsid w:val="00BB5CA6"/>
    <w:rsid w:val="00BB699F"/>
    <w:rsid w:val="00BB6EAE"/>
    <w:rsid w:val="00BB6F97"/>
    <w:rsid w:val="00BB70A2"/>
    <w:rsid w:val="00BB759D"/>
    <w:rsid w:val="00BB79AE"/>
    <w:rsid w:val="00BC1466"/>
    <w:rsid w:val="00BC346F"/>
    <w:rsid w:val="00BC41A3"/>
    <w:rsid w:val="00BC6E8A"/>
    <w:rsid w:val="00BC7875"/>
    <w:rsid w:val="00BD1646"/>
    <w:rsid w:val="00BD3A20"/>
    <w:rsid w:val="00BD52D9"/>
    <w:rsid w:val="00BD6402"/>
    <w:rsid w:val="00BD67B1"/>
    <w:rsid w:val="00BD712E"/>
    <w:rsid w:val="00BE044A"/>
    <w:rsid w:val="00BE12D4"/>
    <w:rsid w:val="00BE1761"/>
    <w:rsid w:val="00BE1A94"/>
    <w:rsid w:val="00BE2B54"/>
    <w:rsid w:val="00BE483A"/>
    <w:rsid w:val="00BE71E8"/>
    <w:rsid w:val="00BE792F"/>
    <w:rsid w:val="00BF12C9"/>
    <w:rsid w:val="00BF1F8E"/>
    <w:rsid w:val="00BF2ACB"/>
    <w:rsid w:val="00BF3085"/>
    <w:rsid w:val="00BF4536"/>
    <w:rsid w:val="00BF47C6"/>
    <w:rsid w:val="00BF5448"/>
    <w:rsid w:val="00C00199"/>
    <w:rsid w:val="00C00252"/>
    <w:rsid w:val="00C018AC"/>
    <w:rsid w:val="00C0193D"/>
    <w:rsid w:val="00C02ED9"/>
    <w:rsid w:val="00C0394E"/>
    <w:rsid w:val="00C04EDC"/>
    <w:rsid w:val="00C04FF5"/>
    <w:rsid w:val="00C0516C"/>
    <w:rsid w:val="00C05781"/>
    <w:rsid w:val="00C06696"/>
    <w:rsid w:val="00C072EA"/>
    <w:rsid w:val="00C07316"/>
    <w:rsid w:val="00C10064"/>
    <w:rsid w:val="00C1016C"/>
    <w:rsid w:val="00C11AE7"/>
    <w:rsid w:val="00C11F70"/>
    <w:rsid w:val="00C129B0"/>
    <w:rsid w:val="00C13724"/>
    <w:rsid w:val="00C159E4"/>
    <w:rsid w:val="00C177DB"/>
    <w:rsid w:val="00C20867"/>
    <w:rsid w:val="00C2102B"/>
    <w:rsid w:val="00C2425C"/>
    <w:rsid w:val="00C25030"/>
    <w:rsid w:val="00C25FE1"/>
    <w:rsid w:val="00C2607C"/>
    <w:rsid w:val="00C27BBE"/>
    <w:rsid w:val="00C30607"/>
    <w:rsid w:val="00C30A32"/>
    <w:rsid w:val="00C31129"/>
    <w:rsid w:val="00C319B2"/>
    <w:rsid w:val="00C31A72"/>
    <w:rsid w:val="00C31AC2"/>
    <w:rsid w:val="00C35D5F"/>
    <w:rsid w:val="00C37E52"/>
    <w:rsid w:val="00C4030E"/>
    <w:rsid w:val="00C404AA"/>
    <w:rsid w:val="00C407A3"/>
    <w:rsid w:val="00C409E8"/>
    <w:rsid w:val="00C42412"/>
    <w:rsid w:val="00C43CA0"/>
    <w:rsid w:val="00C44793"/>
    <w:rsid w:val="00C46F3D"/>
    <w:rsid w:val="00C47D04"/>
    <w:rsid w:val="00C47E3F"/>
    <w:rsid w:val="00C5027A"/>
    <w:rsid w:val="00C519C9"/>
    <w:rsid w:val="00C52455"/>
    <w:rsid w:val="00C5290F"/>
    <w:rsid w:val="00C546B5"/>
    <w:rsid w:val="00C57129"/>
    <w:rsid w:val="00C576E8"/>
    <w:rsid w:val="00C60759"/>
    <w:rsid w:val="00C60A6D"/>
    <w:rsid w:val="00C61FBB"/>
    <w:rsid w:val="00C6284C"/>
    <w:rsid w:val="00C629AA"/>
    <w:rsid w:val="00C62B34"/>
    <w:rsid w:val="00C62FF2"/>
    <w:rsid w:val="00C6327C"/>
    <w:rsid w:val="00C63478"/>
    <w:rsid w:val="00C655DB"/>
    <w:rsid w:val="00C6569A"/>
    <w:rsid w:val="00C66051"/>
    <w:rsid w:val="00C67926"/>
    <w:rsid w:val="00C67E7C"/>
    <w:rsid w:val="00C7103B"/>
    <w:rsid w:val="00C72762"/>
    <w:rsid w:val="00C7369D"/>
    <w:rsid w:val="00C7549A"/>
    <w:rsid w:val="00C77A6E"/>
    <w:rsid w:val="00C80EA1"/>
    <w:rsid w:val="00C81384"/>
    <w:rsid w:val="00C81EBC"/>
    <w:rsid w:val="00C822B3"/>
    <w:rsid w:val="00C824B8"/>
    <w:rsid w:val="00C83490"/>
    <w:rsid w:val="00C83DA2"/>
    <w:rsid w:val="00C84731"/>
    <w:rsid w:val="00C92065"/>
    <w:rsid w:val="00C9342C"/>
    <w:rsid w:val="00C9628B"/>
    <w:rsid w:val="00CA48E3"/>
    <w:rsid w:val="00CA59EE"/>
    <w:rsid w:val="00CA67B8"/>
    <w:rsid w:val="00CA72FF"/>
    <w:rsid w:val="00CA75A1"/>
    <w:rsid w:val="00CB01F0"/>
    <w:rsid w:val="00CB0246"/>
    <w:rsid w:val="00CB0DB7"/>
    <w:rsid w:val="00CB2344"/>
    <w:rsid w:val="00CB2BE8"/>
    <w:rsid w:val="00CB2E2A"/>
    <w:rsid w:val="00CB6494"/>
    <w:rsid w:val="00CB6C19"/>
    <w:rsid w:val="00CC13E3"/>
    <w:rsid w:val="00CC184E"/>
    <w:rsid w:val="00CC3800"/>
    <w:rsid w:val="00CC41BD"/>
    <w:rsid w:val="00CC4844"/>
    <w:rsid w:val="00CC6207"/>
    <w:rsid w:val="00CC6360"/>
    <w:rsid w:val="00CC762F"/>
    <w:rsid w:val="00CC7661"/>
    <w:rsid w:val="00CC7B44"/>
    <w:rsid w:val="00CD0C20"/>
    <w:rsid w:val="00CD1C37"/>
    <w:rsid w:val="00CD2B79"/>
    <w:rsid w:val="00CD30CA"/>
    <w:rsid w:val="00CD31CB"/>
    <w:rsid w:val="00CD3245"/>
    <w:rsid w:val="00CD4BF5"/>
    <w:rsid w:val="00CD5CB4"/>
    <w:rsid w:val="00CD7024"/>
    <w:rsid w:val="00CE1151"/>
    <w:rsid w:val="00CE1996"/>
    <w:rsid w:val="00CE472A"/>
    <w:rsid w:val="00CE4992"/>
    <w:rsid w:val="00CE5BB0"/>
    <w:rsid w:val="00CE647C"/>
    <w:rsid w:val="00CE64BA"/>
    <w:rsid w:val="00CE6F12"/>
    <w:rsid w:val="00CF15F9"/>
    <w:rsid w:val="00CF1B03"/>
    <w:rsid w:val="00CF2073"/>
    <w:rsid w:val="00CF43AA"/>
    <w:rsid w:val="00CF5019"/>
    <w:rsid w:val="00CF5735"/>
    <w:rsid w:val="00CF603A"/>
    <w:rsid w:val="00CF69FD"/>
    <w:rsid w:val="00D015C1"/>
    <w:rsid w:val="00D03561"/>
    <w:rsid w:val="00D056B5"/>
    <w:rsid w:val="00D05C41"/>
    <w:rsid w:val="00D07BC1"/>
    <w:rsid w:val="00D07F75"/>
    <w:rsid w:val="00D11409"/>
    <w:rsid w:val="00D126D0"/>
    <w:rsid w:val="00D12E85"/>
    <w:rsid w:val="00D12F01"/>
    <w:rsid w:val="00D14589"/>
    <w:rsid w:val="00D1472D"/>
    <w:rsid w:val="00D150F7"/>
    <w:rsid w:val="00D15A97"/>
    <w:rsid w:val="00D162C3"/>
    <w:rsid w:val="00D212CA"/>
    <w:rsid w:val="00D21441"/>
    <w:rsid w:val="00D23F07"/>
    <w:rsid w:val="00D244F7"/>
    <w:rsid w:val="00D266D0"/>
    <w:rsid w:val="00D2756B"/>
    <w:rsid w:val="00D3065B"/>
    <w:rsid w:val="00D333FA"/>
    <w:rsid w:val="00D33444"/>
    <w:rsid w:val="00D370CA"/>
    <w:rsid w:val="00D37D80"/>
    <w:rsid w:val="00D37F9F"/>
    <w:rsid w:val="00D4033B"/>
    <w:rsid w:val="00D409DB"/>
    <w:rsid w:val="00D414CF"/>
    <w:rsid w:val="00D41829"/>
    <w:rsid w:val="00D42060"/>
    <w:rsid w:val="00D4337A"/>
    <w:rsid w:val="00D44FE9"/>
    <w:rsid w:val="00D46976"/>
    <w:rsid w:val="00D47914"/>
    <w:rsid w:val="00D47EE5"/>
    <w:rsid w:val="00D47FC8"/>
    <w:rsid w:val="00D50763"/>
    <w:rsid w:val="00D511C0"/>
    <w:rsid w:val="00D5493F"/>
    <w:rsid w:val="00D564BF"/>
    <w:rsid w:val="00D5797D"/>
    <w:rsid w:val="00D6110A"/>
    <w:rsid w:val="00D614E9"/>
    <w:rsid w:val="00D616A9"/>
    <w:rsid w:val="00D621B3"/>
    <w:rsid w:val="00D63A4A"/>
    <w:rsid w:val="00D63D24"/>
    <w:rsid w:val="00D64D75"/>
    <w:rsid w:val="00D651D2"/>
    <w:rsid w:val="00D652F0"/>
    <w:rsid w:val="00D65871"/>
    <w:rsid w:val="00D65DF9"/>
    <w:rsid w:val="00D667A0"/>
    <w:rsid w:val="00D66D13"/>
    <w:rsid w:val="00D66E01"/>
    <w:rsid w:val="00D71873"/>
    <w:rsid w:val="00D76A6E"/>
    <w:rsid w:val="00D771F2"/>
    <w:rsid w:val="00D77C36"/>
    <w:rsid w:val="00D8097E"/>
    <w:rsid w:val="00D80F03"/>
    <w:rsid w:val="00D82E8E"/>
    <w:rsid w:val="00D83535"/>
    <w:rsid w:val="00D83C52"/>
    <w:rsid w:val="00D86CDF"/>
    <w:rsid w:val="00D87542"/>
    <w:rsid w:val="00D92069"/>
    <w:rsid w:val="00D9311A"/>
    <w:rsid w:val="00D93560"/>
    <w:rsid w:val="00D93A2A"/>
    <w:rsid w:val="00D95E75"/>
    <w:rsid w:val="00D965D4"/>
    <w:rsid w:val="00D979A6"/>
    <w:rsid w:val="00D97F1D"/>
    <w:rsid w:val="00DA0FBD"/>
    <w:rsid w:val="00DA1679"/>
    <w:rsid w:val="00DA1A6B"/>
    <w:rsid w:val="00DA1C48"/>
    <w:rsid w:val="00DA2A9A"/>
    <w:rsid w:val="00DA42A5"/>
    <w:rsid w:val="00DA61E3"/>
    <w:rsid w:val="00DA66B7"/>
    <w:rsid w:val="00DA6A6B"/>
    <w:rsid w:val="00DB07D6"/>
    <w:rsid w:val="00DB4688"/>
    <w:rsid w:val="00DB6F8B"/>
    <w:rsid w:val="00DB708A"/>
    <w:rsid w:val="00DC0F5F"/>
    <w:rsid w:val="00DC24B8"/>
    <w:rsid w:val="00DC2A81"/>
    <w:rsid w:val="00DC410B"/>
    <w:rsid w:val="00DC4277"/>
    <w:rsid w:val="00DC48AF"/>
    <w:rsid w:val="00DC58D8"/>
    <w:rsid w:val="00DC5F11"/>
    <w:rsid w:val="00DC5F3A"/>
    <w:rsid w:val="00DC6AF0"/>
    <w:rsid w:val="00DC72D8"/>
    <w:rsid w:val="00DC7D41"/>
    <w:rsid w:val="00DD0B84"/>
    <w:rsid w:val="00DD46BB"/>
    <w:rsid w:val="00DD670A"/>
    <w:rsid w:val="00DD7CC4"/>
    <w:rsid w:val="00DE143E"/>
    <w:rsid w:val="00DE29A5"/>
    <w:rsid w:val="00DE2B55"/>
    <w:rsid w:val="00DE313F"/>
    <w:rsid w:val="00DE4995"/>
    <w:rsid w:val="00DE656E"/>
    <w:rsid w:val="00DE6BD7"/>
    <w:rsid w:val="00DF03D2"/>
    <w:rsid w:val="00DF2675"/>
    <w:rsid w:val="00DF2888"/>
    <w:rsid w:val="00DF2C6C"/>
    <w:rsid w:val="00DF3F56"/>
    <w:rsid w:val="00DF6422"/>
    <w:rsid w:val="00DF7CBD"/>
    <w:rsid w:val="00DF7EFF"/>
    <w:rsid w:val="00E00D57"/>
    <w:rsid w:val="00E012EA"/>
    <w:rsid w:val="00E01CC2"/>
    <w:rsid w:val="00E03385"/>
    <w:rsid w:val="00E03548"/>
    <w:rsid w:val="00E04A22"/>
    <w:rsid w:val="00E04E77"/>
    <w:rsid w:val="00E06705"/>
    <w:rsid w:val="00E06EFE"/>
    <w:rsid w:val="00E0732A"/>
    <w:rsid w:val="00E0749C"/>
    <w:rsid w:val="00E12BC1"/>
    <w:rsid w:val="00E14B10"/>
    <w:rsid w:val="00E15337"/>
    <w:rsid w:val="00E17D9D"/>
    <w:rsid w:val="00E20F0E"/>
    <w:rsid w:val="00E22150"/>
    <w:rsid w:val="00E27480"/>
    <w:rsid w:val="00E31129"/>
    <w:rsid w:val="00E33090"/>
    <w:rsid w:val="00E36751"/>
    <w:rsid w:val="00E36789"/>
    <w:rsid w:val="00E3759B"/>
    <w:rsid w:val="00E37FB6"/>
    <w:rsid w:val="00E40E0A"/>
    <w:rsid w:val="00E41021"/>
    <w:rsid w:val="00E4114B"/>
    <w:rsid w:val="00E417B4"/>
    <w:rsid w:val="00E43881"/>
    <w:rsid w:val="00E43A29"/>
    <w:rsid w:val="00E43C17"/>
    <w:rsid w:val="00E43CFC"/>
    <w:rsid w:val="00E4498A"/>
    <w:rsid w:val="00E47F99"/>
    <w:rsid w:val="00E52379"/>
    <w:rsid w:val="00E52601"/>
    <w:rsid w:val="00E53E2B"/>
    <w:rsid w:val="00E5469A"/>
    <w:rsid w:val="00E54F7F"/>
    <w:rsid w:val="00E55827"/>
    <w:rsid w:val="00E560B5"/>
    <w:rsid w:val="00E56ED5"/>
    <w:rsid w:val="00E601D4"/>
    <w:rsid w:val="00E609BB"/>
    <w:rsid w:val="00E60E7C"/>
    <w:rsid w:val="00E6114B"/>
    <w:rsid w:val="00E61390"/>
    <w:rsid w:val="00E631D3"/>
    <w:rsid w:val="00E63241"/>
    <w:rsid w:val="00E63314"/>
    <w:rsid w:val="00E66B21"/>
    <w:rsid w:val="00E66FC5"/>
    <w:rsid w:val="00E706DD"/>
    <w:rsid w:val="00E70885"/>
    <w:rsid w:val="00E708F8"/>
    <w:rsid w:val="00E72F27"/>
    <w:rsid w:val="00E7490E"/>
    <w:rsid w:val="00E74BF2"/>
    <w:rsid w:val="00E75E7A"/>
    <w:rsid w:val="00E808F4"/>
    <w:rsid w:val="00E80F18"/>
    <w:rsid w:val="00E81F8A"/>
    <w:rsid w:val="00E832D4"/>
    <w:rsid w:val="00E8449B"/>
    <w:rsid w:val="00E8549B"/>
    <w:rsid w:val="00E85A62"/>
    <w:rsid w:val="00E86F06"/>
    <w:rsid w:val="00E86FEC"/>
    <w:rsid w:val="00E9026F"/>
    <w:rsid w:val="00E90A14"/>
    <w:rsid w:val="00E914C4"/>
    <w:rsid w:val="00E92024"/>
    <w:rsid w:val="00E9231D"/>
    <w:rsid w:val="00E92421"/>
    <w:rsid w:val="00E930E4"/>
    <w:rsid w:val="00E94205"/>
    <w:rsid w:val="00EA0964"/>
    <w:rsid w:val="00EA32AF"/>
    <w:rsid w:val="00EA3CD1"/>
    <w:rsid w:val="00EA503B"/>
    <w:rsid w:val="00EA58FA"/>
    <w:rsid w:val="00EA5C7B"/>
    <w:rsid w:val="00EA5F22"/>
    <w:rsid w:val="00EA62CC"/>
    <w:rsid w:val="00EA6636"/>
    <w:rsid w:val="00EB00B1"/>
    <w:rsid w:val="00EB0456"/>
    <w:rsid w:val="00EB0CA5"/>
    <w:rsid w:val="00EB0EA3"/>
    <w:rsid w:val="00EB1104"/>
    <w:rsid w:val="00EB2EDB"/>
    <w:rsid w:val="00EB3DCD"/>
    <w:rsid w:val="00EB4D88"/>
    <w:rsid w:val="00EB5422"/>
    <w:rsid w:val="00EB5DD7"/>
    <w:rsid w:val="00EC0EE2"/>
    <w:rsid w:val="00EC2B1C"/>
    <w:rsid w:val="00EC42EF"/>
    <w:rsid w:val="00EC543C"/>
    <w:rsid w:val="00EC5AAD"/>
    <w:rsid w:val="00EC5E95"/>
    <w:rsid w:val="00ED0EFF"/>
    <w:rsid w:val="00ED1D76"/>
    <w:rsid w:val="00ED33AD"/>
    <w:rsid w:val="00ED43E9"/>
    <w:rsid w:val="00ED4CE9"/>
    <w:rsid w:val="00ED536B"/>
    <w:rsid w:val="00ED57FC"/>
    <w:rsid w:val="00ED6341"/>
    <w:rsid w:val="00ED72BB"/>
    <w:rsid w:val="00ED782B"/>
    <w:rsid w:val="00EE1385"/>
    <w:rsid w:val="00EE146B"/>
    <w:rsid w:val="00EE1DC8"/>
    <w:rsid w:val="00EE2AF2"/>
    <w:rsid w:val="00EE5AAD"/>
    <w:rsid w:val="00EE5EDA"/>
    <w:rsid w:val="00EF043A"/>
    <w:rsid w:val="00EF0DE7"/>
    <w:rsid w:val="00EF28BA"/>
    <w:rsid w:val="00EF2BE5"/>
    <w:rsid w:val="00EF2EFF"/>
    <w:rsid w:val="00EF4406"/>
    <w:rsid w:val="00EF5EEC"/>
    <w:rsid w:val="00EF696C"/>
    <w:rsid w:val="00EF7419"/>
    <w:rsid w:val="00EF77AD"/>
    <w:rsid w:val="00F004C3"/>
    <w:rsid w:val="00F00C9C"/>
    <w:rsid w:val="00F02DC2"/>
    <w:rsid w:val="00F03808"/>
    <w:rsid w:val="00F03D2D"/>
    <w:rsid w:val="00F0455E"/>
    <w:rsid w:val="00F0664D"/>
    <w:rsid w:val="00F06953"/>
    <w:rsid w:val="00F13D2F"/>
    <w:rsid w:val="00F14CA3"/>
    <w:rsid w:val="00F15558"/>
    <w:rsid w:val="00F16270"/>
    <w:rsid w:val="00F20435"/>
    <w:rsid w:val="00F20498"/>
    <w:rsid w:val="00F20D45"/>
    <w:rsid w:val="00F233C3"/>
    <w:rsid w:val="00F23EB6"/>
    <w:rsid w:val="00F24111"/>
    <w:rsid w:val="00F252D6"/>
    <w:rsid w:val="00F26CC9"/>
    <w:rsid w:val="00F274B3"/>
    <w:rsid w:val="00F277AA"/>
    <w:rsid w:val="00F277F9"/>
    <w:rsid w:val="00F300CF"/>
    <w:rsid w:val="00F32056"/>
    <w:rsid w:val="00F32227"/>
    <w:rsid w:val="00F3344B"/>
    <w:rsid w:val="00F33C60"/>
    <w:rsid w:val="00F34827"/>
    <w:rsid w:val="00F372BC"/>
    <w:rsid w:val="00F4103C"/>
    <w:rsid w:val="00F41E96"/>
    <w:rsid w:val="00F4254F"/>
    <w:rsid w:val="00F450D5"/>
    <w:rsid w:val="00F46D83"/>
    <w:rsid w:val="00F47313"/>
    <w:rsid w:val="00F47640"/>
    <w:rsid w:val="00F5054F"/>
    <w:rsid w:val="00F505A5"/>
    <w:rsid w:val="00F517B7"/>
    <w:rsid w:val="00F5233E"/>
    <w:rsid w:val="00F52CDD"/>
    <w:rsid w:val="00F54769"/>
    <w:rsid w:val="00F55A09"/>
    <w:rsid w:val="00F574D8"/>
    <w:rsid w:val="00F603CB"/>
    <w:rsid w:val="00F6108A"/>
    <w:rsid w:val="00F66954"/>
    <w:rsid w:val="00F67361"/>
    <w:rsid w:val="00F70D68"/>
    <w:rsid w:val="00F7136D"/>
    <w:rsid w:val="00F7263D"/>
    <w:rsid w:val="00F738F1"/>
    <w:rsid w:val="00F74E69"/>
    <w:rsid w:val="00F75B36"/>
    <w:rsid w:val="00F77457"/>
    <w:rsid w:val="00F830AB"/>
    <w:rsid w:val="00F90A8B"/>
    <w:rsid w:val="00F924A4"/>
    <w:rsid w:val="00F94A42"/>
    <w:rsid w:val="00F94D29"/>
    <w:rsid w:val="00F9737E"/>
    <w:rsid w:val="00FA0CF9"/>
    <w:rsid w:val="00FA2A29"/>
    <w:rsid w:val="00FA673A"/>
    <w:rsid w:val="00FA7078"/>
    <w:rsid w:val="00FB2102"/>
    <w:rsid w:val="00FB6021"/>
    <w:rsid w:val="00FB6D0B"/>
    <w:rsid w:val="00FB72A1"/>
    <w:rsid w:val="00FC0415"/>
    <w:rsid w:val="00FC0718"/>
    <w:rsid w:val="00FC2D2F"/>
    <w:rsid w:val="00FC394D"/>
    <w:rsid w:val="00FC7D67"/>
    <w:rsid w:val="00FD00CC"/>
    <w:rsid w:val="00FD0A49"/>
    <w:rsid w:val="00FD3474"/>
    <w:rsid w:val="00FD34CD"/>
    <w:rsid w:val="00FD37D1"/>
    <w:rsid w:val="00FD3DF3"/>
    <w:rsid w:val="00FD3F4E"/>
    <w:rsid w:val="00FD403B"/>
    <w:rsid w:val="00FE09DF"/>
    <w:rsid w:val="00FE1ECD"/>
    <w:rsid w:val="00FE2C6D"/>
    <w:rsid w:val="00FE2D47"/>
    <w:rsid w:val="00FE3513"/>
    <w:rsid w:val="00FE374C"/>
    <w:rsid w:val="00FE476C"/>
    <w:rsid w:val="00FE52BB"/>
    <w:rsid w:val="00FE5912"/>
    <w:rsid w:val="00FE6B80"/>
    <w:rsid w:val="00FE7030"/>
    <w:rsid w:val="00FE72B3"/>
    <w:rsid w:val="00FF063B"/>
    <w:rsid w:val="00FF0BD7"/>
    <w:rsid w:val="00FF258E"/>
    <w:rsid w:val="00FF36B1"/>
    <w:rsid w:val="00FF55A8"/>
    <w:rsid w:val="00FF5AC2"/>
    <w:rsid w:val="00FF5BBC"/>
    <w:rsid w:val="00FF639E"/>
    <w:rsid w:val="00FF6BCA"/>
    <w:rsid w:val="00FF7186"/>
    <w:rsid w:val="34485A0D"/>
    <w:rsid w:val="3CFF5A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9772"/>
  <w15:chartTrackingRefBased/>
  <w15:docId w15:val="{B25FA3DA-845E-4371-9192-37D82247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Calibri" w:hAnsi="Palatino Linotype" w:cs="Arial"/>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23"/>
    <w:pPr>
      <w:spacing w:line="360" w:lineRule="auto"/>
      <w:jc w:val="both"/>
    </w:pPr>
    <w:rPr>
      <w:rFonts w:ascii="Arial" w:hAnsi="Arial"/>
      <w:sz w:val="24"/>
      <w:szCs w:val="24"/>
      <w:lang w:val="es-ES" w:eastAsia="en-US"/>
    </w:rPr>
  </w:style>
  <w:style w:type="paragraph" w:styleId="Ttulo1">
    <w:name w:val="heading 1"/>
    <w:basedOn w:val="Normal"/>
    <w:next w:val="Normal"/>
    <w:link w:val="Ttulo1Car"/>
    <w:uiPriority w:val="9"/>
    <w:qFormat/>
    <w:rsid w:val="001B740D"/>
    <w:pPr>
      <w:keepNext/>
      <w:keepLines/>
      <w:numPr>
        <w:numId w:val="1"/>
      </w:numPr>
      <w:jc w:val="center"/>
      <w:outlineLvl w:val="0"/>
    </w:pPr>
    <w:rPr>
      <w:rFonts w:eastAsia="Times New Roman" w:cs="Times New Roman"/>
      <w:b/>
      <w:szCs w:val="32"/>
    </w:rPr>
  </w:style>
  <w:style w:type="paragraph" w:styleId="Ttulo2">
    <w:name w:val="heading 2"/>
    <w:basedOn w:val="Normal"/>
    <w:next w:val="Normal"/>
    <w:link w:val="Ttulo2Car"/>
    <w:uiPriority w:val="9"/>
    <w:unhideWhenUsed/>
    <w:qFormat/>
    <w:rsid w:val="001B740D"/>
    <w:pPr>
      <w:keepNext/>
      <w:keepLines/>
      <w:numPr>
        <w:numId w:val="2"/>
      </w:numPr>
      <w:outlineLvl w:val="1"/>
    </w:pPr>
    <w:rPr>
      <w:rFonts w:eastAsia="Times New Roman" w:cs="Times New Roman"/>
      <w:b/>
      <w:szCs w:val="26"/>
    </w:rPr>
  </w:style>
  <w:style w:type="paragraph" w:styleId="Ttulo3">
    <w:name w:val="heading 3"/>
    <w:basedOn w:val="Normal"/>
    <w:next w:val="Normal"/>
    <w:link w:val="Ttulo3Car"/>
    <w:uiPriority w:val="9"/>
    <w:semiHidden/>
    <w:unhideWhenUsed/>
    <w:rsid w:val="00C83DA2"/>
    <w:pPr>
      <w:keepNext/>
      <w:keepLines/>
      <w:spacing w:before="40"/>
      <w:outlineLvl w:val="2"/>
    </w:pPr>
    <w:rPr>
      <w:rFonts w:ascii="Calibri Light" w:eastAsia="Times New Roman" w:hAnsi="Calibri Light" w:cs="Times New Roman"/>
      <w:color w:val="1F3763"/>
    </w:rPr>
  </w:style>
  <w:style w:type="paragraph" w:styleId="Ttulo4">
    <w:name w:val="heading 4"/>
    <w:basedOn w:val="Normal"/>
    <w:next w:val="Normal"/>
    <w:link w:val="Ttulo4Car"/>
    <w:uiPriority w:val="9"/>
    <w:semiHidden/>
    <w:unhideWhenUsed/>
    <w:qFormat/>
    <w:rsid w:val="009303A5"/>
    <w:pPr>
      <w:keepNext/>
      <w:keepLines/>
      <w:spacing w:before="40"/>
      <w:outlineLvl w:val="3"/>
    </w:pPr>
    <w:rPr>
      <w:rFonts w:ascii="Calibri Light" w:eastAsia="Times New Roman" w:hAnsi="Calibri Light" w:cs="Times New Roman"/>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Textonotapie"/>
    <w:link w:val="PiedepginaCar"/>
    <w:uiPriority w:val="99"/>
    <w:unhideWhenUsed/>
    <w:rsid w:val="00537FB3"/>
  </w:style>
  <w:style w:type="character" w:customStyle="1" w:styleId="PiedepginaCar">
    <w:name w:val="Pie de página Car"/>
    <w:link w:val="Piedepgina"/>
    <w:uiPriority w:val="99"/>
    <w:rsid w:val="00537FB3"/>
    <w:rPr>
      <w:rFonts w:ascii="Verdana" w:hAnsi="Verdana"/>
      <w:lang w:val="es-ES" w:eastAsia="en-US"/>
    </w:rPr>
  </w:style>
  <w:style w:type="character" w:styleId="Hipervnculo">
    <w:name w:val="Hyperlink"/>
    <w:uiPriority w:val="99"/>
    <w:unhideWhenUsed/>
    <w:rsid w:val="00117091"/>
    <w:rPr>
      <w:color w:val="0563C1"/>
      <w:u w:val="single"/>
    </w:rPr>
  </w:style>
  <w:style w:type="character" w:customStyle="1" w:styleId="Ttulo1Car">
    <w:name w:val="Título 1 Car"/>
    <w:link w:val="Ttulo1"/>
    <w:uiPriority w:val="9"/>
    <w:rsid w:val="001B740D"/>
    <w:rPr>
      <w:rFonts w:ascii="Verdana" w:eastAsia="Times New Roman" w:hAnsi="Verdana" w:cs="Times New Roman"/>
      <w:b/>
      <w:sz w:val="24"/>
      <w:szCs w:val="32"/>
      <w:lang w:val="es-ES" w:eastAsia="en-US"/>
    </w:rPr>
  </w:style>
  <w:style w:type="paragraph" w:styleId="Ttulo">
    <w:name w:val="Title"/>
    <w:basedOn w:val="Normal"/>
    <w:next w:val="Normal"/>
    <w:link w:val="TtuloCar"/>
    <w:uiPriority w:val="10"/>
    <w:rsid w:val="009002C5"/>
    <w:pPr>
      <w:contextualSpacing/>
      <w:jc w:val="center"/>
    </w:pPr>
    <w:rPr>
      <w:rFonts w:eastAsia="Times New Roman" w:cs="Times New Roman"/>
      <w:b/>
      <w:spacing w:val="-10"/>
      <w:kern w:val="28"/>
      <w:szCs w:val="56"/>
    </w:rPr>
  </w:style>
  <w:style w:type="character" w:customStyle="1" w:styleId="TtuloCar">
    <w:name w:val="Título Car"/>
    <w:link w:val="Ttulo"/>
    <w:uiPriority w:val="10"/>
    <w:rsid w:val="009002C5"/>
    <w:rPr>
      <w:rFonts w:ascii="Verdana" w:eastAsia="Times New Roman" w:hAnsi="Verdana" w:cs="Times New Roman"/>
      <w:b/>
      <w:spacing w:val="-10"/>
      <w:kern w:val="28"/>
      <w:sz w:val="24"/>
      <w:szCs w:val="56"/>
      <w:lang w:val="es-ES" w:eastAsia="en-US"/>
    </w:rPr>
  </w:style>
  <w:style w:type="character" w:customStyle="1" w:styleId="Ttulo2Car">
    <w:name w:val="Título 2 Car"/>
    <w:link w:val="Ttulo2"/>
    <w:uiPriority w:val="9"/>
    <w:rsid w:val="001B740D"/>
    <w:rPr>
      <w:rFonts w:ascii="Verdana" w:eastAsia="Times New Roman" w:hAnsi="Verdana" w:cs="Times New Roman"/>
      <w:b/>
      <w:sz w:val="24"/>
      <w:szCs w:val="26"/>
      <w:lang w:val="es-ES" w:eastAsia="en-US"/>
    </w:rPr>
  </w:style>
  <w:style w:type="paragraph" w:styleId="Cita">
    <w:name w:val="Quote"/>
    <w:basedOn w:val="Normal"/>
    <w:next w:val="Normal"/>
    <w:link w:val="CitaCar"/>
    <w:uiPriority w:val="29"/>
    <w:qFormat/>
    <w:rsid w:val="0011745E"/>
    <w:pPr>
      <w:spacing w:line="240" w:lineRule="auto"/>
      <w:ind w:left="851" w:right="851"/>
    </w:pPr>
    <w:rPr>
      <w:i/>
      <w:iCs/>
      <w:sz w:val="22"/>
      <w:szCs w:val="22"/>
      <w:lang w:val="es-CO"/>
    </w:rPr>
  </w:style>
  <w:style w:type="character" w:customStyle="1" w:styleId="CitaCar">
    <w:name w:val="Cita Car"/>
    <w:link w:val="Cita"/>
    <w:uiPriority w:val="29"/>
    <w:rsid w:val="0011745E"/>
    <w:rPr>
      <w:rFonts w:ascii="Arial" w:hAnsi="Arial"/>
      <w:i/>
      <w:iCs/>
      <w:sz w:val="22"/>
      <w:szCs w:val="22"/>
      <w:lang w:eastAsia="en-US"/>
    </w:rPr>
  </w:style>
  <w:style w:type="paragraph" w:styleId="Textonotapie">
    <w:name w:val="footnote text"/>
    <w:aliases w:val="texto de nota al pie,texto de nota al,Footnote Text Char Char Char Char Char,Footnote Text Char Char Char Char,Footnote reference,FA Fu,Texto nota pie Car Car Car Car Car Car Car Car Car Car Car,FA ,Car,Footnote Text Cha,FA Fußnotentext"/>
    <w:basedOn w:val="Normal"/>
    <w:link w:val="TextonotapieCar"/>
    <w:unhideWhenUsed/>
    <w:qFormat/>
    <w:rsid w:val="009834A8"/>
    <w:pPr>
      <w:spacing w:after="100" w:line="240" w:lineRule="auto"/>
    </w:pPr>
    <w:rPr>
      <w:sz w:val="20"/>
      <w:szCs w:val="20"/>
    </w:rPr>
  </w:style>
  <w:style w:type="character" w:customStyle="1" w:styleId="TextonotapieCar">
    <w:name w:val="Texto nota pie Car"/>
    <w:aliases w:val="texto de nota al pie Car,texto de nota al Car,Footnote Text Char Char Char Char Char Car,Footnote Text Char Char Char Char Car,Footnote reference Car,FA Fu Car,Texto nota pie Car Car Car Car Car Car Car Car Car Car Car Car,FA  Car"/>
    <w:link w:val="Textonotapie"/>
    <w:rsid w:val="009834A8"/>
    <w:rPr>
      <w:rFonts w:ascii="Verdana" w:hAnsi="Verdana"/>
      <w:lang w:val="es-ES" w:eastAsia="en-U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link w:val="Piedepagina"/>
    <w:unhideWhenUsed/>
    <w:qFormat/>
    <w:rsid w:val="00537FB3"/>
    <w:rPr>
      <w:vertAlign w:val="superscript"/>
    </w:rPr>
  </w:style>
  <w:style w:type="paragraph" w:styleId="Prrafodelista">
    <w:name w:val="List Paragraph"/>
    <w:basedOn w:val="Normal"/>
    <w:uiPriority w:val="34"/>
    <w:qFormat/>
    <w:rsid w:val="000B6812"/>
    <w:pPr>
      <w:numPr>
        <w:numId w:val="10"/>
      </w:numPr>
      <w:contextualSpacing/>
    </w:pPr>
    <w:rPr>
      <w:lang w:val="es-CO"/>
    </w:rPr>
  </w:style>
  <w:style w:type="numbering" w:customStyle="1" w:styleId="Estilo1">
    <w:name w:val="Estilo1"/>
    <w:uiPriority w:val="99"/>
    <w:rsid w:val="00394994"/>
    <w:pPr>
      <w:numPr>
        <w:numId w:val="8"/>
      </w:numPr>
    </w:pPr>
  </w:style>
  <w:style w:type="character" w:customStyle="1" w:styleId="Ttulo3Car">
    <w:name w:val="Título 3 Car"/>
    <w:link w:val="Ttulo3"/>
    <w:uiPriority w:val="9"/>
    <w:semiHidden/>
    <w:rsid w:val="00C83DA2"/>
    <w:rPr>
      <w:rFonts w:ascii="Calibri Light" w:eastAsia="Times New Roman" w:hAnsi="Calibri Light" w:cs="Times New Roman"/>
      <w:color w:val="1F3763"/>
      <w:sz w:val="24"/>
      <w:szCs w:val="24"/>
      <w:lang w:val="es-ES" w:eastAsia="en-US"/>
    </w:rPr>
  </w:style>
  <w:style w:type="character" w:customStyle="1" w:styleId="Mencinsinresolver1">
    <w:name w:val="Mención sin resolver1"/>
    <w:uiPriority w:val="99"/>
    <w:semiHidden/>
    <w:unhideWhenUsed/>
    <w:rsid w:val="00602DA5"/>
    <w:rPr>
      <w:color w:val="605E5C"/>
      <w:shd w:val="clear" w:color="auto" w:fill="E1DFDD"/>
    </w:rPr>
  </w:style>
  <w:style w:type="paragraph" w:customStyle="1" w:styleId="Piedepagina">
    <w:name w:val="Pie de pagina"/>
    <w:basedOn w:val="Normal"/>
    <w:link w:val="Refdenotaalpie"/>
    <w:rsid w:val="00602DA5"/>
    <w:pPr>
      <w:spacing w:after="160" w:line="240" w:lineRule="exact"/>
      <w:jc w:val="left"/>
    </w:pPr>
    <w:rPr>
      <w:rFonts w:ascii="Palatino Linotype" w:hAnsi="Palatino Linotype"/>
      <w:sz w:val="20"/>
      <w:szCs w:val="20"/>
      <w:vertAlign w:val="superscript"/>
      <w:lang w:val="es-CO" w:eastAsia="es-CO"/>
    </w:rPr>
  </w:style>
  <w:style w:type="table" w:styleId="Tablaconcuadrcula">
    <w:name w:val="Table Grid"/>
    <w:basedOn w:val="Tablanormal"/>
    <w:uiPriority w:val="39"/>
    <w:rsid w:val="0095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9303A5"/>
    <w:rPr>
      <w:rFonts w:ascii="Calibri Light" w:eastAsia="Times New Roman" w:hAnsi="Calibri Light" w:cs="Times New Roman"/>
      <w:i/>
      <w:iCs/>
      <w:color w:val="2F5496"/>
      <w:sz w:val="24"/>
      <w:szCs w:val="24"/>
      <w:lang w:val="es-ES" w:eastAsia="en-US"/>
    </w:rPr>
  </w:style>
  <w:style w:type="character" w:styleId="Refdecomentario">
    <w:name w:val="annotation reference"/>
    <w:basedOn w:val="Fuentedeprrafopredeter"/>
    <w:uiPriority w:val="99"/>
    <w:semiHidden/>
    <w:unhideWhenUsed/>
    <w:rsid w:val="00464EE2"/>
    <w:rPr>
      <w:sz w:val="16"/>
      <w:szCs w:val="16"/>
    </w:rPr>
  </w:style>
  <w:style w:type="paragraph" w:styleId="Textocomentario">
    <w:name w:val="annotation text"/>
    <w:basedOn w:val="Normal"/>
    <w:link w:val="TextocomentarioCar"/>
    <w:uiPriority w:val="99"/>
    <w:semiHidden/>
    <w:unhideWhenUsed/>
    <w:rsid w:val="00464E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4EE2"/>
    <w:rPr>
      <w:rFonts w:ascii="Verdana" w:hAnsi="Verdana"/>
      <w:lang w:val="es-ES" w:eastAsia="en-US"/>
    </w:rPr>
  </w:style>
  <w:style w:type="paragraph" w:styleId="Asuntodelcomentario">
    <w:name w:val="annotation subject"/>
    <w:basedOn w:val="Textocomentario"/>
    <w:next w:val="Textocomentario"/>
    <w:link w:val="AsuntodelcomentarioCar"/>
    <w:uiPriority w:val="99"/>
    <w:semiHidden/>
    <w:unhideWhenUsed/>
    <w:rsid w:val="00464EE2"/>
    <w:rPr>
      <w:b/>
      <w:bCs/>
    </w:rPr>
  </w:style>
  <w:style w:type="character" w:customStyle="1" w:styleId="AsuntodelcomentarioCar">
    <w:name w:val="Asunto del comentario Car"/>
    <w:basedOn w:val="TextocomentarioCar"/>
    <w:link w:val="Asuntodelcomentario"/>
    <w:uiPriority w:val="99"/>
    <w:semiHidden/>
    <w:rsid w:val="00464EE2"/>
    <w:rPr>
      <w:rFonts w:ascii="Verdana" w:hAnsi="Verdana"/>
      <w:b/>
      <w:bCs/>
      <w:lang w:val="es-ES" w:eastAsia="en-US"/>
    </w:rPr>
  </w:style>
  <w:style w:type="paragraph" w:styleId="Textodeglobo">
    <w:name w:val="Balloon Text"/>
    <w:basedOn w:val="Normal"/>
    <w:link w:val="TextodegloboCar"/>
    <w:uiPriority w:val="99"/>
    <w:semiHidden/>
    <w:unhideWhenUsed/>
    <w:rsid w:val="00464E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EE2"/>
    <w:rPr>
      <w:rFonts w:ascii="Segoe UI" w:hAnsi="Segoe UI" w:cs="Segoe UI"/>
      <w:sz w:val="18"/>
      <w:szCs w:val="18"/>
      <w:lang w:val="es-ES" w:eastAsia="en-US"/>
    </w:rPr>
  </w:style>
  <w:style w:type="character" w:customStyle="1" w:styleId="Mencinsinresolver2">
    <w:name w:val="Mención sin resolver2"/>
    <w:basedOn w:val="Fuentedeprrafopredeter"/>
    <w:uiPriority w:val="99"/>
    <w:semiHidden/>
    <w:unhideWhenUsed/>
    <w:rsid w:val="00E70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943">
      <w:bodyDiv w:val="1"/>
      <w:marLeft w:val="0"/>
      <w:marRight w:val="0"/>
      <w:marTop w:val="0"/>
      <w:marBottom w:val="0"/>
      <w:divBdr>
        <w:top w:val="none" w:sz="0" w:space="0" w:color="auto"/>
        <w:left w:val="none" w:sz="0" w:space="0" w:color="auto"/>
        <w:bottom w:val="none" w:sz="0" w:space="0" w:color="auto"/>
        <w:right w:val="none" w:sz="0" w:space="0" w:color="auto"/>
      </w:divBdr>
    </w:div>
    <w:div w:id="29694641">
      <w:bodyDiv w:val="1"/>
      <w:marLeft w:val="0"/>
      <w:marRight w:val="0"/>
      <w:marTop w:val="0"/>
      <w:marBottom w:val="0"/>
      <w:divBdr>
        <w:top w:val="none" w:sz="0" w:space="0" w:color="auto"/>
        <w:left w:val="none" w:sz="0" w:space="0" w:color="auto"/>
        <w:bottom w:val="none" w:sz="0" w:space="0" w:color="auto"/>
        <w:right w:val="none" w:sz="0" w:space="0" w:color="auto"/>
      </w:divBdr>
    </w:div>
    <w:div w:id="46537410">
      <w:bodyDiv w:val="1"/>
      <w:marLeft w:val="0"/>
      <w:marRight w:val="0"/>
      <w:marTop w:val="0"/>
      <w:marBottom w:val="0"/>
      <w:divBdr>
        <w:top w:val="none" w:sz="0" w:space="0" w:color="auto"/>
        <w:left w:val="none" w:sz="0" w:space="0" w:color="auto"/>
        <w:bottom w:val="none" w:sz="0" w:space="0" w:color="auto"/>
        <w:right w:val="none" w:sz="0" w:space="0" w:color="auto"/>
      </w:divBdr>
    </w:div>
    <w:div w:id="60369581">
      <w:bodyDiv w:val="1"/>
      <w:marLeft w:val="0"/>
      <w:marRight w:val="0"/>
      <w:marTop w:val="0"/>
      <w:marBottom w:val="0"/>
      <w:divBdr>
        <w:top w:val="none" w:sz="0" w:space="0" w:color="auto"/>
        <w:left w:val="none" w:sz="0" w:space="0" w:color="auto"/>
        <w:bottom w:val="none" w:sz="0" w:space="0" w:color="auto"/>
        <w:right w:val="none" w:sz="0" w:space="0" w:color="auto"/>
      </w:divBdr>
    </w:div>
    <w:div w:id="77866416">
      <w:bodyDiv w:val="1"/>
      <w:marLeft w:val="0"/>
      <w:marRight w:val="0"/>
      <w:marTop w:val="0"/>
      <w:marBottom w:val="0"/>
      <w:divBdr>
        <w:top w:val="none" w:sz="0" w:space="0" w:color="auto"/>
        <w:left w:val="none" w:sz="0" w:space="0" w:color="auto"/>
        <w:bottom w:val="none" w:sz="0" w:space="0" w:color="auto"/>
        <w:right w:val="none" w:sz="0" w:space="0" w:color="auto"/>
      </w:divBdr>
    </w:div>
    <w:div w:id="100299080">
      <w:bodyDiv w:val="1"/>
      <w:marLeft w:val="0"/>
      <w:marRight w:val="0"/>
      <w:marTop w:val="0"/>
      <w:marBottom w:val="0"/>
      <w:divBdr>
        <w:top w:val="none" w:sz="0" w:space="0" w:color="auto"/>
        <w:left w:val="none" w:sz="0" w:space="0" w:color="auto"/>
        <w:bottom w:val="none" w:sz="0" w:space="0" w:color="auto"/>
        <w:right w:val="none" w:sz="0" w:space="0" w:color="auto"/>
      </w:divBdr>
    </w:div>
    <w:div w:id="124743577">
      <w:bodyDiv w:val="1"/>
      <w:marLeft w:val="0"/>
      <w:marRight w:val="0"/>
      <w:marTop w:val="0"/>
      <w:marBottom w:val="0"/>
      <w:divBdr>
        <w:top w:val="none" w:sz="0" w:space="0" w:color="auto"/>
        <w:left w:val="none" w:sz="0" w:space="0" w:color="auto"/>
        <w:bottom w:val="none" w:sz="0" w:space="0" w:color="auto"/>
        <w:right w:val="none" w:sz="0" w:space="0" w:color="auto"/>
      </w:divBdr>
    </w:div>
    <w:div w:id="135612993">
      <w:bodyDiv w:val="1"/>
      <w:marLeft w:val="0"/>
      <w:marRight w:val="0"/>
      <w:marTop w:val="0"/>
      <w:marBottom w:val="0"/>
      <w:divBdr>
        <w:top w:val="none" w:sz="0" w:space="0" w:color="auto"/>
        <w:left w:val="none" w:sz="0" w:space="0" w:color="auto"/>
        <w:bottom w:val="none" w:sz="0" w:space="0" w:color="auto"/>
        <w:right w:val="none" w:sz="0" w:space="0" w:color="auto"/>
      </w:divBdr>
    </w:div>
    <w:div w:id="136798384">
      <w:bodyDiv w:val="1"/>
      <w:marLeft w:val="0"/>
      <w:marRight w:val="0"/>
      <w:marTop w:val="0"/>
      <w:marBottom w:val="0"/>
      <w:divBdr>
        <w:top w:val="none" w:sz="0" w:space="0" w:color="auto"/>
        <w:left w:val="none" w:sz="0" w:space="0" w:color="auto"/>
        <w:bottom w:val="none" w:sz="0" w:space="0" w:color="auto"/>
        <w:right w:val="none" w:sz="0" w:space="0" w:color="auto"/>
      </w:divBdr>
    </w:div>
    <w:div w:id="138230990">
      <w:bodyDiv w:val="1"/>
      <w:marLeft w:val="0"/>
      <w:marRight w:val="0"/>
      <w:marTop w:val="0"/>
      <w:marBottom w:val="0"/>
      <w:divBdr>
        <w:top w:val="none" w:sz="0" w:space="0" w:color="auto"/>
        <w:left w:val="none" w:sz="0" w:space="0" w:color="auto"/>
        <w:bottom w:val="none" w:sz="0" w:space="0" w:color="auto"/>
        <w:right w:val="none" w:sz="0" w:space="0" w:color="auto"/>
      </w:divBdr>
    </w:div>
    <w:div w:id="148207865">
      <w:bodyDiv w:val="1"/>
      <w:marLeft w:val="0"/>
      <w:marRight w:val="0"/>
      <w:marTop w:val="0"/>
      <w:marBottom w:val="0"/>
      <w:divBdr>
        <w:top w:val="none" w:sz="0" w:space="0" w:color="auto"/>
        <w:left w:val="none" w:sz="0" w:space="0" w:color="auto"/>
        <w:bottom w:val="none" w:sz="0" w:space="0" w:color="auto"/>
        <w:right w:val="none" w:sz="0" w:space="0" w:color="auto"/>
      </w:divBdr>
    </w:div>
    <w:div w:id="153182256">
      <w:bodyDiv w:val="1"/>
      <w:marLeft w:val="0"/>
      <w:marRight w:val="0"/>
      <w:marTop w:val="0"/>
      <w:marBottom w:val="0"/>
      <w:divBdr>
        <w:top w:val="none" w:sz="0" w:space="0" w:color="auto"/>
        <w:left w:val="none" w:sz="0" w:space="0" w:color="auto"/>
        <w:bottom w:val="none" w:sz="0" w:space="0" w:color="auto"/>
        <w:right w:val="none" w:sz="0" w:space="0" w:color="auto"/>
      </w:divBdr>
    </w:div>
    <w:div w:id="234511172">
      <w:bodyDiv w:val="1"/>
      <w:marLeft w:val="0"/>
      <w:marRight w:val="0"/>
      <w:marTop w:val="0"/>
      <w:marBottom w:val="0"/>
      <w:divBdr>
        <w:top w:val="none" w:sz="0" w:space="0" w:color="auto"/>
        <w:left w:val="none" w:sz="0" w:space="0" w:color="auto"/>
        <w:bottom w:val="none" w:sz="0" w:space="0" w:color="auto"/>
        <w:right w:val="none" w:sz="0" w:space="0" w:color="auto"/>
      </w:divBdr>
    </w:div>
    <w:div w:id="255289052">
      <w:bodyDiv w:val="1"/>
      <w:marLeft w:val="0"/>
      <w:marRight w:val="0"/>
      <w:marTop w:val="0"/>
      <w:marBottom w:val="0"/>
      <w:divBdr>
        <w:top w:val="none" w:sz="0" w:space="0" w:color="auto"/>
        <w:left w:val="none" w:sz="0" w:space="0" w:color="auto"/>
        <w:bottom w:val="none" w:sz="0" w:space="0" w:color="auto"/>
        <w:right w:val="none" w:sz="0" w:space="0" w:color="auto"/>
      </w:divBdr>
    </w:div>
    <w:div w:id="332223844">
      <w:bodyDiv w:val="1"/>
      <w:marLeft w:val="0"/>
      <w:marRight w:val="0"/>
      <w:marTop w:val="0"/>
      <w:marBottom w:val="0"/>
      <w:divBdr>
        <w:top w:val="none" w:sz="0" w:space="0" w:color="auto"/>
        <w:left w:val="none" w:sz="0" w:space="0" w:color="auto"/>
        <w:bottom w:val="none" w:sz="0" w:space="0" w:color="auto"/>
        <w:right w:val="none" w:sz="0" w:space="0" w:color="auto"/>
      </w:divBdr>
    </w:div>
    <w:div w:id="339427216">
      <w:bodyDiv w:val="1"/>
      <w:marLeft w:val="0"/>
      <w:marRight w:val="0"/>
      <w:marTop w:val="0"/>
      <w:marBottom w:val="0"/>
      <w:divBdr>
        <w:top w:val="none" w:sz="0" w:space="0" w:color="auto"/>
        <w:left w:val="none" w:sz="0" w:space="0" w:color="auto"/>
        <w:bottom w:val="none" w:sz="0" w:space="0" w:color="auto"/>
        <w:right w:val="none" w:sz="0" w:space="0" w:color="auto"/>
      </w:divBdr>
    </w:div>
    <w:div w:id="356200572">
      <w:bodyDiv w:val="1"/>
      <w:marLeft w:val="0"/>
      <w:marRight w:val="0"/>
      <w:marTop w:val="0"/>
      <w:marBottom w:val="0"/>
      <w:divBdr>
        <w:top w:val="none" w:sz="0" w:space="0" w:color="auto"/>
        <w:left w:val="none" w:sz="0" w:space="0" w:color="auto"/>
        <w:bottom w:val="none" w:sz="0" w:space="0" w:color="auto"/>
        <w:right w:val="none" w:sz="0" w:space="0" w:color="auto"/>
      </w:divBdr>
      <w:divsChild>
        <w:div w:id="45571839">
          <w:marLeft w:val="0"/>
          <w:marRight w:val="0"/>
          <w:marTop w:val="0"/>
          <w:marBottom w:val="0"/>
          <w:divBdr>
            <w:top w:val="none" w:sz="0" w:space="0" w:color="auto"/>
            <w:left w:val="none" w:sz="0" w:space="0" w:color="auto"/>
            <w:bottom w:val="none" w:sz="0" w:space="0" w:color="auto"/>
            <w:right w:val="none" w:sz="0" w:space="0" w:color="auto"/>
          </w:divBdr>
        </w:div>
        <w:div w:id="567761616">
          <w:marLeft w:val="0"/>
          <w:marRight w:val="0"/>
          <w:marTop w:val="0"/>
          <w:marBottom w:val="0"/>
          <w:divBdr>
            <w:top w:val="none" w:sz="0" w:space="0" w:color="auto"/>
            <w:left w:val="none" w:sz="0" w:space="0" w:color="auto"/>
            <w:bottom w:val="none" w:sz="0" w:space="0" w:color="auto"/>
            <w:right w:val="none" w:sz="0" w:space="0" w:color="auto"/>
          </w:divBdr>
        </w:div>
        <w:div w:id="908882462">
          <w:marLeft w:val="0"/>
          <w:marRight w:val="0"/>
          <w:marTop w:val="0"/>
          <w:marBottom w:val="0"/>
          <w:divBdr>
            <w:top w:val="none" w:sz="0" w:space="0" w:color="auto"/>
            <w:left w:val="none" w:sz="0" w:space="0" w:color="auto"/>
            <w:bottom w:val="none" w:sz="0" w:space="0" w:color="auto"/>
            <w:right w:val="none" w:sz="0" w:space="0" w:color="auto"/>
          </w:divBdr>
        </w:div>
        <w:div w:id="2080900231">
          <w:marLeft w:val="0"/>
          <w:marRight w:val="0"/>
          <w:marTop w:val="0"/>
          <w:marBottom w:val="0"/>
          <w:divBdr>
            <w:top w:val="none" w:sz="0" w:space="0" w:color="auto"/>
            <w:left w:val="none" w:sz="0" w:space="0" w:color="auto"/>
            <w:bottom w:val="none" w:sz="0" w:space="0" w:color="auto"/>
            <w:right w:val="none" w:sz="0" w:space="0" w:color="auto"/>
          </w:divBdr>
        </w:div>
      </w:divsChild>
    </w:div>
    <w:div w:id="407464571">
      <w:bodyDiv w:val="1"/>
      <w:marLeft w:val="0"/>
      <w:marRight w:val="0"/>
      <w:marTop w:val="0"/>
      <w:marBottom w:val="0"/>
      <w:divBdr>
        <w:top w:val="none" w:sz="0" w:space="0" w:color="auto"/>
        <w:left w:val="none" w:sz="0" w:space="0" w:color="auto"/>
        <w:bottom w:val="none" w:sz="0" w:space="0" w:color="auto"/>
        <w:right w:val="none" w:sz="0" w:space="0" w:color="auto"/>
      </w:divBdr>
    </w:div>
    <w:div w:id="442118279">
      <w:bodyDiv w:val="1"/>
      <w:marLeft w:val="0"/>
      <w:marRight w:val="0"/>
      <w:marTop w:val="0"/>
      <w:marBottom w:val="0"/>
      <w:divBdr>
        <w:top w:val="none" w:sz="0" w:space="0" w:color="auto"/>
        <w:left w:val="none" w:sz="0" w:space="0" w:color="auto"/>
        <w:bottom w:val="none" w:sz="0" w:space="0" w:color="auto"/>
        <w:right w:val="none" w:sz="0" w:space="0" w:color="auto"/>
      </w:divBdr>
    </w:div>
    <w:div w:id="486172579">
      <w:bodyDiv w:val="1"/>
      <w:marLeft w:val="0"/>
      <w:marRight w:val="0"/>
      <w:marTop w:val="0"/>
      <w:marBottom w:val="0"/>
      <w:divBdr>
        <w:top w:val="none" w:sz="0" w:space="0" w:color="auto"/>
        <w:left w:val="none" w:sz="0" w:space="0" w:color="auto"/>
        <w:bottom w:val="none" w:sz="0" w:space="0" w:color="auto"/>
        <w:right w:val="none" w:sz="0" w:space="0" w:color="auto"/>
      </w:divBdr>
    </w:div>
    <w:div w:id="561133805">
      <w:bodyDiv w:val="1"/>
      <w:marLeft w:val="0"/>
      <w:marRight w:val="0"/>
      <w:marTop w:val="0"/>
      <w:marBottom w:val="0"/>
      <w:divBdr>
        <w:top w:val="none" w:sz="0" w:space="0" w:color="auto"/>
        <w:left w:val="none" w:sz="0" w:space="0" w:color="auto"/>
        <w:bottom w:val="none" w:sz="0" w:space="0" w:color="auto"/>
        <w:right w:val="none" w:sz="0" w:space="0" w:color="auto"/>
      </w:divBdr>
    </w:div>
    <w:div w:id="562907586">
      <w:bodyDiv w:val="1"/>
      <w:marLeft w:val="0"/>
      <w:marRight w:val="0"/>
      <w:marTop w:val="0"/>
      <w:marBottom w:val="0"/>
      <w:divBdr>
        <w:top w:val="none" w:sz="0" w:space="0" w:color="auto"/>
        <w:left w:val="none" w:sz="0" w:space="0" w:color="auto"/>
        <w:bottom w:val="none" w:sz="0" w:space="0" w:color="auto"/>
        <w:right w:val="none" w:sz="0" w:space="0" w:color="auto"/>
      </w:divBdr>
    </w:div>
    <w:div w:id="619150218">
      <w:bodyDiv w:val="1"/>
      <w:marLeft w:val="0"/>
      <w:marRight w:val="0"/>
      <w:marTop w:val="0"/>
      <w:marBottom w:val="0"/>
      <w:divBdr>
        <w:top w:val="none" w:sz="0" w:space="0" w:color="auto"/>
        <w:left w:val="none" w:sz="0" w:space="0" w:color="auto"/>
        <w:bottom w:val="none" w:sz="0" w:space="0" w:color="auto"/>
        <w:right w:val="none" w:sz="0" w:space="0" w:color="auto"/>
      </w:divBdr>
    </w:div>
    <w:div w:id="620653349">
      <w:bodyDiv w:val="1"/>
      <w:marLeft w:val="0"/>
      <w:marRight w:val="0"/>
      <w:marTop w:val="0"/>
      <w:marBottom w:val="0"/>
      <w:divBdr>
        <w:top w:val="none" w:sz="0" w:space="0" w:color="auto"/>
        <w:left w:val="none" w:sz="0" w:space="0" w:color="auto"/>
        <w:bottom w:val="none" w:sz="0" w:space="0" w:color="auto"/>
        <w:right w:val="none" w:sz="0" w:space="0" w:color="auto"/>
      </w:divBdr>
    </w:div>
    <w:div w:id="632716810">
      <w:bodyDiv w:val="1"/>
      <w:marLeft w:val="0"/>
      <w:marRight w:val="0"/>
      <w:marTop w:val="0"/>
      <w:marBottom w:val="0"/>
      <w:divBdr>
        <w:top w:val="none" w:sz="0" w:space="0" w:color="auto"/>
        <w:left w:val="none" w:sz="0" w:space="0" w:color="auto"/>
        <w:bottom w:val="none" w:sz="0" w:space="0" w:color="auto"/>
        <w:right w:val="none" w:sz="0" w:space="0" w:color="auto"/>
      </w:divBdr>
    </w:div>
    <w:div w:id="653140440">
      <w:bodyDiv w:val="1"/>
      <w:marLeft w:val="0"/>
      <w:marRight w:val="0"/>
      <w:marTop w:val="0"/>
      <w:marBottom w:val="0"/>
      <w:divBdr>
        <w:top w:val="none" w:sz="0" w:space="0" w:color="auto"/>
        <w:left w:val="none" w:sz="0" w:space="0" w:color="auto"/>
        <w:bottom w:val="none" w:sz="0" w:space="0" w:color="auto"/>
        <w:right w:val="none" w:sz="0" w:space="0" w:color="auto"/>
      </w:divBdr>
    </w:div>
    <w:div w:id="660235590">
      <w:bodyDiv w:val="1"/>
      <w:marLeft w:val="0"/>
      <w:marRight w:val="0"/>
      <w:marTop w:val="0"/>
      <w:marBottom w:val="0"/>
      <w:divBdr>
        <w:top w:val="none" w:sz="0" w:space="0" w:color="auto"/>
        <w:left w:val="none" w:sz="0" w:space="0" w:color="auto"/>
        <w:bottom w:val="none" w:sz="0" w:space="0" w:color="auto"/>
        <w:right w:val="none" w:sz="0" w:space="0" w:color="auto"/>
      </w:divBdr>
    </w:div>
    <w:div w:id="678822430">
      <w:bodyDiv w:val="1"/>
      <w:marLeft w:val="0"/>
      <w:marRight w:val="0"/>
      <w:marTop w:val="0"/>
      <w:marBottom w:val="0"/>
      <w:divBdr>
        <w:top w:val="none" w:sz="0" w:space="0" w:color="auto"/>
        <w:left w:val="none" w:sz="0" w:space="0" w:color="auto"/>
        <w:bottom w:val="none" w:sz="0" w:space="0" w:color="auto"/>
        <w:right w:val="none" w:sz="0" w:space="0" w:color="auto"/>
      </w:divBdr>
    </w:div>
    <w:div w:id="701445487">
      <w:bodyDiv w:val="1"/>
      <w:marLeft w:val="0"/>
      <w:marRight w:val="0"/>
      <w:marTop w:val="0"/>
      <w:marBottom w:val="0"/>
      <w:divBdr>
        <w:top w:val="none" w:sz="0" w:space="0" w:color="auto"/>
        <w:left w:val="none" w:sz="0" w:space="0" w:color="auto"/>
        <w:bottom w:val="none" w:sz="0" w:space="0" w:color="auto"/>
        <w:right w:val="none" w:sz="0" w:space="0" w:color="auto"/>
      </w:divBdr>
    </w:div>
    <w:div w:id="730421345">
      <w:bodyDiv w:val="1"/>
      <w:marLeft w:val="0"/>
      <w:marRight w:val="0"/>
      <w:marTop w:val="0"/>
      <w:marBottom w:val="0"/>
      <w:divBdr>
        <w:top w:val="none" w:sz="0" w:space="0" w:color="auto"/>
        <w:left w:val="none" w:sz="0" w:space="0" w:color="auto"/>
        <w:bottom w:val="none" w:sz="0" w:space="0" w:color="auto"/>
        <w:right w:val="none" w:sz="0" w:space="0" w:color="auto"/>
      </w:divBdr>
    </w:div>
    <w:div w:id="732462265">
      <w:bodyDiv w:val="1"/>
      <w:marLeft w:val="0"/>
      <w:marRight w:val="0"/>
      <w:marTop w:val="0"/>
      <w:marBottom w:val="0"/>
      <w:divBdr>
        <w:top w:val="none" w:sz="0" w:space="0" w:color="auto"/>
        <w:left w:val="none" w:sz="0" w:space="0" w:color="auto"/>
        <w:bottom w:val="none" w:sz="0" w:space="0" w:color="auto"/>
        <w:right w:val="none" w:sz="0" w:space="0" w:color="auto"/>
      </w:divBdr>
    </w:div>
    <w:div w:id="734209295">
      <w:bodyDiv w:val="1"/>
      <w:marLeft w:val="0"/>
      <w:marRight w:val="0"/>
      <w:marTop w:val="0"/>
      <w:marBottom w:val="0"/>
      <w:divBdr>
        <w:top w:val="none" w:sz="0" w:space="0" w:color="auto"/>
        <w:left w:val="none" w:sz="0" w:space="0" w:color="auto"/>
        <w:bottom w:val="none" w:sz="0" w:space="0" w:color="auto"/>
        <w:right w:val="none" w:sz="0" w:space="0" w:color="auto"/>
      </w:divBdr>
    </w:div>
    <w:div w:id="749887441">
      <w:bodyDiv w:val="1"/>
      <w:marLeft w:val="0"/>
      <w:marRight w:val="0"/>
      <w:marTop w:val="0"/>
      <w:marBottom w:val="0"/>
      <w:divBdr>
        <w:top w:val="none" w:sz="0" w:space="0" w:color="auto"/>
        <w:left w:val="none" w:sz="0" w:space="0" w:color="auto"/>
        <w:bottom w:val="none" w:sz="0" w:space="0" w:color="auto"/>
        <w:right w:val="none" w:sz="0" w:space="0" w:color="auto"/>
      </w:divBdr>
    </w:div>
    <w:div w:id="751468287">
      <w:bodyDiv w:val="1"/>
      <w:marLeft w:val="0"/>
      <w:marRight w:val="0"/>
      <w:marTop w:val="0"/>
      <w:marBottom w:val="0"/>
      <w:divBdr>
        <w:top w:val="none" w:sz="0" w:space="0" w:color="auto"/>
        <w:left w:val="none" w:sz="0" w:space="0" w:color="auto"/>
        <w:bottom w:val="none" w:sz="0" w:space="0" w:color="auto"/>
        <w:right w:val="none" w:sz="0" w:space="0" w:color="auto"/>
      </w:divBdr>
      <w:divsChild>
        <w:div w:id="644743784">
          <w:marLeft w:val="0"/>
          <w:marRight w:val="0"/>
          <w:marTop w:val="0"/>
          <w:marBottom w:val="0"/>
          <w:divBdr>
            <w:top w:val="none" w:sz="0" w:space="0" w:color="auto"/>
            <w:left w:val="none" w:sz="0" w:space="0" w:color="auto"/>
            <w:bottom w:val="none" w:sz="0" w:space="0" w:color="auto"/>
            <w:right w:val="none" w:sz="0" w:space="0" w:color="auto"/>
          </w:divBdr>
        </w:div>
        <w:div w:id="872810467">
          <w:marLeft w:val="0"/>
          <w:marRight w:val="0"/>
          <w:marTop w:val="0"/>
          <w:marBottom w:val="0"/>
          <w:divBdr>
            <w:top w:val="none" w:sz="0" w:space="0" w:color="auto"/>
            <w:left w:val="none" w:sz="0" w:space="0" w:color="auto"/>
            <w:bottom w:val="none" w:sz="0" w:space="0" w:color="auto"/>
            <w:right w:val="none" w:sz="0" w:space="0" w:color="auto"/>
          </w:divBdr>
        </w:div>
        <w:div w:id="1345983374">
          <w:marLeft w:val="0"/>
          <w:marRight w:val="0"/>
          <w:marTop w:val="0"/>
          <w:marBottom w:val="0"/>
          <w:divBdr>
            <w:top w:val="none" w:sz="0" w:space="0" w:color="auto"/>
            <w:left w:val="none" w:sz="0" w:space="0" w:color="auto"/>
            <w:bottom w:val="none" w:sz="0" w:space="0" w:color="auto"/>
            <w:right w:val="none" w:sz="0" w:space="0" w:color="auto"/>
          </w:divBdr>
        </w:div>
      </w:divsChild>
    </w:div>
    <w:div w:id="755594590">
      <w:bodyDiv w:val="1"/>
      <w:marLeft w:val="0"/>
      <w:marRight w:val="0"/>
      <w:marTop w:val="0"/>
      <w:marBottom w:val="0"/>
      <w:divBdr>
        <w:top w:val="none" w:sz="0" w:space="0" w:color="auto"/>
        <w:left w:val="none" w:sz="0" w:space="0" w:color="auto"/>
        <w:bottom w:val="none" w:sz="0" w:space="0" w:color="auto"/>
        <w:right w:val="none" w:sz="0" w:space="0" w:color="auto"/>
      </w:divBdr>
    </w:div>
    <w:div w:id="759377989">
      <w:bodyDiv w:val="1"/>
      <w:marLeft w:val="0"/>
      <w:marRight w:val="0"/>
      <w:marTop w:val="0"/>
      <w:marBottom w:val="0"/>
      <w:divBdr>
        <w:top w:val="none" w:sz="0" w:space="0" w:color="auto"/>
        <w:left w:val="none" w:sz="0" w:space="0" w:color="auto"/>
        <w:bottom w:val="none" w:sz="0" w:space="0" w:color="auto"/>
        <w:right w:val="none" w:sz="0" w:space="0" w:color="auto"/>
      </w:divBdr>
    </w:div>
    <w:div w:id="762187937">
      <w:bodyDiv w:val="1"/>
      <w:marLeft w:val="0"/>
      <w:marRight w:val="0"/>
      <w:marTop w:val="0"/>
      <w:marBottom w:val="0"/>
      <w:divBdr>
        <w:top w:val="none" w:sz="0" w:space="0" w:color="auto"/>
        <w:left w:val="none" w:sz="0" w:space="0" w:color="auto"/>
        <w:bottom w:val="none" w:sz="0" w:space="0" w:color="auto"/>
        <w:right w:val="none" w:sz="0" w:space="0" w:color="auto"/>
      </w:divBdr>
    </w:div>
    <w:div w:id="773401121">
      <w:bodyDiv w:val="1"/>
      <w:marLeft w:val="0"/>
      <w:marRight w:val="0"/>
      <w:marTop w:val="0"/>
      <w:marBottom w:val="0"/>
      <w:divBdr>
        <w:top w:val="none" w:sz="0" w:space="0" w:color="auto"/>
        <w:left w:val="none" w:sz="0" w:space="0" w:color="auto"/>
        <w:bottom w:val="none" w:sz="0" w:space="0" w:color="auto"/>
        <w:right w:val="none" w:sz="0" w:space="0" w:color="auto"/>
      </w:divBdr>
    </w:div>
    <w:div w:id="789054653">
      <w:bodyDiv w:val="1"/>
      <w:marLeft w:val="0"/>
      <w:marRight w:val="0"/>
      <w:marTop w:val="0"/>
      <w:marBottom w:val="0"/>
      <w:divBdr>
        <w:top w:val="none" w:sz="0" w:space="0" w:color="auto"/>
        <w:left w:val="none" w:sz="0" w:space="0" w:color="auto"/>
        <w:bottom w:val="none" w:sz="0" w:space="0" w:color="auto"/>
        <w:right w:val="none" w:sz="0" w:space="0" w:color="auto"/>
      </w:divBdr>
    </w:div>
    <w:div w:id="799345593">
      <w:bodyDiv w:val="1"/>
      <w:marLeft w:val="0"/>
      <w:marRight w:val="0"/>
      <w:marTop w:val="0"/>
      <w:marBottom w:val="0"/>
      <w:divBdr>
        <w:top w:val="none" w:sz="0" w:space="0" w:color="auto"/>
        <w:left w:val="none" w:sz="0" w:space="0" w:color="auto"/>
        <w:bottom w:val="none" w:sz="0" w:space="0" w:color="auto"/>
        <w:right w:val="none" w:sz="0" w:space="0" w:color="auto"/>
      </w:divBdr>
    </w:div>
    <w:div w:id="852694505">
      <w:bodyDiv w:val="1"/>
      <w:marLeft w:val="0"/>
      <w:marRight w:val="0"/>
      <w:marTop w:val="0"/>
      <w:marBottom w:val="0"/>
      <w:divBdr>
        <w:top w:val="none" w:sz="0" w:space="0" w:color="auto"/>
        <w:left w:val="none" w:sz="0" w:space="0" w:color="auto"/>
        <w:bottom w:val="none" w:sz="0" w:space="0" w:color="auto"/>
        <w:right w:val="none" w:sz="0" w:space="0" w:color="auto"/>
      </w:divBdr>
    </w:div>
    <w:div w:id="853612235">
      <w:bodyDiv w:val="1"/>
      <w:marLeft w:val="0"/>
      <w:marRight w:val="0"/>
      <w:marTop w:val="0"/>
      <w:marBottom w:val="0"/>
      <w:divBdr>
        <w:top w:val="none" w:sz="0" w:space="0" w:color="auto"/>
        <w:left w:val="none" w:sz="0" w:space="0" w:color="auto"/>
        <w:bottom w:val="none" w:sz="0" w:space="0" w:color="auto"/>
        <w:right w:val="none" w:sz="0" w:space="0" w:color="auto"/>
      </w:divBdr>
    </w:div>
    <w:div w:id="864292267">
      <w:bodyDiv w:val="1"/>
      <w:marLeft w:val="0"/>
      <w:marRight w:val="0"/>
      <w:marTop w:val="0"/>
      <w:marBottom w:val="0"/>
      <w:divBdr>
        <w:top w:val="none" w:sz="0" w:space="0" w:color="auto"/>
        <w:left w:val="none" w:sz="0" w:space="0" w:color="auto"/>
        <w:bottom w:val="none" w:sz="0" w:space="0" w:color="auto"/>
        <w:right w:val="none" w:sz="0" w:space="0" w:color="auto"/>
      </w:divBdr>
    </w:div>
    <w:div w:id="886180318">
      <w:bodyDiv w:val="1"/>
      <w:marLeft w:val="0"/>
      <w:marRight w:val="0"/>
      <w:marTop w:val="0"/>
      <w:marBottom w:val="0"/>
      <w:divBdr>
        <w:top w:val="none" w:sz="0" w:space="0" w:color="auto"/>
        <w:left w:val="none" w:sz="0" w:space="0" w:color="auto"/>
        <w:bottom w:val="none" w:sz="0" w:space="0" w:color="auto"/>
        <w:right w:val="none" w:sz="0" w:space="0" w:color="auto"/>
      </w:divBdr>
    </w:div>
    <w:div w:id="900480659">
      <w:bodyDiv w:val="1"/>
      <w:marLeft w:val="0"/>
      <w:marRight w:val="0"/>
      <w:marTop w:val="0"/>
      <w:marBottom w:val="0"/>
      <w:divBdr>
        <w:top w:val="none" w:sz="0" w:space="0" w:color="auto"/>
        <w:left w:val="none" w:sz="0" w:space="0" w:color="auto"/>
        <w:bottom w:val="none" w:sz="0" w:space="0" w:color="auto"/>
        <w:right w:val="none" w:sz="0" w:space="0" w:color="auto"/>
      </w:divBdr>
    </w:div>
    <w:div w:id="933129250">
      <w:bodyDiv w:val="1"/>
      <w:marLeft w:val="0"/>
      <w:marRight w:val="0"/>
      <w:marTop w:val="0"/>
      <w:marBottom w:val="0"/>
      <w:divBdr>
        <w:top w:val="none" w:sz="0" w:space="0" w:color="auto"/>
        <w:left w:val="none" w:sz="0" w:space="0" w:color="auto"/>
        <w:bottom w:val="none" w:sz="0" w:space="0" w:color="auto"/>
        <w:right w:val="none" w:sz="0" w:space="0" w:color="auto"/>
      </w:divBdr>
    </w:div>
    <w:div w:id="949748934">
      <w:bodyDiv w:val="1"/>
      <w:marLeft w:val="0"/>
      <w:marRight w:val="0"/>
      <w:marTop w:val="0"/>
      <w:marBottom w:val="0"/>
      <w:divBdr>
        <w:top w:val="none" w:sz="0" w:space="0" w:color="auto"/>
        <w:left w:val="none" w:sz="0" w:space="0" w:color="auto"/>
        <w:bottom w:val="none" w:sz="0" w:space="0" w:color="auto"/>
        <w:right w:val="none" w:sz="0" w:space="0" w:color="auto"/>
      </w:divBdr>
    </w:div>
    <w:div w:id="966349153">
      <w:bodyDiv w:val="1"/>
      <w:marLeft w:val="0"/>
      <w:marRight w:val="0"/>
      <w:marTop w:val="0"/>
      <w:marBottom w:val="0"/>
      <w:divBdr>
        <w:top w:val="none" w:sz="0" w:space="0" w:color="auto"/>
        <w:left w:val="none" w:sz="0" w:space="0" w:color="auto"/>
        <w:bottom w:val="none" w:sz="0" w:space="0" w:color="auto"/>
        <w:right w:val="none" w:sz="0" w:space="0" w:color="auto"/>
      </w:divBdr>
    </w:div>
    <w:div w:id="966735248">
      <w:bodyDiv w:val="1"/>
      <w:marLeft w:val="0"/>
      <w:marRight w:val="0"/>
      <w:marTop w:val="0"/>
      <w:marBottom w:val="0"/>
      <w:divBdr>
        <w:top w:val="none" w:sz="0" w:space="0" w:color="auto"/>
        <w:left w:val="none" w:sz="0" w:space="0" w:color="auto"/>
        <w:bottom w:val="none" w:sz="0" w:space="0" w:color="auto"/>
        <w:right w:val="none" w:sz="0" w:space="0" w:color="auto"/>
      </w:divBdr>
    </w:div>
    <w:div w:id="981302421">
      <w:bodyDiv w:val="1"/>
      <w:marLeft w:val="0"/>
      <w:marRight w:val="0"/>
      <w:marTop w:val="0"/>
      <w:marBottom w:val="0"/>
      <w:divBdr>
        <w:top w:val="none" w:sz="0" w:space="0" w:color="auto"/>
        <w:left w:val="none" w:sz="0" w:space="0" w:color="auto"/>
        <w:bottom w:val="none" w:sz="0" w:space="0" w:color="auto"/>
        <w:right w:val="none" w:sz="0" w:space="0" w:color="auto"/>
      </w:divBdr>
    </w:div>
    <w:div w:id="1004406139">
      <w:bodyDiv w:val="1"/>
      <w:marLeft w:val="0"/>
      <w:marRight w:val="0"/>
      <w:marTop w:val="0"/>
      <w:marBottom w:val="0"/>
      <w:divBdr>
        <w:top w:val="none" w:sz="0" w:space="0" w:color="auto"/>
        <w:left w:val="none" w:sz="0" w:space="0" w:color="auto"/>
        <w:bottom w:val="none" w:sz="0" w:space="0" w:color="auto"/>
        <w:right w:val="none" w:sz="0" w:space="0" w:color="auto"/>
      </w:divBdr>
    </w:div>
    <w:div w:id="1026904416">
      <w:bodyDiv w:val="1"/>
      <w:marLeft w:val="0"/>
      <w:marRight w:val="0"/>
      <w:marTop w:val="0"/>
      <w:marBottom w:val="0"/>
      <w:divBdr>
        <w:top w:val="none" w:sz="0" w:space="0" w:color="auto"/>
        <w:left w:val="none" w:sz="0" w:space="0" w:color="auto"/>
        <w:bottom w:val="none" w:sz="0" w:space="0" w:color="auto"/>
        <w:right w:val="none" w:sz="0" w:space="0" w:color="auto"/>
      </w:divBdr>
    </w:div>
    <w:div w:id="1027827321">
      <w:bodyDiv w:val="1"/>
      <w:marLeft w:val="0"/>
      <w:marRight w:val="0"/>
      <w:marTop w:val="0"/>
      <w:marBottom w:val="0"/>
      <w:divBdr>
        <w:top w:val="none" w:sz="0" w:space="0" w:color="auto"/>
        <w:left w:val="none" w:sz="0" w:space="0" w:color="auto"/>
        <w:bottom w:val="none" w:sz="0" w:space="0" w:color="auto"/>
        <w:right w:val="none" w:sz="0" w:space="0" w:color="auto"/>
      </w:divBdr>
    </w:div>
    <w:div w:id="1039478215">
      <w:bodyDiv w:val="1"/>
      <w:marLeft w:val="0"/>
      <w:marRight w:val="0"/>
      <w:marTop w:val="0"/>
      <w:marBottom w:val="0"/>
      <w:divBdr>
        <w:top w:val="none" w:sz="0" w:space="0" w:color="auto"/>
        <w:left w:val="none" w:sz="0" w:space="0" w:color="auto"/>
        <w:bottom w:val="none" w:sz="0" w:space="0" w:color="auto"/>
        <w:right w:val="none" w:sz="0" w:space="0" w:color="auto"/>
      </w:divBdr>
    </w:div>
    <w:div w:id="1045523926">
      <w:bodyDiv w:val="1"/>
      <w:marLeft w:val="0"/>
      <w:marRight w:val="0"/>
      <w:marTop w:val="0"/>
      <w:marBottom w:val="0"/>
      <w:divBdr>
        <w:top w:val="none" w:sz="0" w:space="0" w:color="auto"/>
        <w:left w:val="none" w:sz="0" w:space="0" w:color="auto"/>
        <w:bottom w:val="none" w:sz="0" w:space="0" w:color="auto"/>
        <w:right w:val="none" w:sz="0" w:space="0" w:color="auto"/>
      </w:divBdr>
    </w:div>
    <w:div w:id="1063061466">
      <w:bodyDiv w:val="1"/>
      <w:marLeft w:val="0"/>
      <w:marRight w:val="0"/>
      <w:marTop w:val="0"/>
      <w:marBottom w:val="0"/>
      <w:divBdr>
        <w:top w:val="none" w:sz="0" w:space="0" w:color="auto"/>
        <w:left w:val="none" w:sz="0" w:space="0" w:color="auto"/>
        <w:bottom w:val="none" w:sz="0" w:space="0" w:color="auto"/>
        <w:right w:val="none" w:sz="0" w:space="0" w:color="auto"/>
      </w:divBdr>
    </w:div>
    <w:div w:id="1068530888">
      <w:bodyDiv w:val="1"/>
      <w:marLeft w:val="0"/>
      <w:marRight w:val="0"/>
      <w:marTop w:val="0"/>
      <w:marBottom w:val="0"/>
      <w:divBdr>
        <w:top w:val="none" w:sz="0" w:space="0" w:color="auto"/>
        <w:left w:val="none" w:sz="0" w:space="0" w:color="auto"/>
        <w:bottom w:val="none" w:sz="0" w:space="0" w:color="auto"/>
        <w:right w:val="none" w:sz="0" w:space="0" w:color="auto"/>
      </w:divBdr>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
    <w:div w:id="1090270265">
      <w:bodyDiv w:val="1"/>
      <w:marLeft w:val="0"/>
      <w:marRight w:val="0"/>
      <w:marTop w:val="0"/>
      <w:marBottom w:val="0"/>
      <w:divBdr>
        <w:top w:val="none" w:sz="0" w:space="0" w:color="auto"/>
        <w:left w:val="none" w:sz="0" w:space="0" w:color="auto"/>
        <w:bottom w:val="none" w:sz="0" w:space="0" w:color="auto"/>
        <w:right w:val="none" w:sz="0" w:space="0" w:color="auto"/>
      </w:divBdr>
    </w:div>
    <w:div w:id="1123110343">
      <w:bodyDiv w:val="1"/>
      <w:marLeft w:val="0"/>
      <w:marRight w:val="0"/>
      <w:marTop w:val="0"/>
      <w:marBottom w:val="0"/>
      <w:divBdr>
        <w:top w:val="none" w:sz="0" w:space="0" w:color="auto"/>
        <w:left w:val="none" w:sz="0" w:space="0" w:color="auto"/>
        <w:bottom w:val="none" w:sz="0" w:space="0" w:color="auto"/>
        <w:right w:val="none" w:sz="0" w:space="0" w:color="auto"/>
      </w:divBdr>
    </w:div>
    <w:div w:id="1134173586">
      <w:bodyDiv w:val="1"/>
      <w:marLeft w:val="0"/>
      <w:marRight w:val="0"/>
      <w:marTop w:val="0"/>
      <w:marBottom w:val="0"/>
      <w:divBdr>
        <w:top w:val="none" w:sz="0" w:space="0" w:color="auto"/>
        <w:left w:val="none" w:sz="0" w:space="0" w:color="auto"/>
        <w:bottom w:val="none" w:sz="0" w:space="0" w:color="auto"/>
        <w:right w:val="none" w:sz="0" w:space="0" w:color="auto"/>
      </w:divBdr>
    </w:div>
    <w:div w:id="1157767133">
      <w:bodyDiv w:val="1"/>
      <w:marLeft w:val="0"/>
      <w:marRight w:val="0"/>
      <w:marTop w:val="0"/>
      <w:marBottom w:val="0"/>
      <w:divBdr>
        <w:top w:val="none" w:sz="0" w:space="0" w:color="auto"/>
        <w:left w:val="none" w:sz="0" w:space="0" w:color="auto"/>
        <w:bottom w:val="none" w:sz="0" w:space="0" w:color="auto"/>
        <w:right w:val="none" w:sz="0" w:space="0" w:color="auto"/>
      </w:divBdr>
    </w:div>
    <w:div w:id="1164516241">
      <w:bodyDiv w:val="1"/>
      <w:marLeft w:val="0"/>
      <w:marRight w:val="0"/>
      <w:marTop w:val="0"/>
      <w:marBottom w:val="0"/>
      <w:divBdr>
        <w:top w:val="none" w:sz="0" w:space="0" w:color="auto"/>
        <w:left w:val="none" w:sz="0" w:space="0" w:color="auto"/>
        <w:bottom w:val="none" w:sz="0" w:space="0" w:color="auto"/>
        <w:right w:val="none" w:sz="0" w:space="0" w:color="auto"/>
      </w:divBdr>
    </w:div>
    <w:div w:id="1210916564">
      <w:bodyDiv w:val="1"/>
      <w:marLeft w:val="0"/>
      <w:marRight w:val="0"/>
      <w:marTop w:val="0"/>
      <w:marBottom w:val="0"/>
      <w:divBdr>
        <w:top w:val="none" w:sz="0" w:space="0" w:color="auto"/>
        <w:left w:val="none" w:sz="0" w:space="0" w:color="auto"/>
        <w:bottom w:val="none" w:sz="0" w:space="0" w:color="auto"/>
        <w:right w:val="none" w:sz="0" w:space="0" w:color="auto"/>
      </w:divBdr>
    </w:div>
    <w:div w:id="1269464663">
      <w:bodyDiv w:val="1"/>
      <w:marLeft w:val="0"/>
      <w:marRight w:val="0"/>
      <w:marTop w:val="0"/>
      <w:marBottom w:val="0"/>
      <w:divBdr>
        <w:top w:val="none" w:sz="0" w:space="0" w:color="auto"/>
        <w:left w:val="none" w:sz="0" w:space="0" w:color="auto"/>
        <w:bottom w:val="none" w:sz="0" w:space="0" w:color="auto"/>
        <w:right w:val="none" w:sz="0" w:space="0" w:color="auto"/>
      </w:divBdr>
    </w:div>
    <w:div w:id="1325164848">
      <w:bodyDiv w:val="1"/>
      <w:marLeft w:val="0"/>
      <w:marRight w:val="0"/>
      <w:marTop w:val="0"/>
      <w:marBottom w:val="0"/>
      <w:divBdr>
        <w:top w:val="none" w:sz="0" w:space="0" w:color="auto"/>
        <w:left w:val="none" w:sz="0" w:space="0" w:color="auto"/>
        <w:bottom w:val="none" w:sz="0" w:space="0" w:color="auto"/>
        <w:right w:val="none" w:sz="0" w:space="0" w:color="auto"/>
      </w:divBdr>
    </w:div>
    <w:div w:id="1380662052">
      <w:bodyDiv w:val="1"/>
      <w:marLeft w:val="0"/>
      <w:marRight w:val="0"/>
      <w:marTop w:val="0"/>
      <w:marBottom w:val="0"/>
      <w:divBdr>
        <w:top w:val="none" w:sz="0" w:space="0" w:color="auto"/>
        <w:left w:val="none" w:sz="0" w:space="0" w:color="auto"/>
        <w:bottom w:val="none" w:sz="0" w:space="0" w:color="auto"/>
        <w:right w:val="none" w:sz="0" w:space="0" w:color="auto"/>
      </w:divBdr>
    </w:div>
    <w:div w:id="1382557374">
      <w:bodyDiv w:val="1"/>
      <w:marLeft w:val="0"/>
      <w:marRight w:val="0"/>
      <w:marTop w:val="0"/>
      <w:marBottom w:val="0"/>
      <w:divBdr>
        <w:top w:val="none" w:sz="0" w:space="0" w:color="auto"/>
        <w:left w:val="none" w:sz="0" w:space="0" w:color="auto"/>
        <w:bottom w:val="none" w:sz="0" w:space="0" w:color="auto"/>
        <w:right w:val="none" w:sz="0" w:space="0" w:color="auto"/>
      </w:divBdr>
    </w:div>
    <w:div w:id="1396660564">
      <w:bodyDiv w:val="1"/>
      <w:marLeft w:val="0"/>
      <w:marRight w:val="0"/>
      <w:marTop w:val="0"/>
      <w:marBottom w:val="0"/>
      <w:divBdr>
        <w:top w:val="none" w:sz="0" w:space="0" w:color="auto"/>
        <w:left w:val="none" w:sz="0" w:space="0" w:color="auto"/>
        <w:bottom w:val="none" w:sz="0" w:space="0" w:color="auto"/>
        <w:right w:val="none" w:sz="0" w:space="0" w:color="auto"/>
      </w:divBdr>
    </w:div>
    <w:div w:id="1434670263">
      <w:bodyDiv w:val="1"/>
      <w:marLeft w:val="0"/>
      <w:marRight w:val="0"/>
      <w:marTop w:val="0"/>
      <w:marBottom w:val="0"/>
      <w:divBdr>
        <w:top w:val="none" w:sz="0" w:space="0" w:color="auto"/>
        <w:left w:val="none" w:sz="0" w:space="0" w:color="auto"/>
        <w:bottom w:val="none" w:sz="0" w:space="0" w:color="auto"/>
        <w:right w:val="none" w:sz="0" w:space="0" w:color="auto"/>
      </w:divBdr>
    </w:div>
    <w:div w:id="1435442794">
      <w:bodyDiv w:val="1"/>
      <w:marLeft w:val="0"/>
      <w:marRight w:val="0"/>
      <w:marTop w:val="0"/>
      <w:marBottom w:val="0"/>
      <w:divBdr>
        <w:top w:val="none" w:sz="0" w:space="0" w:color="auto"/>
        <w:left w:val="none" w:sz="0" w:space="0" w:color="auto"/>
        <w:bottom w:val="none" w:sz="0" w:space="0" w:color="auto"/>
        <w:right w:val="none" w:sz="0" w:space="0" w:color="auto"/>
      </w:divBdr>
    </w:div>
    <w:div w:id="1440636242">
      <w:bodyDiv w:val="1"/>
      <w:marLeft w:val="0"/>
      <w:marRight w:val="0"/>
      <w:marTop w:val="0"/>
      <w:marBottom w:val="0"/>
      <w:divBdr>
        <w:top w:val="none" w:sz="0" w:space="0" w:color="auto"/>
        <w:left w:val="none" w:sz="0" w:space="0" w:color="auto"/>
        <w:bottom w:val="none" w:sz="0" w:space="0" w:color="auto"/>
        <w:right w:val="none" w:sz="0" w:space="0" w:color="auto"/>
      </w:divBdr>
    </w:div>
    <w:div w:id="1462262959">
      <w:bodyDiv w:val="1"/>
      <w:marLeft w:val="0"/>
      <w:marRight w:val="0"/>
      <w:marTop w:val="0"/>
      <w:marBottom w:val="0"/>
      <w:divBdr>
        <w:top w:val="none" w:sz="0" w:space="0" w:color="auto"/>
        <w:left w:val="none" w:sz="0" w:space="0" w:color="auto"/>
        <w:bottom w:val="none" w:sz="0" w:space="0" w:color="auto"/>
        <w:right w:val="none" w:sz="0" w:space="0" w:color="auto"/>
      </w:divBdr>
    </w:div>
    <w:div w:id="1490751581">
      <w:bodyDiv w:val="1"/>
      <w:marLeft w:val="0"/>
      <w:marRight w:val="0"/>
      <w:marTop w:val="0"/>
      <w:marBottom w:val="0"/>
      <w:divBdr>
        <w:top w:val="none" w:sz="0" w:space="0" w:color="auto"/>
        <w:left w:val="none" w:sz="0" w:space="0" w:color="auto"/>
        <w:bottom w:val="none" w:sz="0" w:space="0" w:color="auto"/>
        <w:right w:val="none" w:sz="0" w:space="0" w:color="auto"/>
      </w:divBdr>
    </w:div>
    <w:div w:id="1508908873">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49341527">
      <w:bodyDiv w:val="1"/>
      <w:marLeft w:val="0"/>
      <w:marRight w:val="0"/>
      <w:marTop w:val="0"/>
      <w:marBottom w:val="0"/>
      <w:divBdr>
        <w:top w:val="none" w:sz="0" w:space="0" w:color="auto"/>
        <w:left w:val="none" w:sz="0" w:space="0" w:color="auto"/>
        <w:bottom w:val="none" w:sz="0" w:space="0" w:color="auto"/>
        <w:right w:val="none" w:sz="0" w:space="0" w:color="auto"/>
      </w:divBdr>
    </w:div>
    <w:div w:id="1574702213">
      <w:bodyDiv w:val="1"/>
      <w:marLeft w:val="0"/>
      <w:marRight w:val="0"/>
      <w:marTop w:val="0"/>
      <w:marBottom w:val="0"/>
      <w:divBdr>
        <w:top w:val="none" w:sz="0" w:space="0" w:color="auto"/>
        <w:left w:val="none" w:sz="0" w:space="0" w:color="auto"/>
        <w:bottom w:val="none" w:sz="0" w:space="0" w:color="auto"/>
        <w:right w:val="none" w:sz="0" w:space="0" w:color="auto"/>
      </w:divBdr>
    </w:div>
    <w:div w:id="157732099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6054949">
      <w:bodyDiv w:val="1"/>
      <w:marLeft w:val="0"/>
      <w:marRight w:val="0"/>
      <w:marTop w:val="0"/>
      <w:marBottom w:val="0"/>
      <w:divBdr>
        <w:top w:val="none" w:sz="0" w:space="0" w:color="auto"/>
        <w:left w:val="none" w:sz="0" w:space="0" w:color="auto"/>
        <w:bottom w:val="none" w:sz="0" w:space="0" w:color="auto"/>
        <w:right w:val="none" w:sz="0" w:space="0" w:color="auto"/>
      </w:divBdr>
    </w:div>
    <w:div w:id="1625773986">
      <w:bodyDiv w:val="1"/>
      <w:marLeft w:val="0"/>
      <w:marRight w:val="0"/>
      <w:marTop w:val="0"/>
      <w:marBottom w:val="0"/>
      <w:divBdr>
        <w:top w:val="none" w:sz="0" w:space="0" w:color="auto"/>
        <w:left w:val="none" w:sz="0" w:space="0" w:color="auto"/>
        <w:bottom w:val="none" w:sz="0" w:space="0" w:color="auto"/>
        <w:right w:val="none" w:sz="0" w:space="0" w:color="auto"/>
      </w:divBdr>
    </w:div>
    <w:div w:id="1636908301">
      <w:bodyDiv w:val="1"/>
      <w:marLeft w:val="0"/>
      <w:marRight w:val="0"/>
      <w:marTop w:val="0"/>
      <w:marBottom w:val="0"/>
      <w:divBdr>
        <w:top w:val="none" w:sz="0" w:space="0" w:color="auto"/>
        <w:left w:val="none" w:sz="0" w:space="0" w:color="auto"/>
        <w:bottom w:val="none" w:sz="0" w:space="0" w:color="auto"/>
        <w:right w:val="none" w:sz="0" w:space="0" w:color="auto"/>
      </w:divBdr>
      <w:divsChild>
        <w:div w:id="365787953">
          <w:marLeft w:val="0"/>
          <w:marRight w:val="0"/>
          <w:marTop w:val="0"/>
          <w:marBottom w:val="0"/>
          <w:divBdr>
            <w:top w:val="none" w:sz="0" w:space="0" w:color="auto"/>
            <w:left w:val="none" w:sz="0" w:space="0" w:color="auto"/>
            <w:bottom w:val="none" w:sz="0" w:space="0" w:color="auto"/>
            <w:right w:val="none" w:sz="0" w:space="0" w:color="auto"/>
          </w:divBdr>
        </w:div>
        <w:div w:id="683871465">
          <w:marLeft w:val="0"/>
          <w:marRight w:val="0"/>
          <w:marTop w:val="0"/>
          <w:marBottom w:val="0"/>
          <w:divBdr>
            <w:top w:val="none" w:sz="0" w:space="0" w:color="auto"/>
            <w:left w:val="none" w:sz="0" w:space="0" w:color="auto"/>
            <w:bottom w:val="none" w:sz="0" w:space="0" w:color="auto"/>
            <w:right w:val="none" w:sz="0" w:space="0" w:color="auto"/>
          </w:divBdr>
        </w:div>
      </w:divsChild>
    </w:div>
    <w:div w:id="1639844252">
      <w:bodyDiv w:val="1"/>
      <w:marLeft w:val="0"/>
      <w:marRight w:val="0"/>
      <w:marTop w:val="0"/>
      <w:marBottom w:val="0"/>
      <w:divBdr>
        <w:top w:val="none" w:sz="0" w:space="0" w:color="auto"/>
        <w:left w:val="none" w:sz="0" w:space="0" w:color="auto"/>
        <w:bottom w:val="none" w:sz="0" w:space="0" w:color="auto"/>
        <w:right w:val="none" w:sz="0" w:space="0" w:color="auto"/>
      </w:divBdr>
    </w:div>
    <w:div w:id="1644118101">
      <w:bodyDiv w:val="1"/>
      <w:marLeft w:val="0"/>
      <w:marRight w:val="0"/>
      <w:marTop w:val="0"/>
      <w:marBottom w:val="0"/>
      <w:divBdr>
        <w:top w:val="none" w:sz="0" w:space="0" w:color="auto"/>
        <w:left w:val="none" w:sz="0" w:space="0" w:color="auto"/>
        <w:bottom w:val="none" w:sz="0" w:space="0" w:color="auto"/>
        <w:right w:val="none" w:sz="0" w:space="0" w:color="auto"/>
      </w:divBdr>
    </w:div>
    <w:div w:id="1685591906">
      <w:bodyDiv w:val="1"/>
      <w:marLeft w:val="0"/>
      <w:marRight w:val="0"/>
      <w:marTop w:val="0"/>
      <w:marBottom w:val="0"/>
      <w:divBdr>
        <w:top w:val="none" w:sz="0" w:space="0" w:color="auto"/>
        <w:left w:val="none" w:sz="0" w:space="0" w:color="auto"/>
        <w:bottom w:val="none" w:sz="0" w:space="0" w:color="auto"/>
        <w:right w:val="none" w:sz="0" w:space="0" w:color="auto"/>
      </w:divBdr>
    </w:div>
    <w:div w:id="1688633271">
      <w:bodyDiv w:val="1"/>
      <w:marLeft w:val="0"/>
      <w:marRight w:val="0"/>
      <w:marTop w:val="0"/>
      <w:marBottom w:val="0"/>
      <w:divBdr>
        <w:top w:val="none" w:sz="0" w:space="0" w:color="auto"/>
        <w:left w:val="none" w:sz="0" w:space="0" w:color="auto"/>
        <w:bottom w:val="none" w:sz="0" w:space="0" w:color="auto"/>
        <w:right w:val="none" w:sz="0" w:space="0" w:color="auto"/>
      </w:divBdr>
    </w:div>
    <w:div w:id="1708096723">
      <w:bodyDiv w:val="1"/>
      <w:marLeft w:val="0"/>
      <w:marRight w:val="0"/>
      <w:marTop w:val="0"/>
      <w:marBottom w:val="0"/>
      <w:divBdr>
        <w:top w:val="none" w:sz="0" w:space="0" w:color="auto"/>
        <w:left w:val="none" w:sz="0" w:space="0" w:color="auto"/>
        <w:bottom w:val="none" w:sz="0" w:space="0" w:color="auto"/>
        <w:right w:val="none" w:sz="0" w:space="0" w:color="auto"/>
      </w:divBdr>
    </w:div>
    <w:div w:id="1722291335">
      <w:bodyDiv w:val="1"/>
      <w:marLeft w:val="0"/>
      <w:marRight w:val="0"/>
      <w:marTop w:val="0"/>
      <w:marBottom w:val="0"/>
      <w:divBdr>
        <w:top w:val="none" w:sz="0" w:space="0" w:color="auto"/>
        <w:left w:val="none" w:sz="0" w:space="0" w:color="auto"/>
        <w:bottom w:val="none" w:sz="0" w:space="0" w:color="auto"/>
        <w:right w:val="none" w:sz="0" w:space="0" w:color="auto"/>
      </w:divBdr>
    </w:div>
    <w:div w:id="1732458796">
      <w:bodyDiv w:val="1"/>
      <w:marLeft w:val="0"/>
      <w:marRight w:val="0"/>
      <w:marTop w:val="0"/>
      <w:marBottom w:val="0"/>
      <w:divBdr>
        <w:top w:val="none" w:sz="0" w:space="0" w:color="auto"/>
        <w:left w:val="none" w:sz="0" w:space="0" w:color="auto"/>
        <w:bottom w:val="none" w:sz="0" w:space="0" w:color="auto"/>
        <w:right w:val="none" w:sz="0" w:space="0" w:color="auto"/>
      </w:divBdr>
    </w:div>
    <w:div w:id="1742219165">
      <w:bodyDiv w:val="1"/>
      <w:marLeft w:val="0"/>
      <w:marRight w:val="0"/>
      <w:marTop w:val="0"/>
      <w:marBottom w:val="0"/>
      <w:divBdr>
        <w:top w:val="none" w:sz="0" w:space="0" w:color="auto"/>
        <w:left w:val="none" w:sz="0" w:space="0" w:color="auto"/>
        <w:bottom w:val="none" w:sz="0" w:space="0" w:color="auto"/>
        <w:right w:val="none" w:sz="0" w:space="0" w:color="auto"/>
      </w:divBdr>
    </w:div>
    <w:div w:id="1795706815">
      <w:bodyDiv w:val="1"/>
      <w:marLeft w:val="0"/>
      <w:marRight w:val="0"/>
      <w:marTop w:val="0"/>
      <w:marBottom w:val="0"/>
      <w:divBdr>
        <w:top w:val="none" w:sz="0" w:space="0" w:color="auto"/>
        <w:left w:val="none" w:sz="0" w:space="0" w:color="auto"/>
        <w:bottom w:val="none" w:sz="0" w:space="0" w:color="auto"/>
        <w:right w:val="none" w:sz="0" w:space="0" w:color="auto"/>
      </w:divBdr>
    </w:div>
    <w:div w:id="1800565558">
      <w:bodyDiv w:val="1"/>
      <w:marLeft w:val="0"/>
      <w:marRight w:val="0"/>
      <w:marTop w:val="0"/>
      <w:marBottom w:val="0"/>
      <w:divBdr>
        <w:top w:val="none" w:sz="0" w:space="0" w:color="auto"/>
        <w:left w:val="none" w:sz="0" w:space="0" w:color="auto"/>
        <w:bottom w:val="none" w:sz="0" w:space="0" w:color="auto"/>
        <w:right w:val="none" w:sz="0" w:space="0" w:color="auto"/>
      </w:divBdr>
    </w:div>
    <w:div w:id="1804351494">
      <w:bodyDiv w:val="1"/>
      <w:marLeft w:val="0"/>
      <w:marRight w:val="0"/>
      <w:marTop w:val="0"/>
      <w:marBottom w:val="0"/>
      <w:divBdr>
        <w:top w:val="none" w:sz="0" w:space="0" w:color="auto"/>
        <w:left w:val="none" w:sz="0" w:space="0" w:color="auto"/>
        <w:bottom w:val="none" w:sz="0" w:space="0" w:color="auto"/>
        <w:right w:val="none" w:sz="0" w:space="0" w:color="auto"/>
      </w:divBdr>
    </w:div>
    <w:div w:id="1858734406">
      <w:bodyDiv w:val="1"/>
      <w:marLeft w:val="0"/>
      <w:marRight w:val="0"/>
      <w:marTop w:val="0"/>
      <w:marBottom w:val="0"/>
      <w:divBdr>
        <w:top w:val="none" w:sz="0" w:space="0" w:color="auto"/>
        <w:left w:val="none" w:sz="0" w:space="0" w:color="auto"/>
        <w:bottom w:val="none" w:sz="0" w:space="0" w:color="auto"/>
        <w:right w:val="none" w:sz="0" w:space="0" w:color="auto"/>
      </w:divBdr>
    </w:div>
    <w:div w:id="1868441285">
      <w:bodyDiv w:val="1"/>
      <w:marLeft w:val="0"/>
      <w:marRight w:val="0"/>
      <w:marTop w:val="0"/>
      <w:marBottom w:val="0"/>
      <w:divBdr>
        <w:top w:val="none" w:sz="0" w:space="0" w:color="auto"/>
        <w:left w:val="none" w:sz="0" w:space="0" w:color="auto"/>
        <w:bottom w:val="none" w:sz="0" w:space="0" w:color="auto"/>
        <w:right w:val="none" w:sz="0" w:space="0" w:color="auto"/>
      </w:divBdr>
    </w:div>
    <w:div w:id="1888492704">
      <w:bodyDiv w:val="1"/>
      <w:marLeft w:val="0"/>
      <w:marRight w:val="0"/>
      <w:marTop w:val="0"/>
      <w:marBottom w:val="0"/>
      <w:divBdr>
        <w:top w:val="none" w:sz="0" w:space="0" w:color="auto"/>
        <w:left w:val="none" w:sz="0" w:space="0" w:color="auto"/>
        <w:bottom w:val="none" w:sz="0" w:space="0" w:color="auto"/>
        <w:right w:val="none" w:sz="0" w:space="0" w:color="auto"/>
      </w:divBdr>
    </w:div>
    <w:div w:id="1963073699">
      <w:bodyDiv w:val="1"/>
      <w:marLeft w:val="0"/>
      <w:marRight w:val="0"/>
      <w:marTop w:val="0"/>
      <w:marBottom w:val="0"/>
      <w:divBdr>
        <w:top w:val="none" w:sz="0" w:space="0" w:color="auto"/>
        <w:left w:val="none" w:sz="0" w:space="0" w:color="auto"/>
        <w:bottom w:val="none" w:sz="0" w:space="0" w:color="auto"/>
        <w:right w:val="none" w:sz="0" w:space="0" w:color="auto"/>
      </w:divBdr>
    </w:div>
    <w:div w:id="1979526377">
      <w:bodyDiv w:val="1"/>
      <w:marLeft w:val="0"/>
      <w:marRight w:val="0"/>
      <w:marTop w:val="0"/>
      <w:marBottom w:val="0"/>
      <w:divBdr>
        <w:top w:val="none" w:sz="0" w:space="0" w:color="auto"/>
        <w:left w:val="none" w:sz="0" w:space="0" w:color="auto"/>
        <w:bottom w:val="none" w:sz="0" w:space="0" w:color="auto"/>
        <w:right w:val="none" w:sz="0" w:space="0" w:color="auto"/>
      </w:divBdr>
      <w:divsChild>
        <w:div w:id="615329750">
          <w:marLeft w:val="0"/>
          <w:marRight w:val="0"/>
          <w:marTop w:val="0"/>
          <w:marBottom w:val="0"/>
          <w:divBdr>
            <w:top w:val="none" w:sz="0" w:space="0" w:color="auto"/>
            <w:left w:val="none" w:sz="0" w:space="0" w:color="auto"/>
            <w:bottom w:val="none" w:sz="0" w:space="0" w:color="auto"/>
            <w:right w:val="none" w:sz="0" w:space="0" w:color="auto"/>
          </w:divBdr>
        </w:div>
        <w:div w:id="1205753497">
          <w:marLeft w:val="0"/>
          <w:marRight w:val="0"/>
          <w:marTop w:val="0"/>
          <w:marBottom w:val="0"/>
          <w:divBdr>
            <w:top w:val="none" w:sz="0" w:space="0" w:color="auto"/>
            <w:left w:val="none" w:sz="0" w:space="0" w:color="auto"/>
            <w:bottom w:val="none" w:sz="0" w:space="0" w:color="auto"/>
            <w:right w:val="none" w:sz="0" w:space="0" w:color="auto"/>
          </w:divBdr>
        </w:div>
        <w:div w:id="1510291513">
          <w:marLeft w:val="0"/>
          <w:marRight w:val="0"/>
          <w:marTop w:val="0"/>
          <w:marBottom w:val="0"/>
          <w:divBdr>
            <w:top w:val="none" w:sz="0" w:space="0" w:color="auto"/>
            <w:left w:val="none" w:sz="0" w:space="0" w:color="auto"/>
            <w:bottom w:val="none" w:sz="0" w:space="0" w:color="auto"/>
            <w:right w:val="none" w:sz="0" w:space="0" w:color="auto"/>
          </w:divBdr>
        </w:div>
      </w:divsChild>
    </w:div>
    <w:div w:id="1985310166">
      <w:bodyDiv w:val="1"/>
      <w:marLeft w:val="0"/>
      <w:marRight w:val="0"/>
      <w:marTop w:val="0"/>
      <w:marBottom w:val="0"/>
      <w:divBdr>
        <w:top w:val="none" w:sz="0" w:space="0" w:color="auto"/>
        <w:left w:val="none" w:sz="0" w:space="0" w:color="auto"/>
        <w:bottom w:val="none" w:sz="0" w:space="0" w:color="auto"/>
        <w:right w:val="none" w:sz="0" w:space="0" w:color="auto"/>
      </w:divBdr>
    </w:div>
    <w:div w:id="2046245444">
      <w:bodyDiv w:val="1"/>
      <w:marLeft w:val="0"/>
      <w:marRight w:val="0"/>
      <w:marTop w:val="0"/>
      <w:marBottom w:val="0"/>
      <w:divBdr>
        <w:top w:val="none" w:sz="0" w:space="0" w:color="auto"/>
        <w:left w:val="none" w:sz="0" w:space="0" w:color="auto"/>
        <w:bottom w:val="none" w:sz="0" w:space="0" w:color="auto"/>
        <w:right w:val="none" w:sz="0" w:space="0" w:color="auto"/>
      </w:divBdr>
    </w:div>
    <w:div w:id="2076967632">
      <w:bodyDiv w:val="1"/>
      <w:marLeft w:val="0"/>
      <w:marRight w:val="0"/>
      <w:marTop w:val="0"/>
      <w:marBottom w:val="0"/>
      <w:divBdr>
        <w:top w:val="none" w:sz="0" w:space="0" w:color="auto"/>
        <w:left w:val="none" w:sz="0" w:space="0" w:color="auto"/>
        <w:bottom w:val="none" w:sz="0" w:space="0" w:color="auto"/>
        <w:right w:val="none" w:sz="0" w:space="0" w:color="auto"/>
      </w:divBdr>
    </w:div>
    <w:div w:id="2085835001">
      <w:bodyDiv w:val="1"/>
      <w:marLeft w:val="0"/>
      <w:marRight w:val="0"/>
      <w:marTop w:val="0"/>
      <w:marBottom w:val="0"/>
      <w:divBdr>
        <w:top w:val="none" w:sz="0" w:space="0" w:color="auto"/>
        <w:left w:val="none" w:sz="0" w:space="0" w:color="auto"/>
        <w:bottom w:val="none" w:sz="0" w:space="0" w:color="auto"/>
        <w:right w:val="none" w:sz="0" w:space="0" w:color="auto"/>
      </w:divBdr>
    </w:div>
    <w:div w:id="2111974854">
      <w:bodyDiv w:val="1"/>
      <w:marLeft w:val="0"/>
      <w:marRight w:val="0"/>
      <w:marTop w:val="0"/>
      <w:marBottom w:val="0"/>
      <w:divBdr>
        <w:top w:val="none" w:sz="0" w:space="0" w:color="auto"/>
        <w:left w:val="none" w:sz="0" w:space="0" w:color="auto"/>
        <w:bottom w:val="none" w:sz="0" w:space="0" w:color="auto"/>
        <w:right w:val="none" w:sz="0" w:space="0" w:color="auto"/>
      </w:divBdr>
    </w:div>
    <w:div w:id="2123260998">
      <w:bodyDiv w:val="1"/>
      <w:marLeft w:val="0"/>
      <w:marRight w:val="0"/>
      <w:marTop w:val="0"/>
      <w:marBottom w:val="0"/>
      <w:divBdr>
        <w:top w:val="none" w:sz="0" w:space="0" w:color="auto"/>
        <w:left w:val="none" w:sz="0" w:space="0" w:color="auto"/>
        <w:bottom w:val="none" w:sz="0" w:space="0" w:color="auto"/>
        <w:right w:val="none" w:sz="0" w:space="0" w:color="auto"/>
      </w:divBdr>
    </w:div>
    <w:div w:id="21296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56eab7-9d42-4558-9a74-ca95c997a60f">
      <UserInfo>
        <DisplayName/>
        <AccountId xsi:nil="true"/>
        <AccountType/>
      </UserInfo>
    </SharedWithUsers>
    <MediaLengthInSeconds xmlns="45174d63-3446-4e47-ae13-d76361e922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9A33663E67AC042B86A33682842C750" ma:contentTypeVersion="7" ma:contentTypeDescription="Crear nuevo documento." ma:contentTypeScope="" ma:versionID="d9c727d4f81f63aa22672bc90b68bf74">
  <xsd:schema xmlns:xsd="http://www.w3.org/2001/XMLSchema" xmlns:xs="http://www.w3.org/2001/XMLSchema" xmlns:p="http://schemas.microsoft.com/office/2006/metadata/properties" xmlns:ns2="45174d63-3446-4e47-ae13-d76361e92280" xmlns:ns3="4b56eab7-9d42-4558-9a74-ca95c997a60f" targetNamespace="http://schemas.microsoft.com/office/2006/metadata/properties" ma:root="true" ma:fieldsID="101124b3e638f261a385cd2857d03723" ns2:_="" ns3:_="">
    <xsd:import namespace="45174d63-3446-4e47-ae13-d76361e92280"/>
    <xsd:import namespace="4b56eab7-9d42-4558-9a74-ca95c997a6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74d63-3446-4e47-ae13-d76361e92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6eab7-9d42-4558-9a74-ca95c997a60f"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75FE4-DCDF-47DD-A230-D41533FA5328}">
  <ds:schemaRefs>
    <ds:schemaRef ds:uri="http://schemas.microsoft.com/office/2006/metadata/properties"/>
    <ds:schemaRef ds:uri="http://schemas.microsoft.com/office/infopath/2007/PartnerControls"/>
    <ds:schemaRef ds:uri="4b56eab7-9d42-4558-9a74-ca95c997a60f"/>
    <ds:schemaRef ds:uri="45174d63-3446-4e47-ae13-d76361e92280"/>
  </ds:schemaRefs>
</ds:datastoreItem>
</file>

<file path=customXml/itemProps2.xml><?xml version="1.0" encoding="utf-8"?>
<ds:datastoreItem xmlns:ds="http://schemas.openxmlformats.org/officeDocument/2006/customXml" ds:itemID="{83C774A6-30C1-4A8E-8163-3A2D7A5DD8AE}">
  <ds:schemaRefs>
    <ds:schemaRef ds:uri="http://schemas.openxmlformats.org/officeDocument/2006/bibliography"/>
  </ds:schemaRefs>
</ds:datastoreItem>
</file>

<file path=customXml/itemProps3.xml><?xml version="1.0" encoding="utf-8"?>
<ds:datastoreItem xmlns:ds="http://schemas.openxmlformats.org/officeDocument/2006/customXml" ds:itemID="{CD5A1441-EA31-4C84-B0EA-BAAF5E581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74d63-3446-4e47-ae13-d76361e92280"/>
    <ds:schemaRef ds:uri="4b56eab7-9d42-4558-9a74-ca95c997a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442D7-A241-4573-9C7A-97DE5ED4E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3465</Words>
  <Characters>19062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jmoranteg@consejodeestado.gov.co</dc:creator>
  <cp:keywords/>
  <dc:description/>
  <cp:lastModifiedBy>contratacione en linea</cp:lastModifiedBy>
  <cp:revision>2</cp:revision>
  <dcterms:created xsi:type="dcterms:W3CDTF">2022-01-31T17:44:00Z</dcterms:created>
  <dcterms:modified xsi:type="dcterms:W3CDTF">2022-01-31T17:44:00Z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0x01010069A33663E67AC042B86A33682842C750</vt:lpwstr>
  </property>
  <property fmtid="{D5CDD505-2E9C-101B-9397-08002B2CF9AE}" pid="3" name="Order">
    <vt:r8>248300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