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A096" w14:textId="77777777" w:rsidR="00EE1C2D" w:rsidRPr="00EE1C2D" w:rsidRDefault="00EE1C2D" w:rsidP="00EE1C2D">
      <w:pPr>
        <w:spacing w:after="0" w:line="240" w:lineRule="auto"/>
        <w:jc w:val="both"/>
        <w:rPr>
          <w:rFonts w:ascii="Arial" w:eastAsia="Calibri" w:hAnsi="Arial" w:cs="Arial"/>
          <w:b/>
          <w:sz w:val="24"/>
          <w:szCs w:val="24"/>
        </w:rPr>
      </w:pPr>
      <w:r w:rsidRPr="00EE1C2D">
        <w:rPr>
          <w:rFonts w:ascii="Arial" w:eastAsia="Calibri" w:hAnsi="Arial" w:cs="Arial"/>
          <w:b/>
          <w:sz w:val="24"/>
          <w:szCs w:val="24"/>
        </w:rPr>
        <w:t xml:space="preserve">CONTROVERSIAS CONTRACTUALES </w:t>
      </w:r>
      <w:r>
        <w:rPr>
          <w:rFonts w:ascii="Arial" w:eastAsia="Calibri" w:hAnsi="Arial" w:cs="Arial"/>
          <w:b/>
          <w:sz w:val="24"/>
          <w:szCs w:val="24"/>
        </w:rPr>
        <w:t>- Fallo Inhibitorio</w:t>
      </w:r>
    </w:p>
    <w:p w14:paraId="1CCE8B30" w14:textId="77777777" w:rsidR="00EE1C2D" w:rsidRPr="00EE1C2D" w:rsidRDefault="00EE1C2D" w:rsidP="00EE1C2D">
      <w:pPr>
        <w:spacing w:after="0" w:line="240" w:lineRule="auto"/>
        <w:jc w:val="both"/>
        <w:rPr>
          <w:rFonts w:ascii="Arial" w:eastAsia="Calibri" w:hAnsi="Arial" w:cs="Arial"/>
          <w:b/>
          <w:sz w:val="24"/>
          <w:szCs w:val="24"/>
        </w:rPr>
      </w:pPr>
    </w:p>
    <w:p w14:paraId="3ABE6B1B" w14:textId="77777777" w:rsidR="00EE1C2D" w:rsidRPr="00EE1C2D" w:rsidRDefault="00EE1C2D" w:rsidP="00EE1C2D">
      <w:pPr>
        <w:spacing w:after="0" w:line="240" w:lineRule="auto"/>
        <w:jc w:val="both"/>
        <w:rPr>
          <w:rFonts w:ascii="Arial" w:eastAsia="Calibri" w:hAnsi="Arial" w:cs="Arial"/>
          <w:b/>
          <w:sz w:val="24"/>
          <w:szCs w:val="24"/>
        </w:rPr>
      </w:pPr>
      <w:r w:rsidRPr="00EE1C2D">
        <w:rPr>
          <w:rFonts w:ascii="Arial" w:eastAsia="Calibri" w:hAnsi="Arial" w:cs="Arial"/>
          <w:b/>
          <w:sz w:val="24"/>
          <w:szCs w:val="24"/>
        </w:rPr>
        <w:t>VIGENCIA - Aplicación de las normas en el tiempo / CADUCIDAD DE LA ACCIÓN DE CONTROVERSIAS CONTRACTUALES - Normatividad aplicable</w:t>
      </w:r>
    </w:p>
    <w:p w14:paraId="361FCD44" w14:textId="77777777" w:rsidR="00EE1C2D" w:rsidRPr="00EE1C2D" w:rsidRDefault="00EE1C2D" w:rsidP="00EE1C2D">
      <w:pPr>
        <w:spacing w:after="0" w:line="240" w:lineRule="auto"/>
        <w:jc w:val="both"/>
        <w:rPr>
          <w:rFonts w:ascii="Arial" w:eastAsia="Calibri" w:hAnsi="Arial" w:cs="Arial"/>
          <w:b/>
          <w:sz w:val="24"/>
          <w:szCs w:val="24"/>
        </w:rPr>
      </w:pPr>
    </w:p>
    <w:p w14:paraId="7D12771A" w14:textId="77777777" w:rsidR="00EE1C2D" w:rsidRPr="00EE1C2D" w:rsidRDefault="00EE1C2D" w:rsidP="00EE1C2D">
      <w:pPr>
        <w:spacing w:after="0" w:line="240" w:lineRule="auto"/>
        <w:jc w:val="both"/>
        <w:rPr>
          <w:rFonts w:ascii="Arial" w:eastAsia="Calibri" w:hAnsi="Arial" w:cs="Arial"/>
          <w:sz w:val="24"/>
          <w:szCs w:val="24"/>
        </w:rPr>
      </w:pPr>
      <w:r w:rsidRPr="00EE1C2D">
        <w:rPr>
          <w:rFonts w:ascii="Arial" w:eastAsia="Calibri" w:hAnsi="Arial" w:cs="Arial"/>
          <w:sz w:val="24"/>
          <w:szCs w:val="24"/>
        </w:rPr>
        <w:t>Las normas atinentes al factor temporal para el ejercicio del derecho público de acción son, en principio, las vigentes al momento en que nace la posibilidad de acudir a la jurisdicción, en procura de la protección o de la satisfacción del interés jurídico o del derecho subjetivo conculcado. Tal planteamiento se acompasa con lo previsto por los artículos 38  y 40  de la Ley 153 de 1887. Por lo anterior, los límites objetivo – temporales que extinguen con el paso del tiempo la posibilidad de poner en funcionamiento el aparato jurisdiccional se encuentran supeditados a la normatividad imperante al momento en que acontece el supuesto que permite acudir a la jurisdicción, de manera que la inactividad del administrado por el período determinado en la ley genera, inexorablemente, la caducidad de la acción. En este caso, el recurrente sostiene que el ejercicio de la acción incoada no se rige por las reglas de caducidad previstas por el artículo 136 del C.C.A., sino por las normas que gobiernan la prescripción de las acciones de responsabilidad contractual previstas en los artículos 50 y 55 de la Ley 80 de 1993. Respecto de la aplicación de las reglas de prescripción contempladas por el artículo 55 de la Ley 80 de 1993, la jurisprudencia de esta Sección del Consejo de Estado se ha pronunciado en varias oportunidades  señalando que “… El legislador –ley 80 de 1993- amplió el término de prescripción de la acción a veinte años sólo para los eventos de las conductas antijurídicas contractuales….” ; pero, cuando lo que se cuestiona es la validez de los actos jurídicos contractuales (contrato, actos bilaterales, actos unilaterales de la administración y del particular) y de otras conductas jurídicas (hecho del príncipe) o de hechos no imputables a las partes contratantes (hechos imprevisibles), el término de caducidad es el contemplado por el artículo 136 del C.C.A., esto es, 2 años. (…) luego de la entrada en vigencia de la Ley 446 de 1998, el término para el ejercicio de la acción contractual es el contemplado por el artículo 136 del C.C.A. y no el previsto por el artículo 55 de la Ley 80 de 1993. En el caso que se somete a consideración de la Sala, el término aplicable para el ejercicio oportuno de la acción es el contemplado por el artículo 136 del C.C.A. (subrogado por el artículo 44 de la Ley 446 de 1998), pues, para la fecha en la cual quedaron en firme los actos administrativos que liquidaron unilateralmente los contratos de suministro terminados por la administración pública , ya estaba vigente la Ley 446 de 1998  y, a partir de ese momento surgió la posibilidad de acudir a la jurisdicción, en procura de la protección de los derechos que se afirman conculcados.</w:t>
      </w:r>
    </w:p>
    <w:p w14:paraId="487012A3" w14:textId="77777777" w:rsidR="00EE1C2D" w:rsidRPr="00EE1C2D" w:rsidRDefault="00EE1C2D" w:rsidP="00EE1C2D">
      <w:pPr>
        <w:spacing w:after="0" w:line="240" w:lineRule="auto"/>
        <w:jc w:val="both"/>
        <w:rPr>
          <w:rFonts w:ascii="Arial" w:eastAsia="Calibri" w:hAnsi="Arial" w:cs="Arial"/>
          <w:sz w:val="24"/>
          <w:szCs w:val="24"/>
        </w:rPr>
      </w:pPr>
    </w:p>
    <w:p w14:paraId="0E87CA2A" w14:textId="77777777" w:rsidR="00EE1C2D" w:rsidRPr="00EE1C2D" w:rsidRDefault="00EE1C2D" w:rsidP="00EE1C2D">
      <w:pPr>
        <w:spacing w:after="0" w:line="240" w:lineRule="auto"/>
        <w:jc w:val="both"/>
        <w:rPr>
          <w:rFonts w:ascii="Arial" w:eastAsia="Calibri" w:hAnsi="Arial" w:cs="Arial"/>
          <w:sz w:val="24"/>
          <w:szCs w:val="24"/>
        </w:rPr>
      </w:pPr>
      <w:r w:rsidRPr="00EE1C2D">
        <w:rPr>
          <w:rFonts w:ascii="Arial" w:eastAsia="Calibri" w:hAnsi="Arial" w:cs="Arial"/>
          <w:b/>
          <w:sz w:val="24"/>
          <w:szCs w:val="24"/>
        </w:rPr>
        <w:t xml:space="preserve">FUENTE FORMAL: </w:t>
      </w:r>
      <w:r w:rsidRPr="00EE1C2D">
        <w:rPr>
          <w:rFonts w:ascii="Arial" w:eastAsia="Calibri" w:hAnsi="Arial" w:cs="Arial"/>
          <w:sz w:val="24"/>
          <w:szCs w:val="24"/>
        </w:rPr>
        <w:t>CODIGO CONTENCIOSO ADMINISTRATIVO - ARTÍCULO 136 / LEY 153 DE 1887 - ARTÍCULO 38 / LEY 153 DE 1887 - ARTÍCULO 40 / LEY 80 DE 1993 - ARTÍCULO 50 / LEY 80 DE 1993 - ARTÍCULO 55</w:t>
      </w:r>
    </w:p>
    <w:p w14:paraId="0A6363A9" w14:textId="77777777" w:rsidR="00EE1C2D" w:rsidRPr="00EE1C2D" w:rsidRDefault="00EE1C2D" w:rsidP="00EE1C2D">
      <w:pPr>
        <w:spacing w:after="0" w:line="240" w:lineRule="auto"/>
        <w:jc w:val="both"/>
        <w:rPr>
          <w:rFonts w:ascii="Arial" w:eastAsia="Calibri" w:hAnsi="Arial" w:cs="Arial"/>
          <w:sz w:val="24"/>
          <w:szCs w:val="24"/>
        </w:rPr>
      </w:pPr>
    </w:p>
    <w:p w14:paraId="21F2F8ED" w14:textId="77777777" w:rsidR="00EE1C2D" w:rsidRPr="00EE1C2D" w:rsidRDefault="00EE1C2D" w:rsidP="00EE1C2D">
      <w:pPr>
        <w:spacing w:after="0" w:line="240" w:lineRule="auto"/>
        <w:jc w:val="both"/>
        <w:rPr>
          <w:rFonts w:ascii="Arial" w:eastAsia="Calibri" w:hAnsi="Arial" w:cs="Arial"/>
          <w:b/>
          <w:sz w:val="24"/>
          <w:szCs w:val="24"/>
        </w:rPr>
      </w:pPr>
      <w:r w:rsidRPr="00EE1C2D">
        <w:rPr>
          <w:rFonts w:ascii="Arial" w:eastAsia="Calibri" w:hAnsi="Arial" w:cs="Arial"/>
          <w:b/>
          <w:sz w:val="24"/>
          <w:szCs w:val="24"/>
        </w:rPr>
        <w:t xml:space="preserve">CADUCIDAD DE LA ACCIÓN DE CONTROVERSIAS CONTRACTUALES - Término. Cómputo / </w:t>
      </w:r>
      <w:r>
        <w:rPr>
          <w:rFonts w:ascii="Arial" w:eastAsia="Calibri" w:hAnsi="Arial" w:cs="Arial"/>
          <w:b/>
          <w:sz w:val="24"/>
          <w:szCs w:val="24"/>
        </w:rPr>
        <w:t>CONTROVERSIAS CONTRACTUALES - Operó el fenómeno jurídico de caducidad de la acción</w:t>
      </w:r>
    </w:p>
    <w:p w14:paraId="01446E39" w14:textId="77777777" w:rsidR="00EE1C2D" w:rsidRPr="00EE1C2D" w:rsidRDefault="00EE1C2D" w:rsidP="00EE1C2D">
      <w:pPr>
        <w:spacing w:after="0" w:line="240" w:lineRule="auto"/>
        <w:jc w:val="both"/>
        <w:rPr>
          <w:rFonts w:ascii="Arial" w:eastAsia="Calibri" w:hAnsi="Arial" w:cs="Arial"/>
          <w:b/>
          <w:sz w:val="24"/>
          <w:szCs w:val="24"/>
        </w:rPr>
      </w:pPr>
    </w:p>
    <w:p w14:paraId="3945372E" w14:textId="77777777" w:rsidR="00EE1C2D" w:rsidRPr="00EE1C2D" w:rsidRDefault="00EE1C2D" w:rsidP="00EE1C2D">
      <w:pPr>
        <w:spacing w:after="0" w:line="240" w:lineRule="auto"/>
        <w:jc w:val="both"/>
        <w:rPr>
          <w:rFonts w:ascii="Arial" w:eastAsia="Calibri" w:hAnsi="Arial" w:cs="Arial"/>
          <w:sz w:val="24"/>
          <w:szCs w:val="24"/>
        </w:rPr>
      </w:pPr>
      <w:r>
        <w:rPr>
          <w:rFonts w:ascii="Arial" w:eastAsia="Calibri" w:hAnsi="Arial" w:cs="Arial"/>
          <w:sz w:val="24"/>
          <w:szCs w:val="24"/>
        </w:rPr>
        <w:t>[</w:t>
      </w:r>
      <w:r w:rsidRPr="00EE1C2D">
        <w:rPr>
          <w:rFonts w:ascii="Arial" w:eastAsia="Calibri" w:hAnsi="Arial" w:cs="Arial"/>
          <w:sz w:val="24"/>
          <w:szCs w:val="24"/>
        </w:rPr>
        <w:t>E</w:t>
      </w:r>
      <w:r>
        <w:rPr>
          <w:rFonts w:ascii="Arial" w:eastAsia="Calibri" w:hAnsi="Arial" w:cs="Arial"/>
          <w:sz w:val="24"/>
          <w:szCs w:val="24"/>
        </w:rPr>
        <w:t>]</w:t>
      </w:r>
      <w:r w:rsidRPr="00EE1C2D">
        <w:rPr>
          <w:rFonts w:ascii="Arial" w:eastAsia="Calibri" w:hAnsi="Arial" w:cs="Arial"/>
          <w:sz w:val="24"/>
          <w:szCs w:val="24"/>
        </w:rPr>
        <w:t xml:space="preserve">l departamento de Casanare dispuso la terminación unilateral y ordenó la liquidación de los contratos de suministro 1483, 1499, 1487, 1488 y 1500, todos del 30 de diciembre de 1997, celebrados entre la mencionada entidad territorial y el señor Daniel Jaimes Berrios. Mediante las Resoluciones 0090, 0093, 0091, 0092 y 0094, todas el 11 de febrero de 1999, el departamento de Casanare adoptó la liquidación unilateral de los precitados contratos. Estas resoluciones fueron notificadas personalmente al señor Daniel Jaimes Berrios, a través de su apoderado, el 22 de febrero de 1999. En el acto de notificación, el mandatario del señor Jaimes Berrios interpuso recurso de reposición contra las mencionadas resoluciones; sin embargo, el escrito de sustentación sólo fue presentado el 5 de marzo de 1999 y el plazo de los cinco (5) días previsto en el artículo 51 del C.C.A.  para impugnar la decisión había vencido el 1º de los mismos mes y año, de modo que la decisión quedó en firme en esta última fecha, porque el recurrente no </w:t>
      </w:r>
      <w:r w:rsidRPr="00EE1C2D">
        <w:rPr>
          <w:rFonts w:ascii="Arial" w:eastAsia="Calibri" w:hAnsi="Arial" w:cs="Arial"/>
          <w:sz w:val="24"/>
          <w:szCs w:val="24"/>
        </w:rPr>
        <w:lastRenderedPageBreak/>
        <w:t>satisfizo, oportunamente, la totalidad de las exigencias contempladas por el artículo 52 ibídem , para que la administración pudiera darle trámite al recurso. Por lo anterior, la administración rechazó el recurso de reposición, mediante Resolución 00217 del 7 de abril de 1999; pero, tal como lo señaló el Tribunal de primera instancia, esta última no tenía la virtualidad de impedir que la decisión administrativa quedara ejecutoriada y que comenzaran a correr los términos de caducidad de la acción procedente, porque, stricto sensu, la actuación administrativa culminó cuando se agotó el término para recurrir, en vía gubernativa, los actos administrativos que liquidaron unilateralmente los contratos (artículo 63, numeral 3 del C.C.A). En ese orden de ideas, el plazo para el ejercicio de la acción contractual comenzó a correr el 2 de marzo de 1999, es decir, al día siguiente de que los actos administrativos cuestionados quedaran en firme y el fenómeno de la caducidad procesal ocurrió el 2 de marzo de 2001, esto es, pasados los 2 años que el ordenamiento jurídico prevé para la ocurrencia del fenómeno jurídico de la caducidad de la acción contractual, a términos de lo dispuesto por el artículo 136 (numeral 10, literal d) del C.C.A. Como ya se advirtió, la demanda sólo fue promovida el 16 de abril de 2001, es decir, cuando ya había ocurrido el fenómeno jurídico de la caducidad y tal circunstancia enerva por completo las pretensiones del demandante.</w:t>
      </w:r>
    </w:p>
    <w:p w14:paraId="2F62BB93" w14:textId="77777777" w:rsidR="00EE1C2D" w:rsidRPr="00EE1C2D" w:rsidRDefault="00EE1C2D" w:rsidP="00EE1C2D">
      <w:pPr>
        <w:spacing w:after="0" w:line="240" w:lineRule="auto"/>
        <w:jc w:val="both"/>
        <w:rPr>
          <w:rFonts w:ascii="Arial" w:eastAsia="Calibri" w:hAnsi="Arial" w:cs="Arial"/>
          <w:sz w:val="24"/>
          <w:szCs w:val="24"/>
        </w:rPr>
      </w:pPr>
    </w:p>
    <w:p w14:paraId="79C2CFDD" w14:textId="77777777" w:rsidR="00EE1C2D" w:rsidRDefault="00EE1C2D" w:rsidP="00EE1C2D">
      <w:pPr>
        <w:spacing w:after="0" w:line="240" w:lineRule="auto"/>
        <w:jc w:val="both"/>
        <w:rPr>
          <w:rFonts w:ascii="Arial" w:eastAsia="Calibri" w:hAnsi="Arial" w:cs="Arial"/>
          <w:sz w:val="24"/>
          <w:szCs w:val="24"/>
        </w:rPr>
      </w:pPr>
      <w:r w:rsidRPr="00EE1C2D">
        <w:rPr>
          <w:rFonts w:ascii="Arial" w:eastAsia="Calibri" w:hAnsi="Arial" w:cs="Arial"/>
          <w:b/>
          <w:sz w:val="24"/>
          <w:szCs w:val="24"/>
        </w:rPr>
        <w:t xml:space="preserve">FUENTE FORMAL: </w:t>
      </w:r>
      <w:r w:rsidRPr="00EE1C2D">
        <w:rPr>
          <w:rFonts w:ascii="Arial" w:eastAsia="Calibri" w:hAnsi="Arial" w:cs="Arial"/>
          <w:sz w:val="24"/>
          <w:szCs w:val="24"/>
        </w:rPr>
        <w:t>CODIGO CONTENCIOSO ADMINISTRATIVO - ARTÍCULO 51 / CODIGO CONTENCIOSO ADMINISTRATIVO - ARTÍCULO 63.3 / CODIGO CONTENCIOSO A</w:t>
      </w:r>
      <w:r>
        <w:rPr>
          <w:rFonts w:ascii="Arial" w:eastAsia="Calibri" w:hAnsi="Arial" w:cs="Arial"/>
          <w:sz w:val="24"/>
          <w:szCs w:val="24"/>
        </w:rPr>
        <w:t>DMINISTRATIVO - ARTÍCULO 136.10</w:t>
      </w:r>
    </w:p>
    <w:p w14:paraId="41AD4CD8" w14:textId="77777777" w:rsidR="00EE1C2D" w:rsidRPr="00EE1C2D" w:rsidRDefault="00EE1C2D" w:rsidP="00EE1C2D">
      <w:pPr>
        <w:spacing w:after="0" w:line="240" w:lineRule="auto"/>
        <w:jc w:val="both"/>
        <w:rPr>
          <w:rFonts w:ascii="Arial" w:eastAsia="Calibri" w:hAnsi="Arial" w:cs="Arial"/>
          <w:sz w:val="24"/>
          <w:szCs w:val="24"/>
        </w:rPr>
      </w:pPr>
    </w:p>
    <w:p w14:paraId="3069C22D" w14:textId="77777777" w:rsidR="00EE1C2D" w:rsidRPr="00EE1C2D" w:rsidRDefault="00EE1C2D" w:rsidP="00EE1C2D">
      <w:pPr>
        <w:spacing w:after="0" w:line="240" w:lineRule="auto"/>
        <w:jc w:val="both"/>
        <w:rPr>
          <w:rFonts w:ascii="Arial" w:hAnsi="Arial" w:cs="Arial"/>
          <w:b/>
          <w:sz w:val="24"/>
          <w:szCs w:val="24"/>
        </w:rPr>
      </w:pPr>
    </w:p>
    <w:p w14:paraId="644B0BAB" w14:textId="77777777" w:rsidR="00EE1C2D" w:rsidRPr="00EE1C2D" w:rsidRDefault="00EE1C2D" w:rsidP="00EE1C2D">
      <w:pPr>
        <w:spacing w:after="0" w:line="240" w:lineRule="auto"/>
        <w:jc w:val="center"/>
        <w:rPr>
          <w:rFonts w:ascii="Arial" w:hAnsi="Arial" w:cs="Arial"/>
          <w:b/>
          <w:sz w:val="24"/>
          <w:szCs w:val="24"/>
        </w:rPr>
      </w:pPr>
    </w:p>
    <w:p w14:paraId="2E0B785D" w14:textId="77777777" w:rsidR="007B66DD" w:rsidRPr="00EE1C2D" w:rsidRDefault="007B66DD" w:rsidP="00EE1C2D">
      <w:pPr>
        <w:spacing w:after="0" w:line="240" w:lineRule="auto"/>
        <w:jc w:val="center"/>
        <w:rPr>
          <w:rFonts w:ascii="Arial" w:hAnsi="Arial" w:cs="Arial"/>
          <w:b/>
          <w:sz w:val="24"/>
          <w:szCs w:val="24"/>
        </w:rPr>
      </w:pPr>
      <w:r w:rsidRPr="00EE1C2D">
        <w:rPr>
          <w:rFonts w:ascii="Arial" w:hAnsi="Arial" w:cs="Arial"/>
          <w:b/>
          <w:sz w:val="24"/>
          <w:szCs w:val="24"/>
        </w:rPr>
        <w:t>CONSEJO DE ESTADO</w:t>
      </w:r>
    </w:p>
    <w:p w14:paraId="09154814" w14:textId="77777777" w:rsidR="007B66DD" w:rsidRPr="00EE1C2D" w:rsidRDefault="007B66DD" w:rsidP="00EE1C2D">
      <w:pPr>
        <w:spacing w:after="0" w:line="240" w:lineRule="auto"/>
        <w:jc w:val="center"/>
        <w:rPr>
          <w:rFonts w:ascii="Arial" w:hAnsi="Arial" w:cs="Arial"/>
          <w:b/>
          <w:sz w:val="24"/>
          <w:szCs w:val="24"/>
        </w:rPr>
      </w:pPr>
    </w:p>
    <w:p w14:paraId="107AD4E6" w14:textId="77777777" w:rsidR="007B66DD" w:rsidRPr="00EE1C2D" w:rsidRDefault="007B66DD" w:rsidP="00EE1C2D">
      <w:pPr>
        <w:spacing w:after="0" w:line="240" w:lineRule="auto"/>
        <w:jc w:val="center"/>
        <w:rPr>
          <w:rFonts w:ascii="Arial" w:hAnsi="Arial" w:cs="Arial"/>
          <w:b/>
          <w:sz w:val="24"/>
          <w:szCs w:val="24"/>
        </w:rPr>
      </w:pPr>
      <w:r w:rsidRPr="00EE1C2D">
        <w:rPr>
          <w:rFonts w:ascii="Arial" w:hAnsi="Arial" w:cs="Arial"/>
          <w:b/>
          <w:sz w:val="24"/>
          <w:szCs w:val="24"/>
        </w:rPr>
        <w:t>SALA DE LO CONTENCIOSO ADMINISTRATIVO</w:t>
      </w:r>
    </w:p>
    <w:p w14:paraId="534646C8" w14:textId="77777777" w:rsidR="007B66DD" w:rsidRPr="00EE1C2D" w:rsidRDefault="007B66DD" w:rsidP="00EE1C2D">
      <w:pPr>
        <w:spacing w:after="0" w:line="240" w:lineRule="auto"/>
        <w:jc w:val="center"/>
        <w:rPr>
          <w:rFonts w:ascii="Arial" w:hAnsi="Arial" w:cs="Arial"/>
          <w:b/>
          <w:sz w:val="24"/>
          <w:szCs w:val="24"/>
        </w:rPr>
      </w:pPr>
    </w:p>
    <w:p w14:paraId="4A164E95" w14:textId="77777777" w:rsidR="007B66DD" w:rsidRPr="00EE1C2D" w:rsidRDefault="007B66DD" w:rsidP="00EE1C2D">
      <w:pPr>
        <w:spacing w:after="0" w:line="240" w:lineRule="auto"/>
        <w:jc w:val="center"/>
        <w:rPr>
          <w:rFonts w:ascii="Arial" w:hAnsi="Arial" w:cs="Arial"/>
          <w:b/>
          <w:sz w:val="24"/>
          <w:szCs w:val="24"/>
        </w:rPr>
      </w:pPr>
      <w:r w:rsidRPr="00EE1C2D">
        <w:rPr>
          <w:rFonts w:ascii="Arial" w:hAnsi="Arial" w:cs="Arial"/>
          <w:b/>
          <w:sz w:val="24"/>
          <w:szCs w:val="24"/>
        </w:rPr>
        <w:t>SECCIÓN TERCERA</w:t>
      </w:r>
    </w:p>
    <w:p w14:paraId="54D1817F" w14:textId="77777777" w:rsidR="007B66DD" w:rsidRPr="00EE1C2D" w:rsidRDefault="007B66DD" w:rsidP="00EE1C2D">
      <w:pPr>
        <w:spacing w:after="0" w:line="240" w:lineRule="auto"/>
        <w:jc w:val="center"/>
        <w:rPr>
          <w:rFonts w:ascii="Arial" w:hAnsi="Arial" w:cs="Arial"/>
          <w:b/>
          <w:sz w:val="24"/>
          <w:szCs w:val="24"/>
        </w:rPr>
      </w:pPr>
    </w:p>
    <w:p w14:paraId="0461B70A" w14:textId="77777777" w:rsidR="007B66DD" w:rsidRPr="00EE1C2D" w:rsidRDefault="00EE1C2D" w:rsidP="00EE1C2D">
      <w:pPr>
        <w:spacing w:after="0" w:line="240" w:lineRule="auto"/>
        <w:jc w:val="center"/>
        <w:rPr>
          <w:rFonts w:ascii="Arial" w:hAnsi="Arial" w:cs="Arial"/>
          <w:b/>
          <w:sz w:val="24"/>
          <w:szCs w:val="24"/>
        </w:rPr>
      </w:pPr>
      <w:r w:rsidRPr="00EE1C2D">
        <w:rPr>
          <w:rFonts w:ascii="Arial" w:hAnsi="Arial" w:cs="Arial"/>
          <w:b/>
          <w:sz w:val="24"/>
          <w:szCs w:val="24"/>
        </w:rPr>
        <w:t>SUBSECCIÓN A</w:t>
      </w:r>
    </w:p>
    <w:p w14:paraId="33B79C34" w14:textId="77777777" w:rsidR="007B66DD" w:rsidRPr="00EE1C2D" w:rsidRDefault="007B66DD" w:rsidP="00EE1C2D">
      <w:pPr>
        <w:spacing w:after="0" w:line="240" w:lineRule="auto"/>
        <w:jc w:val="center"/>
        <w:rPr>
          <w:rFonts w:ascii="Arial" w:hAnsi="Arial" w:cs="Arial"/>
          <w:b/>
          <w:sz w:val="24"/>
          <w:szCs w:val="24"/>
        </w:rPr>
      </w:pPr>
    </w:p>
    <w:p w14:paraId="25F038C1" w14:textId="77777777" w:rsidR="007B66DD" w:rsidRPr="00EE1C2D" w:rsidRDefault="007B66DD" w:rsidP="00EE1C2D">
      <w:pPr>
        <w:spacing w:after="0" w:line="240" w:lineRule="auto"/>
        <w:jc w:val="center"/>
        <w:rPr>
          <w:rFonts w:ascii="Arial" w:hAnsi="Arial" w:cs="Arial"/>
          <w:b/>
          <w:sz w:val="24"/>
          <w:szCs w:val="24"/>
        </w:rPr>
      </w:pPr>
      <w:r w:rsidRPr="00EE1C2D">
        <w:rPr>
          <w:rFonts w:ascii="Arial" w:hAnsi="Arial" w:cs="Arial"/>
          <w:b/>
          <w:sz w:val="24"/>
          <w:szCs w:val="24"/>
        </w:rPr>
        <w:t xml:space="preserve">Consejero Ponente: </w:t>
      </w:r>
      <w:r w:rsidR="00EE1C2D" w:rsidRPr="00EE1C2D">
        <w:rPr>
          <w:rFonts w:ascii="Arial" w:hAnsi="Arial" w:cs="Arial"/>
          <w:b/>
          <w:sz w:val="24"/>
          <w:szCs w:val="24"/>
        </w:rPr>
        <w:t>CARLOS ALBERTO ZAMBRANO BARRERA</w:t>
      </w:r>
    </w:p>
    <w:p w14:paraId="0BBE10FE" w14:textId="77777777" w:rsidR="007B66DD" w:rsidRPr="00EE1C2D" w:rsidRDefault="007B66DD" w:rsidP="00EE1C2D">
      <w:pPr>
        <w:spacing w:after="0" w:line="240" w:lineRule="auto"/>
        <w:jc w:val="center"/>
        <w:rPr>
          <w:rFonts w:ascii="Arial" w:hAnsi="Arial" w:cs="Arial"/>
          <w:sz w:val="24"/>
          <w:szCs w:val="24"/>
        </w:rPr>
      </w:pPr>
    </w:p>
    <w:p w14:paraId="159EA1B0" w14:textId="77777777" w:rsidR="007B66DD" w:rsidRPr="00EE1C2D" w:rsidRDefault="007B66DD" w:rsidP="00EE1C2D">
      <w:pPr>
        <w:spacing w:after="0" w:line="240" w:lineRule="auto"/>
        <w:jc w:val="both"/>
        <w:rPr>
          <w:rFonts w:ascii="Arial" w:hAnsi="Arial" w:cs="Arial"/>
          <w:sz w:val="24"/>
          <w:szCs w:val="24"/>
        </w:rPr>
      </w:pPr>
      <w:r w:rsidRPr="00EE1C2D">
        <w:rPr>
          <w:rFonts w:ascii="Arial" w:hAnsi="Arial" w:cs="Arial"/>
          <w:sz w:val="24"/>
          <w:szCs w:val="24"/>
        </w:rPr>
        <w:t>Bogotá, D.C., nueve (9) de octubre de dos mil trece (2013).</w:t>
      </w:r>
    </w:p>
    <w:p w14:paraId="01ADA65F" w14:textId="77777777" w:rsidR="007B66DD" w:rsidRPr="00EE1C2D" w:rsidRDefault="007B66DD" w:rsidP="00EE1C2D">
      <w:pPr>
        <w:spacing w:after="0" w:line="240" w:lineRule="auto"/>
        <w:jc w:val="both"/>
        <w:rPr>
          <w:rFonts w:ascii="Arial" w:hAnsi="Arial" w:cs="Arial"/>
          <w:b/>
          <w:sz w:val="24"/>
          <w:szCs w:val="24"/>
        </w:rPr>
      </w:pPr>
    </w:p>
    <w:p w14:paraId="7DD43E49" w14:textId="77777777" w:rsidR="007B66DD" w:rsidRPr="00EE1C2D" w:rsidRDefault="00EE1C2D" w:rsidP="00EE1C2D">
      <w:pPr>
        <w:spacing w:after="0" w:line="240" w:lineRule="auto"/>
        <w:jc w:val="both"/>
        <w:rPr>
          <w:rFonts w:ascii="Arial" w:hAnsi="Arial" w:cs="Arial"/>
          <w:b/>
          <w:bCs/>
          <w:sz w:val="24"/>
          <w:szCs w:val="24"/>
        </w:rPr>
      </w:pPr>
      <w:r w:rsidRPr="00EE1C2D">
        <w:rPr>
          <w:rFonts w:ascii="Arial" w:hAnsi="Arial" w:cs="Arial"/>
          <w:b/>
          <w:bCs/>
          <w:sz w:val="24"/>
          <w:szCs w:val="24"/>
        </w:rPr>
        <w:t xml:space="preserve">Radicación número: </w:t>
      </w:r>
      <w:r w:rsidR="007B66DD" w:rsidRPr="00EE1C2D">
        <w:rPr>
          <w:rFonts w:ascii="Arial" w:hAnsi="Arial" w:cs="Arial"/>
          <w:b/>
          <w:bCs/>
          <w:sz w:val="24"/>
          <w:szCs w:val="24"/>
        </w:rPr>
        <w:t>85001</w:t>
      </w:r>
      <w:r w:rsidRPr="00EE1C2D">
        <w:rPr>
          <w:rFonts w:ascii="Arial" w:hAnsi="Arial" w:cs="Arial"/>
          <w:b/>
          <w:bCs/>
          <w:sz w:val="24"/>
          <w:szCs w:val="24"/>
        </w:rPr>
        <w:t>-</w:t>
      </w:r>
      <w:r w:rsidR="007B66DD" w:rsidRPr="00EE1C2D">
        <w:rPr>
          <w:rFonts w:ascii="Arial" w:hAnsi="Arial" w:cs="Arial"/>
          <w:b/>
          <w:bCs/>
          <w:sz w:val="24"/>
          <w:szCs w:val="24"/>
        </w:rPr>
        <w:t>23</w:t>
      </w:r>
      <w:r w:rsidRPr="00EE1C2D">
        <w:rPr>
          <w:rFonts w:ascii="Arial" w:hAnsi="Arial" w:cs="Arial"/>
          <w:b/>
          <w:bCs/>
          <w:sz w:val="24"/>
          <w:szCs w:val="24"/>
        </w:rPr>
        <w:t>-</w:t>
      </w:r>
      <w:r w:rsidR="007B66DD" w:rsidRPr="00EE1C2D">
        <w:rPr>
          <w:rFonts w:ascii="Arial" w:hAnsi="Arial" w:cs="Arial"/>
          <w:b/>
          <w:bCs/>
          <w:sz w:val="24"/>
          <w:szCs w:val="24"/>
        </w:rPr>
        <w:t>31</w:t>
      </w:r>
      <w:r w:rsidRPr="00EE1C2D">
        <w:rPr>
          <w:rFonts w:ascii="Arial" w:hAnsi="Arial" w:cs="Arial"/>
          <w:b/>
          <w:bCs/>
          <w:sz w:val="24"/>
          <w:szCs w:val="24"/>
        </w:rPr>
        <w:t>-</w:t>
      </w:r>
      <w:r w:rsidR="007B66DD" w:rsidRPr="00EE1C2D">
        <w:rPr>
          <w:rFonts w:ascii="Arial" w:hAnsi="Arial" w:cs="Arial"/>
          <w:b/>
          <w:bCs/>
          <w:sz w:val="24"/>
          <w:szCs w:val="24"/>
        </w:rPr>
        <w:t>000</w:t>
      </w:r>
      <w:r w:rsidRPr="00EE1C2D">
        <w:rPr>
          <w:rFonts w:ascii="Arial" w:hAnsi="Arial" w:cs="Arial"/>
          <w:b/>
          <w:bCs/>
          <w:sz w:val="24"/>
          <w:szCs w:val="24"/>
        </w:rPr>
        <w:t>-</w:t>
      </w:r>
      <w:r w:rsidR="007B66DD" w:rsidRPr="00EE1C2D">
        <w:rPr>
          <w:rFonts w:ascii="Arial" w:hAnsi="Arial" w:cs="Arial"/>
          <w:b/>
          <w:bCs/>
          <w:sz w:val="24"/>
          <w:szCs w:val="24"/>
        </w:rPr>
        <w:t>2001</w:t>
      </w:r>
      <w:r w:rsidRPr="00EE1C2D">
        <w:rPr>
          <w:rFonts w:ascii="Arial" w:hAnsi="Arial" w:cs="Arial"/>
          <w:b/>
          <w:bCs/>
          <w:sz w:val="24"/>
          <w:szCs w:val="24"/>
        </w:rPr>
        <w:t>-</w:t>
      </w:r>
      <w:r w:rsidR="007B66DD" w:rsidRPr="00EE1C2D">
        <w:rPr>
          <w:rFonts w:ascii="Arial" w:hAnsi="Arial" w:cs="Arial"/>
          <w:b/>
          <w:bCs/>
          <w:sz w:val="24"/>
          <w:szCs w:val="24"/>
        </w:rPr>
        <w:t>00158</w:t>
      </w:r>
      <w:r w:rsidR="007B66DD" w:rsidRPr="00EE1C2D">
        <w:rPr>
          <w:rFonts w:ascii="Arial" w:hAnsi="Arial" w:cs="Arial"/>
          <w:b/>
          <w:sz w:val="24"/>
          <w:szCs w:val="24"/>
        </w:rPr>
        <w:t>-01</w:t>
      </w:r>
      <w:r w:rsidRPr="00EE1C2D">
        <w:rPr>
          <w:rFonts w:ascii="Arial" w:hAnsi="Arial" w:cs="Arial"/>
          <w:b/>
          <w:sz w:val="24"/>
          <w:szCs w:val="24"/>
        </w:rPr>
        <w:t>(</w:t>
      </w:r>
      <w:r w:rsidRPr="00EE1C2D">
        <w:rPr>
          <w:rFonts w:ascii="Arial" w:hAnsi="Arial" w:cs="Arial"/>
          <w:b/>
          <w:bCs/>
          <w:sz w:val="24"/>
          <w:szCs w:val="24"/>
        </w:rPr>
        <w:t>24</w:t>
      </w:r>
      <w:r w:rsidR="007B66DD" w:rsidRPr="00EE1C2D">
        <w:rPr>
          <w:rFonts w:ascii="Arial" w:hAnsi="Arial" w:cs="Arial"/>
          <w:b/>
          <w:bCs/>
          <w:sz w:val="24"/>
          <w:szCs w:val="24"/>
        </w:rPr>
        <w:t>340</w:t>
      </w:r>
      <w:r w:rsidRPr="00EE1C2D">
        <w:rPr>
          <w:rFonts w:ascii="Arial" w:hAnsi="Arial" w:cs="Arial"/>
          <w:b/>
          <w:bCs/>
          <w:sz w:val="24"/>
          <w:szCs w:val="24"/>
        </w:rPr>
        <w:t>)</w:t>
      </w:r>
    </w:p>
    <w:p w14:paraId="52666411" w14:textId="77777777" w:rsidR="00EE1C2D" w:rsidRPr="00EE1C2D" w:rsidRDefault="00EE1C2D" w:rsidP="00EE1C2D">
      <w:pPr>
        <w:spacing w:after="0" w:line="240" w:lineRule="auto"/>
        <w:jc w:val="both"/>
        <w:rPr>
          <w:rFonts w:ascii="Arial" w:hAnsi="Arial" w:cs="Arial"/>
          <w:b/>
          <w:sz w:val="24"/>
          <w:szCs w:val="24"/>
        </w:rPr>
      </w:pPr>
    </w:p>
    <w:p w14:paraId="3D19C029" w14:textId="77777777" w:rsidR="007B66DD" w:rsidRPr="00EE1C2D" w:rsidRDefault="00EE1C2D" w:rsidP="00EE1C2D">
      <w:pPr>
        <w:spacing w:after="0" w:line="240" w:lineRule="auto"/>
        <w:jc w:val="both"/>
        <w:rPr>
          <w:rFonts w:ascii="Arial" w:hAnsi="Arial" w:cs="Arial"/>
          <w:b/>
          <w:sz w:val="24"/>
          <w:szCs w:val="24"/>
        </w:rPr>
      </w:pPr>
      <w:r w:rsidRPr="00EE1C2D">
        <w:rPr>
          <w:rFonts w:ascii="Arial" w:hAnsi="Arial" w:cs="Arial"/>
          <w:b/>
          <w:sz w:val="24"/>
          <w:szCs w:val="24"/>
        </w:rPr>
        <w:t xml:space="preserve">Actor: DANIEL ALFONSO JAIMES BERRIOS </w:t>
      </w:r>
    </w:p>
    <w:p w14:paraId="1FEDB286" w14:textId="77777777" w:rsidR="00EE1C2D" w:rsidRPr="00EE1C2D" w:rsidRDefault="00EE1C2D" w:rsidP="00EE1C2D">
      <w:pPr>
        <w:spacing w:after="0" w:line="240" w:lineRule="auto"/>
        <w:jc w:val="both"/>
        <w:rPr>
          <w:rFonts w:ascii="Arial" w:hAnsi="Arial" w:cs="Arial"/>
          <w:b/>
          <w:sz w:val="24"/>
          <w:szCs w:val="24"/>
        </w:rPr>
      </w:pPr>
    </w:p>
    <w:p w14:paraId="7CE6790C" w14:textId="77777777" w:rsidR="007B66DD" w:rsidRPr="00EE1C2D" w:rsidRDefault="00EE1C2D" w:rsidP="00EE1C2D">
      <w:pPr>
        <w:spacing w:after="0" w:line="240" w:lineRule="auto"/>
        <w:jc w:val="both"/>
        <w:rPr>
          <w:rFonts w:ascii="Arial" w:hAnsi="Arial" w:cs="Arial"/>
          <w:b/>
          <w:sz w:val="24"/>
          <w:szCs w:val="24"/>
        </w:rPr>
      </w:pPr>
      <w:r>
        <w:rPr>
          <w:rFonts w:ascii="Arial" w:hAnsi="Arial" w:cs="Arial"/>
          <w:b/>
          <w:sz w:val="24"/>
          <w:szCs w:val="24"/>
        </w:rPr>
        <w:t xml:space="preserve">Demandado: </w:t>
      </w:r>
      <w:r w:rsidRPr="00EE1C2D">
        <w:rPr>
          <w:rFonts w:ascii="Arial" w:hAnsi="Arial" w:cs="Arial"/>
          <w:b/>
          <w:sz w:val="24"/>
          <w:szCs w:val="24"/>
        </w:rPr>
        <w:t xml:space="preserve">DEPARTAMENTO DE CASANARE </w:t>
      </w:r>
    </w:p>
    <w:p w14:paraId="30BEAE4E" w14:textId="77777777" w:rsidR="00EE1C2D" w:rsidRPr="00EE1C2D" w:rsidRDefault="00EE1C2D" w:rsidP="00EE1C2D">
      <w:pPr>
        <w:spacing w:after="0" w:line="240" w:lineRule="auto"/>
        <w:jc w:val="both"/>
        <w:rPr>
          <w:rFonts w:ascii="Arial" w:hAnsi="Arial" w:cs="Arial"/>
          <w:b/>
          <w:bCs/>
          <w:sz w:val="24"/>
          <w:szCs w:val="24"/>
        </w:rPr>
      </w:pPr>
    </w:p>
    <w:p w14:paraId="1E31C460" w14:textId="77777777" w:rsidR="00EE1C2D" w:rsidRPr="00EE1C2D" w:rsidRDefault="00EE1C2D" w:rsidP="00EE1C2D">
      <w:pPr>
        <w:spacing w:after="0" w:line="240" w:lineRule="auto"/>
        <w:jc w:val="both"/>
        <w:rPr>
          <w:rFonts w:ascii="Arial" w:hAnsi="Arial" w:cs="Arial"/>
          <w:b/>
          <w:bCs/>
          <w:sz w:val="24"/>
          <w:szCs w:val="24"/>
        </w:rPr>
      </w:pPr>
    </w:p>
    <w:p w14:paraId="764748C6" w14:textId="77777777" w:rsidR="007B66DD" w:rsidRPr="00EE1C2D" w:rsidRDefault="00EE1C2D" w:rsidP="00EE1C2D">
      <w:pPr>
        <w:spacing w:after="0" w:line="240" w:lineRule="auto"/>
        <w:jc w:val="both"/>
        <w:rPr>
          <w:rFonts w:ascii="Arial" w:hAnsi="Arial" w:cs="Arial"/>
          <w:b/>
          <w:bCs/>
          <w:sz w:val="24"/>
          <w:szCs w:val="24"/>
        </w:rPr>
      </w:pPr>
      <w:r w:rsidRPr="00EE1C2D">
        <w:rPr>
          <w:rFonts w:ascii="Arial" w:hAnsi="Arial" w:cs="Arial"/>
          <w:b/>
          <w:bCs/>
          <w:sz w:val="24"/>
          <w:szCs w:val="24"/>
        </w:rPr>
        <w:t xml:space="preserve">Referencia: CONTRATOS </w:t>
      </w:r>
    </w:p>
    <w:p w14:paraId="27BFD316" w14:textId="77777777" w:rsidR="007B66DD" w:rsidRPr="00EE1C2D" w:rsidRDefault="007B66DD" w:rsidP="00EE1C2D">
      <w:pPr>
        <w:spacing w:after="0" w:line="240" w:lineRule="auto"/>
        <w:jc w:val="both"/>
        <w:rPr>
          <w:rFonts w:ascii="Arial" w:hAnsi="Arial" w:cs="Arial"/>
          <w:b/>
          <w:sz w:val="24"/>
          <w:szCs w:val="24"/>
        </w:rPr>
      </w:pPr>
    </w:p>
    <w:p w14:paraId="0511AFEA" w14:textId="77777777" w:rsidR="00EE1C2D" w:rsidRPr="00EE1C2D" w:rsidRDefault="00EE1C2D" w:rsidP="00EE1C2D">
      <w:pPr>
        <w:spacing w:after="0" w:line="240" w:lineRule="auto"/>
        <w:jc w:val="both"/>
        <w:rPr>
          <w:rFonts w:ascii="Arial" w:hAnsi="Arial" w:cs="Arial"/>
          <w:b/>
          <w:sz w:val="24"/>
          <w:szCs w:val="24"/>
        </w:rPr>
      </w:pPr>
    </w:p>
    <w:p w14:paraId="12964AF9" w14:textId="77777777" w:rsidR="00EE1C2D" w:rsidRPr="00EE1C2D" w:rsidRDefault="00EE1C2D" w:rsidP="00EE1C2D">
      <w:pPr>
        <w:spacing w:after="0" w:line="240" w:lineRule="auto"/>
        <w:jc w:val="both"/>
        <w:rPr>
          <w:rFonts w:ascii="Arial" w:hAnsi="Arial" w:cs="Arial"/>
          <w:b/>
          <w:sz w:val="24"/>
          <w:szCs w:val="24"/>
        </w:rPr>
      </w:pPr>
    </w:p>
    <w:p w14:paraId="2AC6F751" w14:textId="77777777" w:rsidR="007B66DD" w:rsidRPr="004A5B4B" w:rsidRDefault="007B66DD" w:rsidP="00EE1C2D">
      <w:pPr>
        <w:spacing w:after="0" w:line="240" w:lineRule="auto"/>
        <w:jc w:val="both"/>
      </w:pPr>
      <w:r w:rsidRPr="00EE1C2D">
        <w:rPr>
          <w:rFonts w:ascii="Arial" w:hAnsi="Arial" w:cs="Arial"/>
          <w:sz w:val="24"/>
          <w:szCs w:val="24"/>
        </w:rPr>
        <w:t>Surtido el trámite de ley, sin que se observe causal de nulidad</w:t>
      </w:r>
      <w:r w:rsidRPr="004A5B4B">
        <w:t xml:space="preserve"> que invalide lo actuado,</w:t>
      </w:r>
      <w:r>
        <w:t xml:space="preserve"> se</w:t>
      </w:r>
      <w:r w:rsidRPr="004A5B4B">
        <w:t xml:space="preserve"> procede a resolver el recurso de apelación interpuesto por la parte demandante contra la sentencia proferida el 10 de octubre de 2002 por el Tribunal Administrativo de Casanare, en cuya parte resolutiva se dispuso:</w:t>
      </w:r>
    </w:p>
    <w:p w14:paraId="2E0AB57E" w14:textId="77777777" w:rsidR="007B66DD" w:rsidRPr="004A5B4B" w:rsidRDefault="007B66DD" w:rsidP="007B66DD">
      <w:pPr>
        <w:pStyle w:val="Textoindependiente"/>
        <w:rPr>
          <w:rFonts w:ascii="Century Gothic" w:hAnsi="Century Gothic" w:cs="Arial"/>
          <w:sz w:val="22"/>
          <w:szCs w:val="22"/>
        </w:rPr>
      </w:pPr>
    </w:p>
    <w:p w14:paraId="6BE17F28" w14:textId="77777777" w:rsidR="007B66DD" w:rsidRPr="004A5B4B" w:rsidRDefault="007B66DD" w:rsidP="007B66DD">
      <w:pPr>
        <w:pStyle w:val="Textoindependiente"/>
        <w:spacing w:line="240" w:lineRule="auto"/>
        <w:ind w:left="601" w:right="318"/>
        <w:rPr>
          <w:rFonts w:ascii="Century Gothic" w:hAnsi="Century Gothic" w:cs="Arial"/>
          <w:sz w:val="20"/>
          <w:szCs w:val="20"/>
        </w:rPr>
      </w:pPr>
      <w:r w:rsidRPr="004A5B4B">
        <w:rPr>
          <w:rFonts w:ascii="Century Gothic" w:hAnsi="Century Gothic" w:cs="Arial"/>
          <w:sz w:val="20"/>
          <w:szCs w:val="20"/>
        </w:rPr>
        <w:t>“1.- Se declara la prosperidad de la excepción de caducidad propuesta por el demandado, lo que impide pronunciamiento de fondo en este caso.</w:t>
      </w:r>
    </w:p>
    <w:p w14:paraId="44D8204F" w14:textId="77777777" w:rsidR="007B66DD" w:rsidRPr="004A5B4B" w:rsidRDefault="007B66DD" w:rsidP="007B66DD">
      <w:pPr>
        <w:pStyle w:val="Textoindependiente"/>
        <w:spacing w:line="240" w:lineRule="auto"/>
        <w:ind w:left="601" w:right="318"/>
        <w:rPr>
          <w:rFonts w:ascii="Century Gothic" w:hAnsi="Century Gothic" w:cs="Arial"/>
          <w:sz w:val="20"/>
          <w:szCs w:val="20"/>
        </w:rPr>
      </w:pPr>
    </w:p>
    <w:p w14:paraId="325C5D6D" w14:textId="77777777" w:rsidR="007B66DD" w:rsidRPr="004A5B4B" w:rsidRDefault="007B66DD" w:rsidP="007B66DD">
      <w:pPr>
        <w:pStyle w:val="Textoindependiente"/>
        <w:spacing w:line="240" w:lineRule="auto"/>
        <w:ind w:left="601" w:right="318"/>
        <w:rPr>
          <w:rFonts w:ascii="Century Gothic" w:hAnsi="Century Gothic" w:cs="Arial"/>
          <w:sz w:val="20"/>
          <w:szCs w:val="20"/>
        </w:rPr>
      </w:pPr>
      <w:r w:rsidRPr="004A5B4B">
        <w:rPr>
          <w:rFonts w:ascii="Century Gothic" w:hAnsi="Century Gothic" w:cs="Arial"/>
          <w:sz w:val="20"/>
          <w:szCs w:val="20"/>
        </w:rPr>
        <w:t>“2</w:t>
      </w:r>
      <w:r>
        <w:rPr>
          <w:rFonts w:ascii="Century Gothic" w:hAnsi="Century Gothic" w:cs="Arial"/>
          <w:sz w:val="20"/>
          <w:szCs w:val="20"/>
        </w:rPr>
        <w:t>.- Sin costas en esta instancia</w:t>
      </w:r>
      <w:r w:rsidRPr="004A5B4B">
        <w:rPr>
          <w:rFonts w:ascii="Century Gothic" w:hAnsi="Century Gothic" w:cs="Arial"/>
          <w:sz w:val="20"/>
          <w:szCs w:val="20"/>
        </w:rPr>
        <w:t>.</w:t>
      </w:r>
    </w:p>
    <w:p w14:paraId="1C78F990" w14:textId="77777777" w:rsidR="007B66DD" w:rsidRPr="004A5B4B" w:rsidRDefault="007B66DD" w:rsidP="007B66DD">
      <w:pPr>
        <w:pStyle w:val="Textoindependiente"/>
        <w:spacing w:line="240" w:lineRule="auto"/>
        <w:ind w:left="601" w:right="318"/>
        <w:rPr>
          <w:rFonts w:ascii="Century Gothic" w:hAnsi="Century Gothic" w:cs="Arial"/>
          <w:sz w:val="20"/>
          <w:szCs w:val="20"/>
        </w:rPr>
      </w:pPr>
    </w:p>
    <w:p w14:paraId="680AD06B" w14:textId="77777777" w:rsidR="007B66DD" w:rsidRPr="004A5B4B" w:rsidRDefault="007B66DD" w:rsidP="007B66DD">
      <w:pPr>
        <w:pStyle w:val="Textoindependiente"/>
        <w:spacing w:line="240" w:lineRule="auto"/>
        <w:ind w:left="601" w:right="318"/>
        <w:rPr>
          <w:rFonts w:ascii="Century Gothic" w:hAnsi="Century Gothic" w:cs="Arial"/>
          <w:sz w:val="20"/>
          <w:szCs w:val="20"/>
        </w:rPr>
      </w:pPr>
      <w:r w:rsidRPr="004A5B4B">
        <w:rPr>
          <w:rFonts w:ascii="Century Gothic" w:hAnsi="Century Gothic" w:cs="Arial"/>
          <w:sz w:val="20"/>
          <w:szCs w:val="20"/>
        </w:rPr>
        <w:t xml:space="preserve">“3.- En firme esta providencia, archívese el expediente dejando las constancias y anotaciones del caso” (fls. 237 y </w:t>
      </w:r>
      <w:smartTag w:uri="urn:schemas-microsoft-com:office:smarttags" w:element="metricconverter">
        <w:smartTagPr>
          <w:attr w:name="ProductID" w:val="238, C"/>
        </w:smartTagPr>
        <w:r w:rsidRPr="004A5B4B">
          <w:rPr>
            <w:rFonts w:ascii="Century Gothic" w:hAnsi="Century Gothic" w:cs="Arial"/>
            <w:sz w:val="20"/>
            <w:szCs w:val="20"/>
          </w:rPr>
          <w:t>238, C</w:t>
        </w:r>
      </w:smartTag>
      <w:r w:rsidRPr="004A5B4B">
        <w:rPr>
          <w:rFonts w:ascii="Century Gothic" w:hAnsi="Century Gothic" w:cs="Arial"/>
          <w:sz w:val="20"/>
          <w:szCs w:val="20"/>
        </w:rPr>
        <w:t>. Consejo).</w:t>
      </w:r>
    </w:p>
    <w:p w14:paraId="01EA812D" w14:textId="77777777" w:rsidR="007B66DD" w:rsidRPr="004A5B4B" w:rsidRDefault="007B66DD" w:rsidP="007B66DD">
      <w:pPr>
        <w:pStyle w:val="Textoindependiente"/>
        <w:spacing w:line="240" w:lineRule="auto"/>
        <w:ind w:left="601" w:right="318"/>
        <w:rPr>
          <w:rFonts w:ascii="Century Gothic" w:hAnsi="Century Gothic" w:cs="Arial"/>
          <w:sz w:val="22"/>
          <w:szCs w:val="22"/>
        </w:rPr>
      </w:pPr>
    </w:p>
    <w:p w14:paraId="1C6A48D5" w14:textId="77777777" w:rsidR="007B66DD" w:rsidRPr="004A5B4B" w:rsidRDefault="007B66DD" w:rsidP="007B66DD">
      <w:pPr>
        <w:pStyle w:val="Ttulo3"/>
        <w:jc w:val="center"/>
        <w:rPr>
          <w:rFonts w:ascii="Century Gothic" w:hAnsi="Century Gothic" w:cs="Arial"/>
          <w:b/>
          <w:sz w:val="22"/>
          <w:szCs w:val="22"/>
        </w:rPr>
      </w:pPr>
      <w:r w:rsidRPr="004A5B4B">
        <w:rPr>
          <w:rFonts w:ascii="Century Gothic" w:hAnsi="Century Gothic" w:cs="Arial"/>
          <w:b/>
          <w:sz w:val="22"/>
          <w:szCs w:val="22"/>
        </w:rPr>
        <w:t>I. ANTECEDENTES</w:t>
      </w:r>
    </w:p>
    <w:p w14:paraId="3478D0AC" w14:textId="77777777" w:rsidR="007B66DD" w:rsidRPr="004A5B4B" w:rsidRDefault="007B66DD" w:rsidP="007B66DD">
      <w:pPr>
        <w:spacing w:after="0"/>
      </w:pPr>
    </w:p>
    <w:p w14:paraId="19EA374B" w14:textId="77777777" w:rsidR="007B66DD" w:rsidRPr="004A5B4B" w:rsidRDefault="007B66DD" w:rsidP="007B66DD">
      <w:pPr>
        <w:spacing w:after="0" w:line="360" w:lineRule="auto"/>
        <w:jc w:val="both"/>
        <w:rPr>
          <w:rFonts w:ascii="Century Gothic" w:hAnsi="Century Gothic" w:cs="Arial"/>
          <w:bCs/>
        </w:rPr>
      </w:pPr>
      <w:r w:rsidRPr="004A5B4B">
        <w:rPr>
          <w:rFonts w:ascii="Century Gothic" w:hAnsi="Century Gothic" w:cs="Arial"/>
          <w:b/>
          <w:bCs/>
        </w:rPr>
        <w:t xml:space="preserve">1.- La demanda.- </w:t>
      </w:r>
      <w:r w:rsidRPr="004A5B4B">
        <w:rPr>
          <w:rFonts w:ascii="Century Gothic" w:hAnsi="Century Gothic" w:cs="Arial"/>
          <w:bCs/>
        </w:rPr>
        <w:t xml:space="preserve"> </w:t>
      </w:r>
    </w:p>
    <w:p w14:paraId="495805CC" w14:textId="77777777" w:rsidR="007B66DD" w:rsidRPr="004A5B4B" w:rsidRDefault="007B66DD" w:rsidP="007B66DD">
      <w:pPr>
        <w:spacing w:after="0" w:line="360" w:lineRule="auto"/>
        <w:jc w:val="both"/>
        <w:rPr>
          <w:rFonts w:ascii="Century Gothic" w:hAnsi="Century Gothic" w:cs="Arial"/>
          <w:bCs/>
        </w:rPr>
      </w:pPr>
    </w:p>
    <w:p w14:paraId="50E33CDF" w14:textId="77777777" w:rsidR="007B66DD" w:rsidRPr="004A5B4B" w:rsidRDefault="007B66DD" w:rsidP="007B66DD">
      <w:pPr>
        <w:pStyle w:val="Textoindependiente3"/>
        <w:tabs>
          <w:tab w:val="clear" w:pos="426"/>
        </w:tabs>
        <w:rPr>
          <w:rFonts w:ascii="Century Gothic" w:hAnsi="Century Gothic" w:cs="Arial"/>
          <w:sz w:val="22"/>
          <w:szCs w:val="22"/>
        </w:rPr>
      </w:pPr>
      <w:r w:rsidRPr="004A5B4B">
        <w:rPr>
          <w:rFonts w:ascii="Century Gothic" w:hAnsi="Century Gothic" w:cs="Arial"/>
          <w:sz w:val="22"/>
          <w:szCs w:val="22"/>
        </w:rPr>
        <w:t xml:space="preserve">Mediante escrito radicado el 16 de abril de 2001 en el Tribunal Administrativo de Casanare, el señor Daniel Alfonso Jaimes Berrios, actuando por conducto de apoderado, formuló demanda, en ejercicio de la acción de controversias contractuales consagrada en el artículo 87 del Código Contencioso Administrativo (subrogado por el artículo 32 de la Ley 446 de 1998), contra el </w:t>
      </w:r>
      <w:r>
        <w:rPr>
          <w:rFonts w:ascii="Century Gothic" w:hAnsi="Century Gothic" w:cs="Arial"/>
          <w:sz w:val="22"/>
          <w:szCs w:val="22"/>
        </w:rPr>
        <w:t>d</w:t>
      </w:r>
      <w:r w:rsidRPr="004A5B4B">
        <w:rPr>
          <w:rFonts w:ascii="Century Gothic" w:hAnsi="Century Gothic" w:cs="Arial"/>
          <w:sz w:val="22"/>
          <w:szCs w:val="22"/>
        </w:rPr>
        <w:t>epartamento de Casanare, con el fin de obtener: i) la declaración de nulidad de las Resoluciones</w:t>
      </w:r>
      <w:r>
        <w:rPr>
          <w:rFonts w:ascii="Century Gothic" w:hAnsi="Century Gothic" w:cs="Arial"/>
          <w:sz w:val="22"/>
          <w:szCs w:val="22"/>
        </w:rPr>
        <w:t xml:space="preserve"> 001391, 001394, 001389, 001388 y</w:t>
      </w:r>
      <w:r w:rsidRPr="004A5B4B">
        <w:rPr>
          <w:rFonts w:ascii="Century Gothic" w:hAnsi="Century Gothic" w:cs="Arial"/>
          <w:sz w:val="22"/>
          <w:szCs w:val="22"/>
        </w:rPr>
        <w:t xml:space="preserve"> 001387</w:t>
      </w:r>
      <w:r>
        <w:rPr>
          <w:rFonts w:ascii="Century Gothic" w:hAnsi="Century Gothic" w:cs="Arial"/>
          <w:sz w:val="22"/>
          <w:szCs w:val="22"/>
        </w:rPr>
        <w:t>,</w:t>
      </w:r>
      <w:r w:rsidRPr="004A5B4B">
        <w:rPr>
          <w:rFonts w:ascii="Century Gothic" w:hAnsi="Century Gothic" w:cs="Arial"/>
          <w:sz w:val="22"/>
          <w:szCs w:val="22"/>
        </w:rPr>
        <w:t xml:space="preserve"> del 1º de julio de 1998, por medio de las cuales se dispuso la terminación unilateral de unos contratos, ii) la declaración de nulidad de las Resoluciones 001586, 001588, 001585, 001584</w:t>
      </w:r>
      <w:r>
        <w:rPr>
          <w:rFonts w:ascii="Century Gothic" w:hAnsi="Century Gothic" w:cs="Arial"/>
          <w:sz w:val="22"/>
          <w:szCs w:val="22"/>
        </w:rPr>
        <w:t xml:space="preserve"> y</w:t>
      </w:r>
      <w:r w:rsidRPr="004A5B4B">
        <w:rPr>
          <w:rFonts w:ascii="Century Gothic" w:hAnsi="Century Gothic" w:cs="Arial"/>
          <w:sz w:val="22"/>
          <w:szCs w:val="22"/>
        </w:rPr>
        <w:t xml:space="preserve"> 001583</w:t>
      </w:r>
      <w:r>
        <w:rPr>
          <w:rFonts w:ascii="Century Gothic" w:hAnsi="Century Gothic" w:cs="Arial"/>
          <w:sz w:val="22"/>
          <w:szCs w:val="22"/>
        </w:rPr>
        <w:t>,</w:t>
      </w:r>
      <w:r w:rsidRPr="004A5B4B">
        <w:rPr>
          <w:rFonts w:ascii="Century Gothic" w:hAnsi="Century Gothic" w:cs="Arial"/>
          <w:sz w:val="22"/>
          <w:szCs w:val="22"/>
        </w:rPr>
        <w:t xml:space="preserve"> del 11 de septiembre de 1998, por medio de las cuales se confirmaron aquéllas, iii) la declaración de nulidad de las Resoluciones </w:t>
      </w:r>
      <w:r>
        <w:rPr>
          <w:rFonts w:ascii="Century Gothic" w:hAnsi="Century Gothic" w:cs="Arial"/>
          <w:sz w:val="22"/>
          <w:szCs w:val="22"/>
        </w:rPr>
        <w:t>0090, 00</w:t>
      </w:r>
      <w:r w:rsidRPr="004A5B4B">
        <w:rPr>
          <w:rFonts w:ascii="Century Gothic" w:hAnsi="Century Gothic" w:cs="Arial"/>
          <w:sz w:val="22"/>
          <w:szCs w:val="22"/>
        </w:rPr>
        <w:t>93,</w:t>
      </w:r>
      <w:r>
        <w:rPr>
          <w:rFonts w:ascii="Century Gothic" w:hAnsi="Century Gothic" w:cs="Arial"/>
          <w:sz w:val="22"/>
          <w:szCs w:val="22"/>
        </w:rPr>
        <w:t xml:space="preserve"> 0091,</w:t>
      </w:r>
      <w:r w:rsidRPr="004A5B4B">
        <w:rPr>
          <w:rFonts w:ascii="Century Gothic" w:hAnsi="Century Gothic" w:cs="Arial"/>
          <w:sz w:val="22"/>
          <w:szCs w:val="22"/>
        </w:rPr>
        <w:t xml:space="preserve"> 0092 y 0094</w:t>
      </w:r>
      <w:r>
        <w:rPr>
          <w:rFonts w:ascii="Century Gothic" w:hAnsi="Century Gothic" w:cs="Arial"/>
          <w:sz w:val="22"/>
          <w:szCs w:val="22"/>
        </w:rPr>
        <w:t>,</w:t>
      </w:r>
      <w:r w:rsidRPr="004A5B4B">
        <w:rPr>
          <w:rFonts w:ascii="Century Gothic" w:hAnsi="Century Gothic" w:cs="Arial"/>
          <w:sz w:val="22"/>
          <w:szCs w:val="22"/>
        </w:rPr>
        <w:t xml:space="preserve"> de</w:t>
      </w:r>
      <w:r>
        <w:rPr>
          <w:rFonts w:ascii="Century Gothic" w:hAnsi="Century Gothic" w:cs="Arial"/>
          <w:sz w:val="22"/>
          <w:szCs w:val="22"/>
        </w:rPr>
        <w:t>l 11 de febrero de 1999</w:t>
      </w:r>
      <w:r w:rsidRPr="004A5B4B">
        <w:rPr>
          <w:rFonts w:ascii="Century Gothic" w:hAnsi="Century Gothic" w:cs="Arial"/>
          <w:sz w:val="22"/>
          <w:szCs w:val="22"/>
        </w:rPr>
        <w:t>, mediante las cuales se liquidaron unilateralmente los contratos 1483-97, 1</w:t>
      </w:r>
      <w:r>
        <w:rPr>
          <w:rFonts w:ascii="Century Gothic" w:hAnsi="Century Gothic" w:cs="Arial"/>
          <w:sz w:val="22"/>
          <w:szCs w:val="22"/>
        </w:rPr>
        <w:t>4</w:t>
      </w:r>
      <w:r w:rsidRPr="004A5B4B">
        <w:rPr>
          <w:rFonts w:ascii="Century Gothic" w:hAnsi="Century Gothic" w:cs="Arial"/>
          <w:sz w:val="22"/>
          <w:szCs w:val="22"/>
        </w:rPr>
        <w:t>99</w:t>
      </w:r>
      <w:r>
        <w:rPr>
          <w:rFonts w:ascii="Century Gothic" w:hAnsi="Century Gothic" w:cs="Arial"/>
          <w:sz w:val="22"/>
          <w:szCs w:val="22"/>
        </w:rPr>
        <w:t>-97, 1487-97, 1488-97 y 1500-97</w:t>
      </w:r>
      <w:r w:rsidRPr="004A5B4B">
        <w:rPr>
          <w:rFonts w:ascii="Century Gothic" w:hAnsi="Century Gothic" w:cs="Arial"/>
          <w:sz w:val="22"/>
          <w:szCs w:val="22"/>
        </w:rPr>
        <w:t>, iv) que se declare la existencia de los citados contratos,</w:t>
      </w:r>
      <w:r>
        <w:rPr>
          <w:rFonts w:ascii="Century Gothic" w:hAnsi="Century Gothic" w:cs="Arial"/>
          <w:sz w:val="22"/>
          <w:szCs w:val="22"/>
        </w:rPr>
        <w:t xml:space="preserve"> que se declare</w:t>
      </w:r>
      <w:r w:rsidRPr="004A5B4B">
        <w:rPr>
          <w:rFonts w:ascii="Century Gothic" w:hAnsi="Century Gothic" w:cs="Arial"/>
          <w:sz w:val="22"/>
          <w:szCs w:val="22"/>
        </w:rPr>
        <w:t xml:space="preserve"> el incumplimiento de los </w:t>
      </w:r>
      <w:r>
        <w:rPr>
          <w:rFonts w:ascii="Century Gothic" w:hAnsi="Century Gothic" w:cs="Arial"/>
          <w:sz w:val="22"/>
          <w:szCs w:val="22"/>
        </w:rPr>
        <w:t>mismos por parte del d</w:t>
      </w:r>
      <w:r w:rsidRPr="004A5B4B">
        <w:rPr>
          <w:rFonts w:ascii="Century Gothic" w:hAnsi="Century Gothic" w:cs="Arial"/>
          <w:sz w:val="22"/>
          <w:szCs w:val="22"/>
        </w:rPr>
        <w:t xml:space="preserve">epartamento de Casanare y </w:t>
      </w:r>
      <w:r>
        <w:rPr>
          <w:rFonts w:ascii="Century Gothic" w:hAnsi="Century Gothic" w:cs="Arial"/>
          <w:sz w:val="22"/>
          <w:szCs w:val="22"/>
        </w:rPr>
        <w:t xml:space="preserve">v) que </w:t>
      </w:r>
      <w:r w:rsidRPr="004A5B4B">
        <w:rPr>
          <w:rFonts w:ascii="Century Gothic" w:hAnsi="Century Gothic" w:cs="Arial"/>
          <w:sz w:val="22"/>
          <w:szCs w:val="22"/>
        </w:rPr>
        <w:t xml:space="preserve">se condene a la entidad pública demandada a indemnizar los perjuicios de orden moral y material </w:t>
      </w:r>
      <w:r>
        <w:rPr>
          <w:rFonts w:ascii="Century Gothic" w:hAnsi="Century Gothic" w:cs="Arial"/>
          <w:sz w:val="22"/>
          <w:szCs w:val="22"/>
        </w:rPr>
        <w:t xml:space="preserve">ocasionados </w:t>
      </w:r>
      <w:r w:rsidRPr="004A5B4B">
        <w:rPr>
          <w:rFonts w:ascii="Century Gothic" w:hAnsi="Century Gothic" w:cs="Arial"/>
          <w:sz w:val="22"/>
          <w:szCs w:val="22"/>
        </w:rPr>
        <w:t xml:space="preserve">por la expedición de los actos </w:t>
      </w:r>
      <w:r>
        <w:rPr>
          <w:rFonts w:ascii="Century Gothic" w:hAnsi="Century Gothic" w:cs="Arial"/>
          <w:sz w:val="22"/>
          <w:szCs w:val="22"/>
        </w:rPr>
        <w:t xml:space="preserve">administrativos </w:t>
      </w:r>
      <w:r w:rsidRPr="004A5B4B">
        <w:rPr>
          <w:rFonts w:ascii="Century Gothic" w:hAnsi="Century Gothic" w:cs="Arial"/>
          <w:sz w:val="22"/>
          <w:szCs w:val="22"/>
        </w:rPr>
        <w:t xml:space="preserve">cuestionados (fl. </w:t>
      </w:r>
      <w:smartTag w:uri="urn:schemas-microsoft-com:office:smarttags" w:element="metricconverter">
        <w:smartTagPr>
          <w:attr w:name="ProductID" w:val="5, C"/>
        </w:smartTagPr>
        <w:r w:rsidRPr="004A5B4B">
          <w:rPr>
            <w:rFonts w:ascii="Century Gothic" w:hAnsi="Century Gothic" w:cs="Arial"/>
            <w:sz w:val="22"/>
            <w:szCs w:val="22"/>
          </w:rPr>
          <w:t>5, C</w:t>
        </w:r>
      </w:smartTag>
      <w:r w:rsidRPr="004A5B4B">
        <w:rPr>
          <w:rFonts w:ascii="Century Gothic" w:hAnsi="Century Gothic" w:cs="Arial"/>
          <w:sz w:val="22"/>
          <w:szCs w:val="22"/>
        </w:rPr>
        <w:t xml:space="preserve">. 1).   </w:t>
      </w:r>
    </w:p>
    <w:p w14:paraId="38A32814" w14:textId="77777777" w:rsidR="007B66DD" w:rsidRPr="004A5B4B" w:rsidRDefault="007B66DD" w:rsidP="007B66DD">
      <w:pPr>
        <w:pStyle w:val="Textoindependiente3"/>
        <w:tabs>
          <w:tab w:val="clear" w:pos="426"/>
        </w:tabs>
        <w:rPr>
          <w:rFonts w:ascii="Century Gothic" w:hAnsi="Century Gothic" w:cs="Arial"/>
          <w:sz w:val="22"/>
          <w:szCs w:val="22"/>
        </w:rPr>
      </w:pPr>
    </w:p>
    <w:p w14:paraId="664564C6" w14:textId="77777777" w:rsidR="007B66DD" w:rsidRPr="004A5B4B" w:rsidRDefault="007B66DD" w:rsidP="007B66DD">
      <w:pPr>
        <w:pStyle w:val="Textoindependiente3"/>
        <w:tabs>
          <w:tab w:val="clear" w:pos="426"/>
        </w:tabs>
        <w:rPr>
          <w:rFonts w:ascii="Century Gothic" w:hAnsi="Century Gothic" w:cs="Arial"/>
          <w:sz w:val="22"/>
          <w:szCs w:val="22"/>
        </w:rPr>
      </w:pPr>
      <w:r w:rsidRPr="004A5B4B">
        <w:rPr>
          <w:rFonts w:ascii="Century Gothic" w:hAnsi="Century Gothic" w:cs="Arial"/>
          <w:sz w:val="22"/>
          <w:szCs w:val="22"/>
        </w:rPr>
        <w:t>Los fundamentos fácticos de las pretensiones se pueden compendiar así:</w:t>
      </w:r>
    </w:p>
    <w:p w14:paraId="0F37F426" w14:textId="77777777" w:rsidR="007B66DD" w:rsidRPr="004A5B4B" w:rsidRDefault="007B66DD" w:rsidP="007B66DD">
      <w:pPr>
        <w:pStyle w:val="Textoindependiente3"/>
        <w:tabs>
          <w:tab w:val="clear" w:pos="426"/>
        </w:tabs>
        <w:rPr>
          <w:rFonts w:ascii="Century Gothic" w:hAnsi="Century Gothic" w:cs="Arial"/>
          <w:sz w:val="22"/>
          <w:szCs w:val="22"/>
        </w:rPr>
      </w:pPr>
    </w:p>
    <w:p w14:paraId="709DFEB7" w14:textId="77777777" w:rsidR="007B66DD" w:rsidRPr="004A5B4B" w:rsidRDefault="007B66DD" w:rsidP="007B66DD">
      <w:pPr>
        <w:pStyle w:val="Textoindependiente3"/>
        <w:tabs>
          <w:tab w:val="clear" w:pos="426"/>
        </w:tabs>
        <w:rPr>
          <w:rFonts w:ascii="Century Gothic" w:hAnsi="Century Gothic" w:cs="Tahoma"/>
          <w:sz w:val="22"/>
          <w:szCs w:val="22"/>
        </w:rPr>
      </w:pPr>
      <w:r w:rsidRPr="004A5B4B">
        <w:rPr>
          <w:rFonts w:ascii="Century Gothic" w:hAnsi="Century Gothic" w:cs="Arial"/>
          <w:b/>
          <w:sz w:val="22"/>
          <w:szCs w:val="22"/>
        </w:rPr>
        <w:t>2.1.-</w:t>
      </w:r>
      <w:r w:rsidRPr="004A5B4B">
        <w:rPr>
          <w:rFonts w:ascii="Century Gothic" w:hAnsi="Century Gothic" w:cs="Arial"/>
          <w:sz w:val="22"/>
          <w:szCs w:val="22"/>
        </w:rPr>
        <w:t xml:space="preserve"> El 30 de diciembre de 1997 fueron celebrados los contratos 1488, 1483, 1487, 1499 y 1500</w:t>
      </w:r>
      <w:r>
        <w:rPr>
          <w:rFonts w:ascii="Century Gothic" w:hAnsi="Century Gothic" w:cs="Arial"/>
          <w:sz w:val="22"/>
          <w:szCs w:val="22"/>
        </w:rPr>
        <w:t>, entre el d</w:t>
      </w:r>
      <w:r w:rsidRPr="004A5B4B">
        <w:rPr>
          <w:rFonts w:ascii="Century Gothic" w:hAnsi="Century Gothic" w:cs="Arial"/>
          <w:sz w:val="22"/>
          <w:szCs w:val="22"/>
        </w:rPr>
        <w:t xml:space="preserve">epartamento de Casanare y </w:t>
      </w:r>
      <w:r w:rsidRPr="004A5B4B">
        <w:rPr>
          <w:rFonts w:ascii="Century Gothic" w:hAnsi="Century Gothic" w:cs="Arial"/>
          <w:i/>
          <w:sz w:val="22"/>
          <w:szCs w:val="22"/>
        </w:rPr>
        <w:t>“Daniel Jaimes Berrios y/o Pisos y Enchapes”</w:t>
      </w:r>
      <w:r>
        <w:rPr>
          <w:rFonts w:ascii="Century Gothic" w:hAnsi="Century Gothic" w:cs="Arial"/>
          <w:sz w:val="22"/>
          <w:szCs w:val="22"/>
        </w:rPr>
        <w:t xml:space="preserve"> (fl. </w:t>
      </w:r>
      <w:smartTag w:uri="urn:schemas-microsoft-com:office:smarttags" w:element="metricconverter">
        <w:smartTagPr>
          <w:attr w:name="ProductID" w:val="3, C"/>
        </w:smartTagPr>
        <w:r>
          <w:rPr>
            <w:rFonts w:ascii="Century Gothic" w:hAnsi="Century Gothic" w:cs="Arial"/>
            <w:sz w:val="22"/>
            <w:szCs w:val="22"/>
          </w:rPr>
          <w:t>3, C</w:t>
        </w:r>
      </w:smartTag>
      <w:r>
        <w:rPr>
          <w:rFonts w:ascii="Century Gothic" w:hAnsi="Century Gothic" w:cs="Arial"/>
          <w:sz w:val="22"/>
          <w:szCs w:val="22"/>
        </w:rPr>
        <w:t>. 1)</w:t>
      </w:r>
      <w:r w:rsidRPr="004A5B4B">
        <w:rPr>
          <w:rFonts w:ascii="Century Gothic" w:hAnsi="Century Gothic" w:cs="Arial"/>
          <w:sz w:val="22"/>
          <w:szCs w:val="22"/>
        </w:rPr>
        <w:t>, cuyo objeto consistió en el suministro de materiales para la construcción de algunos barrios del municipio de Yopal.</w:t>
      </w:r>
      <w:r w:rsidRPr="004A5B4B">
        <w:rPr>
          <w:rFonts w:ascii="Century Gothic" w:hAnsi="Century Gothic" w:cs="Tahoma"/>
          <w:sz w:val="22"/>
          <w:szCs w:val="22"/>
        </w:rPr>
        <w:t xml:space="preserve"> Los requisitos de ejecución fueron satisfechos en enero de 1998.</w:t>
      </w:r>
    </w:p>
    <w:p w14:paraId="7841930F" w14:textId="77777777" w:rsidR="007B66DD" w:rsidRPr="004A5B4B" w:rsidRDefault="007B66DD" w:rsidP="007B66DD">
      <w:pPr>
        <w:pStyle w:val="Textoindependiente3"/>
        <w:tabs>
          <w:tab w:val="clear" w:pos="426"/>
        </w:tabs>
        <w:rPr>
          <w:rFonts w:ascii="Century Gothic" w:hAnsi="Century Gothic" w:cs="Arial"/>
          <w:sz w:val="22"/>
          <w:szCs w:val="22"/>
        </w:rPr>
      </w:pPr>
    </w:p>
    <w:p w14:paraId="06B3ABE6" w14:textId="77777777" w:rsidR="007B66DD" w:rsidRPr="004A5B4B" w:rsidRDefault="007B66DD" w:rsidP="007B66DD">
      <w:pPr>
        <w:pStyle w:val="Textoindependiente3"/>
        <w:tabs>
          <w:tab w:val="clear" w:pos="426"/>
        </w:tabs>
        <w:rPr>
          <w:rFonts w:ascii="Century Gothic" w:hAnsi="Century Gothic" w:cs="Tahoma"/>
          <w:sz w:val="22"/>
          <w:szCs w:val="22"/>
        </w:rPr>
      </w:pPr>
      <w:r w:rsidRPr="004A5B4B">
        <w:rPr>
          <w:rFonts w:ascii="Century Gothic" w:hAnsi="Century Gothic" w:cs="Tahoma"/>
          <w:b/>
          <w:sz w:val="22"/>
          <w:szCs w:val="22"/>
        </w:rPr>
        <w:t xml:space="preserve">2.2.- </w:t>
      </w:r>
      <w:r w:rsidRPr="004A5B4B">
        <w:rPr>
          <w:rFonts w:ascii="Century Gothic" w:hAnsi="Century Gothic" w:cs="Tahoma"/>
          <w:sz w:val="22"/>
          <w:szCs w:val="22"/>
        </w:rPr>
        <w:t>Posteriormente, mediante Resoluciones 001391, 001394, 001389, 001388 y 001387, todas del 1º de julio de 1998, se decretó la terminaci</w:t>
      </w:r>
      <w:r>
        <w:rPr>
          <w:rFonts w:ascii="Century Gothic" w:hAnsi="Century Gothic" w:cs="Tahoma"/>
          <w:sz w:val="22"/>
          <w:szCs w:val="22"/>
        </w:rPr>
        <w:t>ón</w:t>
      </w:r>
      <w:r w:rsidRPr="004A5B4B">
        <w:rPr>
          <w:rFonts w:ascii="Century Gothic" w:hAnsi="Century Gothic" w:cs="Tahoma"/>
          <w:sz w:val="22"/>
          <w:szCs w:val="22"/>
        </w:rPr>
        <w:t xml:space="preserve"> unilateral de los mencionados contratos.</w:t>
      </w:r>
    </w:p>
    <w:p w14:paraId="35D65D5D" w14:textId="77777777" w:rsidR="007B66DD" w:rsidRPr="004A5B4B" w:rsidRDefault="007B66DD" w:rsidP="007B66DD">
      <w:pPr>
        <w:pStyle w:val="Textoindependiente3"/>
        <w:tabs>
          <w:tab w:val="clear" w:pos="426"/>
        </w:tabs>
        <w:rPr>
          <w:rFonts w:ascii="Century Gothic" w:hAnsi="Century Gothic" w:cs="Tahoma"/>
          <w:sz w:val="22"/>
          <w:szCs w:val="22"/>
        </w:rPr>
      </w:pPr>
    </w:p>
    <w:p w14:paraId="7BC88535" w14:textId="77777777" w:rsidR="007B66DD" w:rsidRPr="004A5B4B" w:rsidRDefault="007B66DD" w:rsidP="007B66DD">
      <w:pPr>
        <w:pStyle w:val="Textoindependiente3"/>
        <w:tabs>
          <w:tab w:val="clear" w:pos="426"/>
        </w:tabs>
        <w:rPr>
          <w:rFonts w:ascii="Century Gothic" w:hAnsi="Century Gothic" w:cs="Tahoma"/>
          <w:sz w:val="22"/>
          <w:szCs w:val="22"/>
        </w:rPr>
      </w:pPr>
      <w:r w:rsidRPr="004A5B4B">
        <w:rPr>
          <w:rFonts w:ascii="Century Gothic" w:hAnsi="Century Gothic" w:cs="Tahoma"/>
          <w:b/>
          <w:sz w:val="22"/>
          <w:szCs w:val="22"/>
        </w:rPr>
        <w:t>2.3.-</w:t>
      </w:r>
      <w:r w:rsidRPr="004A5B4B">
        <w:rPr>
          <w:rFonts w:ascii="Century Gothic" w:hAnsi="Century Gothic" w:cs="Tahoma"/>
          <w:sz w:val="22"/>
          <w:szCs w:val="22"/>
        </w:rPr>
        <w:t xml:space="preserve"> El contratista interpuso recurso de reposición contra los actos administrativos que ejercitaron la precitada facultad excepcional y, mediante Resoluciones 001586, 001588, 001585, 001584 y 001583, de</w:t>
      </w:r>
      <w:r>
        <w:rPr>
          <w:rFonts w:ascii="Century Gothic" w:hAnsi="Century Gothic" w:cs="Tahoma"/>
          <w:sz w:val="22"/>
          <w:szCs w:val="22"/>
        </w:rPr>
        <w:t>l 11 de septiembre de 1998, el d</w:t>
      </w:r>
      <w:r w:rsidRPr="004A5B4B">
        <w:rPr>
          <w:rFonts w:ascii="Century Gothic" w:hAnsi="Century Gothic" w:cs="Tahoma"/>
          <w:sz w:val="22"/>
          <w:szCs w:val="22"/>
        </w:rPr>
        <w:t>epartamento confirmó la</w:t>
      </w:r>
      <w:r>
        <w:rPr>
          <w:rFonts w:ascii="Century Gothic" w:hAnsi="Century Gothic" w:cs="Tahoma"/>
          <w:sz w:val="22"/>
          <w:szCs w:val="22"/>
        </w:rPr>
        <w:t xml:space="preserve"> decisión de terminar unilateralmente los contratos</w:t>
      </w:r>
      <w:r w:rsidRPr="004A5B4B">
        <w:rPr>
          <w:rFonts w:ascii="Century Gothic" w:hAnsi="Century Gothic" w:cs="Tahoma"/>
          <w:sz w:val="22"/>
          <w:szCs w:val="22"/>
        </w:rPr>
        <w:t>.</w:t>
      </w:r>
    </w:p>
    <w:p w14:paraId="56AB4CF2" w14:textId="77777777" w:rsidR="007B66DD" w:rsidRPr="004A5B4B" w:rsidRDefault="007B66DD" w:rsidP="007B66DD">
      <w:pPr>
        <w:pStyle w:val="Textoindependiente3"/>
        <w:tabs>
          <w:tab w:val="clear" w:pos="426"/>
        </w:tabs>
        <w:rPr>
          <w:rFonts w:ascii="Century Gothic" w:hAnsi="Century Gothic" w:cs="Tahoma"/>
          <w:sz w:val="22"/>
          <w:szCs w:val="22"/>
        </w:rPr>
      </w:pPr>
    </w:p>
    <w:p w14:paraId="04B3C226" w14:textId="77777777" w:rsidR="007B66DD" w:rsidRPr="004A5B4B" w:rsidRDefault="007B66DD" w:rsidP="007B66DD">
      <w:pPr>
        <w:pStyle w:val="Textoindependiente3"/>
        <w:tabs>
          <w:tab w:val="clear" w:pos="426"/>
        </w:tabs>
        <w:rPr>
          <w:rFonts w:ascii="Century Gothic" w:hAnsi="Century Gothic" w:cs="Tahoma"/>
          <w:sz w:val="22"/>
          <w:szCs w:val="22"/>
        </w:rPr>
      </w:pPr>
      <w:r w:rsidRPr="004A5B4B">
        <w:rPr>
          <w:rFonts w:ascii="Century Gothic" w:hAnsi="Century Gothic" w:cs="Tahoma"/>
          <w:b/>
          <w:sz w:val="22"/>
          <w:szCs w:val="22"/>
        </w:rPr>
        <w:t>2.4.-</w:t>
      </w:r>
      <w:r w:rsidRPr="004A5B4B">
        <w:rPr>
          <w:rFonts w:ascii="Century Gothic" w:hAnsi="Century Gothic" w:cs="Tahoma"/>
          <w:sz w:val="22"/>
          <w:szCs w:val="22"/>
        </w:rPr>
        <w:t xml:space="preserve"> Mediante Resoluciones 090, 091, 092</w:t>
      </w:r>
      <w:r>
        <w:rPr>
          <w:rFonts w:ascii="Century Gothic" w:hAnsi="Century Gothic" w:cs="Tahoma"/>
          <w:sz w:val="22"/>
          <w:szCs w:val="22"/>
        </w:rPr>
        <w:t>, 093</w:t>
      </w:r>
      <w:r w:rsidRPr="004A5B4B">
        <w:rPr>
          <w:rFonts w:ascii="Century Gothic" w:hAnsi="Century Gothic" w:cs="Tahoma"/>
          <w:sz w:val="22"/>
          <w:szCs w:val="22"/>
        </w:rPr>
        <w:t xml:space="preserve"> y 094, todas del 11 de febrero de 1999, se liquidaron unilateralmente los referidos contratos </w:t>
      </w:r>
      <w:r w:rsidRPr="004A5B4B">
        <w:rPr>
          <w:rFonts w:ascii="Century Gothic" w:hAnsi="Century Gothic" w:cs="Tahoma"/>
          <w:i/>
          <w:sz w:val="22"/>
          <w:szCs w:val="22"/>
        </w:rPr>
        <w:t xml:space="preserve">“… </w:t>
      </w:r>
      <w:r w:rsidRPr="004A5B4B">
        <w:rPr>
          <w:rFonts w:ascii="Century Gothic" w:hAnsi="Century Gothic" w:cs="Tahoma"/>
          <w:b/>
          <w:i/>
          <w:sz w:val="22"/>
          <w:szCs w:val="22"/>
        </w:rPr>
        <w:t xml:space="preserve">sin haber tenido en </w:t>
      </w:r>
      <w:r w:rsidRPr="004A5B4B">
        <w:rPr>
          <w:rFonts w:ascii="Century Gothic" w:hAnsi="Century Gothic" w:cs="Tahoma"/>
          <w:b/>
          <w:i/>
          <w:sz w:val="22"/>
          <w:szCs w:val="22"/>
        </w:rPr>
        <w:lastRenderedPageBreak/>
        <w:t>cuenta la inasistencia del contratista</w:t>
      </w:r>
      <w:r w:rsidRPr="004A5B4B">
        <w:rPr>
          <w:rFonts w:ascii="Century Gothic" w:hAnsi="Century Gothic" w:cs="Tahoma"/>
          <w:i/>
          <w:sz w:val="22"/>
          <w:szCs w:val="22"/>
        </w:rPr>
        <w:t xml:space="preserve">, por falta de notificación ni tampoco (sic) la presentación de los recibos de entrega de bloques o suministro de parte de los materiales objeto del contrato” </w:t>
      </w:r>
      <w:r w:rsidRPr="004A5B4B">
        <w:rPr>
          <w:rFonts w:ascii="Century Gothic" w:hAnsi="Century Gothic" w:cs="Tahoma"/>
          <w:sz w:val="22"/>
          <w:szCs w:val="22"/>
        </w:rPr>
        <w:t xml:space="preserve">(fl. </w:t>
      </w:r>
      <w:smartTag w:uri="urn:schemas-microsoft-com:office:smarttags" w:element="metricconverter">
        <w:smartTagPr>
          <w:attr w:name="ProductID" w:val="4, C"/>
        </w:smartTagPr>
        <w:r w:rsidRPr="004A5B4B">
          <w:rPr>
            <w:rFonts w:ascii="Century Gothic" w:hAnsi="Century Gothic" w:cs="Tahoma"/>
            <w:sz w:val="22"/>
            <w:szCs w:val="22"/>
          </w:rPr>
          <w:t>4, C</w:t>
        </w:r>
      </w:smartTag>
      <w:r w:rsidRPr="004A5B4B">
        <w:rPr>
          <w:rFonts w:ascii="Century Gothic" w:hAnsi="Century Gothic" w:cs="Tahoma"/>
          <w:sz w:val="22"/>
          <w:szCs w:val="22"/>
        </w:rPr>
        <w:t>. 1)</w:t>
      </w:r>
      <w:r w:rsidRPr="004A5B4B">
        <w:rPr>
          <w:rFonts w:ascii="Century Gothic" w:hAnsi="Century Gothic" w:cs="Tahoma"/>
          <w:i/>
          <w:sz w:val="22"/>
          <w:szCs w:val="22"/>
        </w:rPr>
        <w:t>.</w:t>
      </w:r>
      <w:r w:rsidRPr="004A5B4B">
        <w:rPr>
          <w:rFonts w:ascii="Century Gothic" w:hAnsi="Century Gothic" w:cs="Tahoma"/>
          <w:sz w:val="22"/>
          <w:szCs w:val="22"/>
        </w:rPr>
        <w:t xml:space="preserve"> </w:t>
      </w:r>
      <w:r>
        <w:rPr>
          <w:rFonts w:ascii="Century Gothic" w:hAnsi="Century Gothic" w:cs="Tahoma"/>
          <w:sz w:val="22"/>
          <w:szCs w:val="22"/>
        </w:rPr>
        <w:t>Estas</w:t>
      </w:r>
      <w:r w:rsidRPr="004A5B4B">
        <w:rPr>
          <w:rFonts w:ascii="Century Gothic" w:hAnsi="Century Gothic" w:cs="Tahoma"/>
          <w:sz w:val="22"/>
          <w:szCs w:val="22"/>
        </w:rPr>
        <w:t xml:space="preserve"> resoluciones fueron recurridas oportunamente y decididas medi</w:t>
      </w:r>
      <w:r>
        <w:rPr>
          <w:rFonts w:ascii="Century Gothic" w:hAnsi="Century Gothic" w:cs="Tahoma"/>
          <w:sz w:val="22"/>
          <w:szCs w:val="22"/>
        </w:rPr>
        <w:t xml:space="preserve">ante Resolución 00217 del 7 de </w:t>
      </w:r>
      <w:r w:rsidRPr="004A5B4B">
        <w:rPr>
          <w:rFonts w:ascii="Century Gothic" w:hAnsi="Century Gothic" w:cs="Tahoma"/>
          <w:sz w:val="22"/>
          <w:szCs w:val="22"/>
        </w:rPr>
        <w:t>a</w:t>
      </w:r>
      <w:r>
        <w:rPr>
          <w:rFonts w:ascii="Century Gothic" w:hAnsi="Century Gothic" w:cs="Tahoma"/>
          <w:sz w:val="22"/>
          <w:szCs w:val="22"/>
        </w:rPr>
        <w:t>b</w:t>
      </w:r>
      <w:r w:rsidRPr="004A5B4B">
        <w:rPr>
          <w:rFonts w:ascii="Century Gothic" w:hAnsi="Century Gothic" w:cs="Tahoma"/>
          <w:sz w:val="22"/>
          <w:szCs w:val="22"/>
        </w:rPr>
        <w:t xml:space="preserve">ril de 1999, la cual fue notificada el 13 del mismo mes y año (fls. </w:t>
      </w:r>
      <w:smartTag w:uri="urn:schemas-microsoft-com:office:smarttags" w:element="metricconverter">
        <w:smartTagPr>
          <w:attr w:name="ProductID" w:val="3 a"/>
        </w:smartTagPr>
        <w:r w:rsidRPr="004A5B4B">
          <w:rPr>
            <w:rFonts w:ascii="Century Gothic" w:hAnsi="Century Gothic" w:cs="Tahoma"/>
            <w:sz w:val="22"/>
            <w:szCs w:val="22"/>
          </w:rPr>
          <w:t>3 a</w:t>
        </w:r>
      </w:smartTag>
      <w:r w:rsidRPr="004A5B4B">
        <w:rPr>
          <w:rFonts w:ascii="Century Gothic" w:hAnsi="Century Gothic" w:cs="Tahoma"/>
          <w:sz w:val="22"/>
          <w:szCs w:val="22"/>
        </w:rPr>
        <w:t xml:space="preserve"> </w:t>
      </w:r>
      <w:smartTag w:uri="urn:schemas-microsoft-com:office:smarttags" w:element="metricconverter">
        <w:smartTagPr>
          <w:attr w:name="ProductID" w:val="5, C"/>
        </w:smartTagPr>
        <w:r w:rsidRPr="004A5B4B">
          <w:rPr>
            <w:rFonts w:ascii="Century Gothic" w:hAnsi="Century Gothic" w:cs="Tahoma"/>
            <w:sz w:val="22"/>
            <w:szCs w:val="22"/>
          </w:rPr>
          <w:t>5, C</w:t>
        </w:r>
      </w:smartTag>
      <w:r w:rsidRPr="004A5B4B">
        <w:rPr>
          <w:rFonts w:ascii="Century Gothic" w:hAnsi="Century Gothic" w:cs="Tahoma"/>
          <w:sz w:val="22"/>
          <w:szCs w:val="22"/>
        </w:rPr>
        <w:t xml:space="preserve">. 1). </w:t>
      </w:r>
    </w:p>
    <w:p w14:paraId="7F2BE44C" w14:textId="77777777" w:rsidR="007B66DD" w:rsidRPr="004A5B4B" w:rsidRDefault="007B66DD" w:rsidP="007B66DD">
      <w:pPr>
        <w:spacing w:after="0" w:line="360" w:lineRule="auto"/>
        <w:ind w:right="-1"/>
        <w:jc w:val="both"/>
        <w:rPr>
          <w:rFonts w:ascii="Century Gothic" w:hAnsi="Century Gothic" w:cs="Arial"/>
          <w:b/>
          <w:bCs/>
        </w:rPr>
      </w:pPr>
    </w:p>
    <w:p w14:paraId="51E2362A" w14:textId="77777777" w:rsidR="007B66DD" w:rsidRPr="004A5B4B" w:rsidRDefault="007B66DD" w:rsidP="007B66DD">
      <w:pPr>
        <w:spacing w:after="0" w:line="360" w:lineRule="auto"/>
        <w:ind w:right="-1"/>
        <w:jc w:val="both"/>
        <w:rPr>
          <w:rFonts w:ascii="Century Gothic" w:hAnsi="Century Gothic" w:cs="Arial"/>
          <w:b/>
          <w:bCs/>
        </w:rPr>
      </w:pPr>
      <w:r w:rsidRPr="004A5B4B">
        <w:rPr>
          <w:rFonts w:ascii="Century Gothic" w:hAnsi="Century Gothic" w:cs="Arial"/>
          <w:b/>
          <w:bCs/>
        </w:rPr>
        <w:t xml:space="preserve">3.- Fundamentos de derecho, normas violadas y concepto de violación.- </w:t>
      </w:r>
    </w:p>
    <w:p w14:paraId="6E44BB27" w14:textId="77777777" w:rsidR="007B66DD" w:rsidRPr="004A5B4B" w:rsidRDefault="007B66DD" w:rsidP="007B66DD">
      <w:pPr>
        <w:spacing w:after="0" w:line="360" w:lineRule="auto"/>
        <w:ind w:right="-1"/>
        <w:jc w:val="both"/>
        <w:rPr>
          <w:rFonts w:ascii="Century Gothic" w:hAnsi="Century Gothic" w:cs="Arial"/>
          <w:bCs/>
        </w:rPr>
      </w:pPr>
    </w:p>
    <w:p w14:paraId="5DCCB576" w14:textId="77777777" w:rsidR="007B66DD" w:rsidRPr="004A5B4B" w:rsidRDefault="007B66DD" w:rsidP="007B66DD">
      <w:pPr>
        <w:spacing w:after="0" w:line="360" w:lineRule="auto"/>
        <w:ind w:right="-1"/>
        <w:jc w:val="both"/>
        <w:rPr>
          <w:rFonts w:ascii="Century Gothic" w:hAnsi="Century Gothic" w:cs="Arial"/>
          <w:bCs/>
        </w:rPr>
      </w:pPr>
      <w:r w:rsidRPr="004A5B4B">
        <w:rPr>
          <w:rFonts w:ascii="Century Gothic" w:hAnsi="Century Gothic" w:cs="Arial"/>
          <w:bCs/>
        </w:rPr>
        <w:t>La demanda invocó los artículos 29 de la Constitución Política y 87 del Código Contencioso Administrativo.</w:t>
      </w:r>
    </w:p>
    <w:p w14:paraId="115A5818" w14:textId="77777777" w:rsidR="007B66DD" w:rsidRPr="004A5B4B" w:rsidRDefault="007B66DD" w:rsidP="007B66DD">
      <w:pPr>
        <w:spacing w:after="0" w:line="360" w:lineRule="auto"/>
        <w:ind w:right="-1"/>
        <w:jc w:val="both"/>
        <w:rPr>
          <w:rFonts w:ascii="Century Gothic" w:hAnsi="Century Gothic" w:cs="Arial"/>
          <w:bCs/>
        </w:rPr>
      </w:pPr>
    </w:p>
    <w:p w14:paraId="51F25D98" w14:textId="77777777" w:rsidR="007B66DD" w:rsidRPr="004A5B4B" w:rsidRDefault="007B66DD" w:rsidP="007B66DD">
      <w:pPr>
        <w:spacing w:after="0" w:line="360" w:lineRule="auto"/>
        <w:ind w:right="-1"/>
        <w:jc w:val="both"/>
        <w:rPr>
          <w:rFonts w:ascii="Century Gothic" w:hAnsi="Century Gothic" w:cs="Arial"/>
          <w:bCs/>
        </w:rPr>
      </w:pPr>
      <w:r w:rsidRPr="004A5B4B">
        <w:rPr>
          <w:rFonts w:ascii="Century Gothic" w:hAnsi="Century Gothic" w:cs="Arial"/>
          <w:bCs/>
        </w:rPr>
        <w:t>Sostuvo que la entidad demandada desconoció el derecho al debido proceso, porque la entidad pública omitió citar al contratista para efectuar la liquidación final de los contratos y porque</w:t>
      </w:r>
      <w:r>
        <w:rPr>
          <w:rFonts w:ascii="Century Gothic" w:hAnsi="Century Gothic" w:cs="Arial"/>
          <w:bCs/>
        </w:rPr>
        <w:t>,</w:t>
      </w:r>
      <w:r w:rsidRPr="004A5B4B">
        <w:rPr>
          <w:rFonts w:ascii="Century Gothic" w:hAnsi="Century Gothic" w:cs="Arial"/>
          <w:bCs/>
        </w:rPr>
        <w:t xml:space="preserve"> al resolver los recursos interpuestos contra las resoluciones que adoptaron la liquidación unilateral de los contratos</w:t>
      </w:r>
      <w:r>
        <w:rPr>
          <w:rFonts w:ascii="Century Gothic" w:hAnsi="Century Gothic" w:cs="Arial"/>
          <w:bCs/>
        </w:rPr>
        <w:t>,</w:t>
      </w:r>
      <w:r w:rsidRPr="004A5B4B">
        <w:rPr>
          <w:rFonts w:ascii="Century Gothic" w:hAnsi="Century Gothic" w:cs="Arial"/>
          <w:bCs/>
        </w:rPr>
        <w:t xml:space="preserve"> no tuvo en cuenta los argumentos expuestos por el recurrente.</w:t>
      </w:r>
    </w:p>
    <w:p w14:paraId="59FD77FE" w14:textId="77777777" w:rsidR="007B66DD" w:rsidRPr="004A5B4B" w:rsidRDefault="007B66DD" w:rsidP="007B66DD">
      <w:pPr>
        <w:spacing w:after="0" w:line="360" w:lineRule="auto"/>
        <w:ind w:right="-1"/>
        <w:jc w:val="both"/>
        <w:rPr>
          <w:rFonts w:ascii="Century Gothic" w:hAnsi="Century Gothic" w:cs="Arial"/>
          <w:bCs/>
        </w:rPr>
      </w:pPr>
    </w:p>
    <w:p w14:paraId="6BF13B10" w14:textId="77777777" w:rsidR="007B66DD" w:rsidRPr="004A5B4B" w:rsidRDefault="007B66DD" w:rsidP="007B66DD">
      <w:pPr>
        <w:spacing w:after="0" w:line="360" w:lineRule="auto"/>
        <w:ind w:right="-1"/>
        <w:jc w:val="both"/>
        <w:rPr>
          <w:rFonts w:ascii="Century Gothic" w:hAnsi="Century Gothic" w:cs="Arial"/>
          <w:bCs/>
        </w:rPr>
      </w:pPr>
      <w:r w:rsidRPr="004A5B4B">
        <w:rPr>
          <w:rFonts w:ascii="Century Gothic" w:hAnsi="Century Gothic" w:cs="Arial"/>
          <w:bCs/>
        </w:rPr>
        <w:t xml:space="preserve">Señaló que el argumento atinente al fraccionamiento de los contratos para la adjudicación no es atribuible al contratista, pues la actuación administrativa tendiente a escoger al contratista es del exclusivo resorte de la entidad pública (fls. </w:t>
      </w:r>
      <w:smartTag w:uri="urn:schemas-microsoft-com:office:smarttags" w:element="metricconverter">
        <w:smartTagPr>
          <w:attr w:name="ProductID" w:val="5 a"/>
        </w:smartTagPr>
        <w:r w:rsidRPr="004A5B4B">
          <w:rPr>
            <w:rFonts w:ascii="Century Gothic" w:hAnsi="Century Gothic" w:cs="Arial"/>
            <w:bCs/>
          </w:rPr>
          <w:t>5 a</w:t>
        </w:r>
      </w:smartTag>
      <w:r w:rsidRPr="004A5B4B">
        <w:rPr>
          <w:rFonts w:ascii="Century Gothic" w:hAnsi="Century Gothic" w:cs="Arial"/>
          <w:bCs/>
        </w:rPr>
        <w:t xml:space="preserve"> </w:t>
      </w:r>
      <w:smartTag w:uri="urn:schemas-microsoft-com:office:smarttags" w:element="metricconverter">
        <w:smartTagPr>
          <w:attr w:name="ProductID" w:val="7, C"/>
        </w:smartTagPr>
        <w:r w:rsidRPr="004A5B4B">
          <w:rPr>
            <w:rFonts w:ascii="Century Gothic" w:hAnsi="Century Gothic" w:cs="Arial"/>
            <w:bCs/>
          </w:rPr>
          <w:t>7, C</w:t>
        </w:r>
      </w:smartTag>
      <w:r w:rsidRPr="004A5B4B">
        <w:rPr>
          <w:rFonts w:ascii="Century Gothic" w:hAnsi="Century Gothic" w:cs="Arial"/>
          <w:bCs/>
        </w:rPr>
        <w:t xml:space="preserve">. 1)  </w:t>
      </w:r>
    </w:p>
    <w:p w14:paraId="2073D551" w14:textId="77777777" w:rsidR="007B66DD" w:rsidRPr="004A5B4B" w:rsidRDefault="007B66DD" w:rsidP="007B66DD">
      <w:pPr>
        <w:spacing w:after="0" w:line="360" w:lineRule="auto"/>
        <w:ind w:right="-1"/>
        <w:jc w:val="both"/>
        <w:rPr>
          <w:rFonts w:ascii="Century Gothic" w:hAnsi="Century Gothic" w:cs="Arial"/>
          <w:bCs/>
        </w:rPr>
      </w:pPr>
    </w:p>
    <w:p w14:paraId="16CB4BAF" w14:textId="77777777" w:rsidR="007B66DD" w:rsidRPr="004A5B4B" w:rsidRDefault="007B66DD" w:rsidP="007B66DD">
      <w:pPr>
        <w:pStyle w:val="Textoindependiente210"/>
        <w:tabs>
          <w:tab w:val="left" w:pos="567"/>
        </w:tabs>
        <w:ind w:right="-4" w:firstLine="0"/>
        <w:rPr>
          <w:rFonts w:ascii="Century Gothic" w:hAnsi="Century Gothic" w:cs="Tahoma"/>
          <w:b/>
          <w:sz w:val="22"/>
          <w:szCs w:val="22"/>
        </w:rPr>
      </w:pPr>
      <w:r w:rsidRPr="004A5B4B">
        <w:rPr>
          <w:rFonts w:ascii="Century Gothic" w:hAnsi="Century Gothic" w:cs="Tahoma"/>
          <w:b/>
          <w:sz w:val="22"/>
          <w:szCs w:val="22"/>
        </w:rPr>
        <w:t>4.- La actuación procesal.-</w:t>
      </w:r>
    </w:p>
    <w:p w14:paraId="10234873" w14:textId="77777777" w:rsidR="007B66DD" w:rsidRPr="004A5B4B" w:rsidRDefault="007B66DD" w:rsidP="007B66DD">
      <w:pPr>
        <w:pStyle w:val="Textoindependiente210"/>
        <w:ind w:firstLine="708"/>
        <w:rPr>
          <w:rFonts w:ascii="Century Gothic" w:hAnsi="Century Gothic" w:cs="Tahoma"/>
          <w:sz w:val="22"/>
          <w:szCs w:val="22"/>
        </w:rPr>
      </w:pPr>
    </w:p>
    <w:p w14:paraId="349F2F62"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 xml:space="preserve">Por auto del 6 de septiembre de 2001, el Tribunal Administrativo de Casanare admitió la demanda y ordenó notificar personalmente la providencia al </w:t>
      </w:r>
      <w:r>
        <w:rPr>
          <w:rFonts w:ascii="Century Gothic" w:hAnsi="Century Gothic" w:cs="Tahoma"/>
          <w:sz w:val="22"/>
          <w:szCs w:val="22"/>
        </w:rPr>
        <w:t>Gobernador del d</w:t>
      </w:r>
      <w:r w:rsidRPr="004A5B4B">
        <w:rPr>
          <w:rFonts w:ascii="Century Gothic" w:hAnsi="Century Gothic" w:cs="Tahoma"/>
          <w:sz w:val="22"/>
          <w:szCs w:val="22"/>
        </w:rPr>
        <w:t xml:space="preserve">epartamento </w:t>
      </w:r>
      <w:r w:rsidRPr="004A5B4B">
        <w:rPr>
          <w:rFonts w:ascii="Century Gothic" w:hAnsi="Century Gothic" w:cs="Arial"/>
          <w:bCs/>
          <w:sz w:val="22"/>
          <w:szCs w:val="22"/>
        </w:rPr>
        <w:t xml:space="preserve">y al agente del Ministerio </w:t>
      </w:r>
      <w:r w:rsidRPr="004A5B4B">
        <w:rPr>
          <w:rFonts w:ascii="Century Gothic" w:hAnsi="Century Gothic" w:cs="Tahoma"/>
          <w:sz w:val="22"/>
          <w:szCs w:val="22"/>
        </w:rPr>
        <w:t xml:space="preserve">Público; asimismo, dispuso la fijación en lista del negocio y reconoció personería al apoderado de la parte actora (fl. 164 y </w:t>
      </w:r>
      <w:smartTag w:uri="urn:schemas-microsoft-com:office:smarttags" w:element="metricconverter">
        <w:smartTagPr>
          <w:attr w:name="ProductID" w:val="165, C"/>
        </w:smartTagPr>
        <w:r w:rsidRPr="004A5B4B">
          <w:rPr>
            <w:rFonts w:ascii="Century Gothic" w:hAnsi="Century Gothic" w:cs="Tahoma"/>
            <w:sz w:val="22"/>
            <w:szCs w:val="22"/>
          </w:rPr>
          <w:t>165, C</w:t>
        </w:r>
      </w:smartTag>
      <w:r w:rsidRPr="004A5B4B">
        <w:rPr>
          <w:rFonts w:ascii="Century Gothic" w:hAnsi="Century Gothic" w:cs="Tahoma"/>
          <w:sz w:val="22"/>
          <w:szCs w:val="22"/>
        </w:rPr>
        <w:t>. 1).</w:t>
      </w:r>
    </w:p>
    <w:p w14:paraId="59E980A4" w14:textId="77777777" w:rsidR="007B66DD" w:rsidRPr="004A5B4B" w:rsidRDefault="007B66DD" w:rsidP="007B66DD">
      <w:pPr>
        <w:pStyle w:val="Textoindependiente210"/>
        <w:ind w:right="0" w:firstLine="0"/>
        <w:rPr>
          <w:rFonts w:ascii="Century Gothic" w:hAnsi="Century Gothic" w:cs="Tahoma"/>
          <w:sz w:val="22"/>
          <w:szCs w:val="22"/>
        </w:rPr>
      </w:pPr>
    </w:p>
    <w:p w14:paraId="6DF8FCB3"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b/>
          <w:sz w:val="22"/>
          <w:szCs w:val="22"/>
        </w:rPr>
        <w:t>4.1.-</w:t>
      </w:r>
      <w:r w:rsidRPr="004A5B4B">
        <w:rPr>
          <w:rFonts w:ascii="Century Gothic" w:hAnsi="Century Gothic" w:cs="Tahoma"/>
          <w:sz w:val="22"/>
          <w:szCs w:val="22"/>
        </w:rPr>
        <w:t xml:space="preserve"> Dentro del término de fijación en lista, el </w:t>
      </w:r>
      <w:r>
        <w:rPr>
          <w:rFonts w:ascii="Century Gothic" w:hAnsi="Century Gothic" w:cs="Tahoma"/>
          <w:sz w:val="22"/>
          <w:szCs w:val="22"/>
        </w:rPr>
        <w:t>d</w:t>
      </w:r>
      <w:r w:rsidRPr="004A5B4B">
        <w:rPr>
          <w:rFonts w:ascii="Century Gothic" w:hAnsi="Century Gothic" w:cs="Tahoma"/>
          <w:sz w:val="22"/>
          <w:szCs w:val="22"/>
        </w:rPr>
        <w:t xml:space="preserve">epartamento de Casanare contestó la demanda, se opuso a la prosperidad de las pretensiones y, en cuanto a los hechos, aceptó unos como ciertos, otro como parcialmente cierto y </w:t>
      </w:r>
      <w:r>
        <w:rPr>
          <w:rFonts w:ascii="Century Gothic" w:hAnsi="Century Gothic" w:cs="Tahoma"/>
          <w:sz w:val="22"/>
          <w:szCs w:val="22"/>
        </w:rPr>
        <w:t>pidió la prueba de los demás</w:t>
      </w:r>
      <w:r w:rsidRPr="004A5B4B">
        <w:rPr>
          <w:rFonts w:ascii="Century Gothic" w:hAnsi="Century Gothic" w:cs="Tahoma"/>
          <w:sz w:val="22"/>
          <w:szCs w:val="22"/>
        </w:rPr>
        <w:t>.</w:t>
      </w:r>
    </w:p>
    <w:p w14:paraId="0403592A" w14:textId="77777777" w:rsidR="007B66DD" w:rsidRPr="004A5B4B" w:rsidRDefault="007B66DD" w:rsidP="007B66DD">
      <w:pPr>
        <w:pStyle w:val="Textoindependiente210"/>
        <w:ind w:right="0" w:firstLine="0"/>
        <w:rPr>
          <w:rFonts w:ascii="Century Gothic" w:hAnsi="Century Gothic" w:cs="Tahoma"/>
          <w:sz w:val="22"/>
          <w:szCs w:val="22"/>
        </w:rPr>
      </w:pPr>
    </w:p>
    <w:p w14:paraId="0F8056BC" w14:textId="77777777" w:rsidR="007B66DD" w:rsidRPr="004A5B4B" w:rsidRDefault="007B66DD" w:rsidP="007B66DD">
      <w:pPr>
        <w:pStyle w:val="Textoindependiente210"/>
        <w:ind w:right="0" w:firstLine="0"/>
        <w:rPr>
          <w:rFonts w:ascii="Century Gothic" w:hAnsi="Century Gothic" w:cs="Tahoma"/>
          <w:sz w:val="22"/>
          <w:szCs w:val="22"/>
        </w:rPr>
      </w:pPr>
      <w:r>
        <w:rPr>
          <w:rFonts w:ascii="Century Gothic" w:hAnsi="Century Gothic" w:cs="Tahoma"/>
          <w:sz w:val="22"/>
          <w:szCs w:val="22"/>
        </w:rPr>
        <w:t>Propuso como excepción</w:t>
      </w:r>
      <w:r w:rsidRPr="004A5B4B">
        <w:rPr>
          <w:rFonts w:ascii="Century Gothic" w:hAnsi="Century Gothic" w:cs="Tahoma"/>
          <w:sz w:val="22"/>
          <w:szCs w:val="22"/>
        </w:rPr>
        <w:t xml:space="preserve"> de mérito la que denominó </w:t>
      </w:r>
      <w:r w:rsidRPr="00265035">
        <w:rPr>
          <w:rFonts w:ascii="Century Gothic" w:hAnsi="Century Gothic" w:cs="Tahoma"/>
          <w:i/>
          <w:sz w:val="22"/>
          <w:szCs w:val="22"/>
        </w:rPr>
        <w:t>“CADUCIDAD DE LA ACCION”</w:t>
      </w:r>
      <w:r>
        <w:rPr>
          <w:rFonts w:ascii="Century Gothic" w:hAnsi="Century Gothic" w:cs="Tahoma"/>
          <w:sz w:val="22"/>
          <w:szCs w:val="22"/>
        </w:rPr>
        <w:t xml:space="preserve"> (fl. </w:t>
      </w:r>
      <w:smartTag w:uri="urn:schemas-microsoft-com:office:smarttags" w:element="metricconverter">
        <w:smartTagPr>
          <w:attr w:name="ProductID" w:val="174, C"/>
        </w:smartTagPr>
        <w:r>
          <w:rPr>
            <w:rFonts w:ascii="Century Gothic" w:hAnsi="Century Gothic" w:cs="Tahoma"/>
            <w:sz w:val="22"/>
            <w:szCs w:val="22"/>
          </w:rPr>
          <w:t>174, C</w:t>
        </w:r>
      </w:smartTag>
      <w:r>
        <w:rPr>
          <w:rFonts w:ascii="Century Gothic" w:hAnsi="Century Gothic" w:cs="Tahoma"/>
          <w:sz w:val="22"/>
          <w:szCs w:val="22"/>
        </w:rPr>
        <w:t>. 1)</w:t>
      </w:r>
      <w:r w:rsidRPr="004A5B4B">
        <w:rPr>
          <w:rFonts w:ascii="Century Gothic" w:hAnsi="Century Gothic" w:cs="Tahoma"/>
          <w:sz w:val="22"/>
          <w:szCs w:val="22"/>
        </w:rPr>
        <w:t>.</w:t>
      </w:r>
    </w:p>
    <w:p w14:paraId="498C1FCC" w14:textId="77777777" w:rsidR="007B66DD" w:rsidRPr="004A5B4B" w:rsidRDefault="007B66DD" w:rsidP="007B66DD">
      <w:pPr>
        <w:pStyle w:val="Textoindependiente210"/>
        <w:ind w:right="0" w:firstLine="0"/>
        <w:rPr>
          <w:rFonts w:ascii="Century Gothic" w:hAnsi="Century Gothic" w:cs="Tahoma"/>
          <w:sz w:val="22"/>
          <w:szCs w:val="22"/>
        </w:rPr>
      </w:pPr>
    </w:p>
    <w:p w14:paraId="1FACA31D"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Como fundamento del medio exceptivo sostuvo que las Resoluciones 0089-99, 0090-99, 0091-99, 0092-99, 0093-99 y 0094-99, mediante las cuales se liquidaron unilateralmente los contratos de suministro 1399-97, 1483-97, 1487-97, 1488-97, 1499-</w:t>
      </w:r>
      <w:r w:rsidRPr="004A5B4B">
        <w:rPr>
          <w:rFonts w:ascii="Century Gothic" w:hAnsi="Century Gothic" w:cs="Tahoma"/>
          <w:sz w:val="22"/>
          <w:szCs w:val="22"/>
        </w:rPr>
        <w:lastRenderedPageBreak/>
        <w:t>97 y 1500-97 quedaron en firme el 1 de marzo de 1999 y la demanda fue pr</w:t>
      </w:r>
      <w:r>
        <w:rPr>
          <w:rFonts w:ascii="Century Gothic" w:hAnsi="Century Gothic" w:cs="Tahoma"/>
          <w:sz w:val="22"/>
          <w:szCs w:val="22"/>
        </w:rPr>
        <w:t>esentada luego de fenecido el té</w:t>
      </w:r>
      <w:r w:rsidRPr="004A5B4B">
        <w:rPr>
          <w:rFonts w:ascii="Century Gothic" w:hAnsi="Century Gothic" w:cs="Tahoma"/>
          <w:sz w:val="22"/>
          <w:szCs w:val="22"/>
        </w:rPr>
        <w:t xml:space="preserve">rmino de caducidad de los 2 años previsto por el artículo 136 del C.C.A. (fls. </w:t>
      </w:r>
      <w:smartTag w:uri="urn:schemas-microsoft-com:office:smarttags" w:element="metricconverter">
        <w:smartTagPr>
          <w:attr w:name="ProductID" w:val="173 a"/>
        </w:smartTagPr>
        <w:r w:rsidRPr="004A5B4B">
          <w:rPr>
            <w:rFonts w:ascii="Century Gothic" w:hAnsi="Century Gothic" w:cs="Tahoma"/>
            <w:sz w:val="22"/>
            <w:szCs w:val="22"/>
          </w:rPr>
          <w:t>173 a</w:t>
        </w:r>
      </w:smartTag>
      <w:r w:rsidRPr="004A5B4B">
        <w:rPr>
          <w:rFonts w:ascii="Century Gothic" w:hAnsi="Century Gothic" w:cs="Tahoma"/>
          <w:sz w:val="22"/>
          <w:szCs w:val="22"/>
        </w:rPr>
        <w:t xml:space="preserve"> </w:t>
      </w:r>
      <w:smartTag w:uri="urn:schemas-microsoft-com:office:smarttags" w:element="metricconverter">
        <w:smartTagPr>
          <w:attr w:name="ProductID" w:val="176, C"/>
        </w:smartTagPr>
        <w:r w:rsidRPr="004A5B4B">
          <w:rPr>
            <w:rFonts w:ascii="Century Gothic" w:hAnsi="Century Gothic" w:cs="Tahoma"/>
            <w:sz w:val="22"/>
            <w:szCs w:val="22"/>
          </w:rPr>
          <w:t>176, C</w:t>
        </w:r>
      </w:smartTag>
      <w:r w:rsidRPr="004A5B4B">
        <w:rPr>
          <w:rFonts w:ascii="Century Gothic" w:hAnsi="Century Gothic" w:cs="Tahoma"/>
          <w:sz w:val="22"/>
          <w:szCs w:val="22"/>
        </w:rPr>
        <w:t>. 1)</w:t>
      </w:r>
    </w:p>
    <w:p w14:paraId="3CFA4662" w14:textId="77777777" w:rsidR="007B66DD" w:rsidRPr="004A5B4B" w:rsidRDefault="007B66DD" w:rsidP="007B66DD">
      <w:pPr>
        <w:pStyle w:val="Lista2"/>
        <w:widowControl w:val="0"/>
        <w:tabs>
          <w:tab w:val="num" w:pos="709"/>
        </w:tabs>
        <w:spacing w:line="360" w:lineRule="auto"/>
        <w:ind w:left="0" w:firstLine="0"/>
        <w:jc w:val="both"/>
        <w:rPr>
          <w:rFonts w:cs="Arial"/>
          <w:b/>
          <w:sz w:val="22"/>
          <w:szCs w:val="22"/>
        </w:rPr>
      </w:pPr>
    </w:p>
    <w:p w14:paraId="686AF5F1" w14:textId="77777777" w:rsidR="007B66DD" w:rsidRPr="004A5B4B" w:rsidRDefault="007B66DD" w:rsidP="007B66DD">
      <w:pPr>
        <w:pStyle w:val="Lista2"/>
        <w:widowControl w:val="0"/>
        <w:tabs>
          <w:tab w:val="num" w:pos="709"/>
        </w:tabs>
        <w:spacing w:line="360" w:lineRule="auto"/>
        <w:ind w:left="0" w:firstLine="0"/>
        <w:jc w:val="both"/>
        <w:rPr>
          <w:rFonts w:cs="Arial"/>
          <w:b/>
          <w:sz w:val="22"/>
          <w:szCs w:val="22"/>
        </w:rPr>
      </w:pPr>
      <w:r w:rsidRPr="004A5B4B">
        <w:rPr>
          <w:rFonts w:cs="Arial"/>
          <w:b/>
          <w:sz w:val="22"/>
          <w:szCs w:val="22"/>
        </w:rPr>
        <w:t xml:space="preserve">5.- Los alegatos de primera instancia.- </w:t>
      </w:r>
    </w:p>
    <w:p w14:paraId="6A69FE4F" w14:textId="77777777" w:rsidR="007B66DD" w:rsidRPr="004A5B4B" w:rsidRDefault="007B66DD" w:rsidP="007B66DD">
      <w:pPr>
        <w:pStyle w:val="Lista2"/>
        <w:widowControl w:val="0"/>
        <w:tabs>
          <w:tab w:val="num" w:pos="709"/>
        </w:tabs>
        <w:spacing w:line="360" w:lineRule="auto"/>
        <w:ind w:left="0" w:firstLine="0"/>
        <w:jc w:val="both"/>
        <w:rPr>
          <w:rFonts w:cs="Arial"/>
          <w:b/>
          <w:sz w:val="22"/>
          <w:szCs w:val="22"/>
        </w:rPr>
      </w:pPr>
    </w:p>
    <w:p w14:paraId="7F4DFBC8"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sz w:val="22"/>
          <w:szCs w:val="22"/>
        </w:rPr>
        <w:t xml:space="preserve">Mediante auto del 7 de febrero de 2002 (fl. </w:t>
      </w:r>
      <w:smartTag w:uri="urn:schemas-microsoft-com:office:smarttags" w:element="metricconverter">
        <w:smartTagPr>
          <w:attr w:name="ProductID" w:val="211 C"/>
        </w:smartTagPr>
        <w:r w:rsidRPr="004A5B4B">
          <w:rPr>
            <w:rFonts w:cs="Arial"/>
            <w:sz w:val="22"/>
            <w:szCs w:val="22"/>
          </w:rPr>
          <w:t>211 C</w:t>
        </w:r>
      </w:smartTag>
      <w:r w:rsidRPr="004A5B4B">
        <w:rPr>
          <w:rFonts w:cs="Arial"/>
          <w:sz w:val="22"/>
          <w:szCs w:val="22"/>
        </w:rPr>
        <w:t>. 1), el Tribunal de primera instancia corrió traslado a las partes, para que alegaran de conclusión y al agente del Ministerio Público, para que emitiera concepto.</w:t>
      </w:r>
    </w:p>
    <w:p w14:paraId="6DC114C0"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2345F593"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b/>
          <w:sz w:val="22"/>
          <w:szCs w:val="22"/>
        </w:rPr>
        <w:t>5.1.-</w:t>
      </w:r>
      <w:r w:rsidRPr="004A5B4B">
        <w:rPr>
          <w:rFonts w:cs="Arial"/>
          <w:sz w:val="22"/>
          <w:szCs w:val="22"/>
        </w:rPr>
        <w:t xml:space="preserve"> </w:t>
      </w:r>
      <w:r w:rsidRPr="004A5B4B">
        <w:rPr>
          <w:rFonts w:cs="Arial"/>
          <w:b/>
          <w:sz w:val="22"/>
          <w:szCs w:val="22"/>
        </w:rPr>
        <w:t xml:space="preserve">La entidad demandada </w:t>
      </w:r>
      <w:r w:rsidRPr="004A5B4B">
        <w:rPr>
          <w:rFonts w:cs="Arial"/>
          <w:sz w:val="22"/>
          <w:szCs w:val="22"/>
        </w:rPr>
        <w:t xml:space="preserve">ratificó que, en su opinión, operó el fenómeno de la caducidad de la acción contractual (fls. </w:t>
      </w:r>
      <w:smartTag w:uri="urn:schemas-microsoft-com:office:smarttags" w:element="metricconverter">
        <w:smartTagPr>
          <w:attr w:name="ProductID" w:val="212 a"/>
        </w:smartTagPr>
        <w:r w:rsidRPr="004A5B4B">
          <w:rPr>
            <w:rFonts w:cs="Arial"/>
            <w:sz w:val="22"/>
            <w:szCs w:val="22"/>
          </w:rPr>
          <w:t>212 a</w:t>
        </w:r>
      </w:smartTag>
      <w:r w:rsidRPr="004A5B4B">
        <w:rPr>
          <w:rFonts w:cs="Arial"/>
          <w:sz w:val="22"/>
          <w:szCs w:val="22"/>
        </w:rPr>
        <w:t xml:space="preserve"> </w:t>
      </w:r>
      <w:smartTag w:uri="urn:schemas-microsoft-com:office:smarttags" w:element="metricconverter">
        <w:smartTagPr>
          <w:attr w:name="ProductID" w:val="214, C"/>
        </w:smartTagPr>
        <w:r w:rsidRPr="004A5B4B">
          <w:rPr>
            <w:rFonts w:cs="Arial"/>
            <w:sz w:val="22"/>
            <w:szCs w:val="22"/>
          </w:rPr>
          <w:t>214, C</w:t>
        </w:r>
      </w:smartTag>
      <w:r w:rsidRPr="004A5B4B">
        <w:rPr>
          <w:rFonts w:cs="Arial"/>
          <w:sz w:val="22"/>
          <w:szCs w:val="22"/>
        </w:rPr>
        <w:t>. 12).</w:t>
      </w:r>
    </w:p>
    <w:p w14:paraId="4DEACA90"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4369DF10"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b/>
          <w:sz w:val="22"/>
          <w:szCs w:val="22"/>
        </w:rPr>
        <w:t xml:space="preserve">5.2.- La parte demandante </w:t>
      </w:r>
      <w:r w:rsidRPr="004A5B4B">
        <w:rPr>
          <w:rFonts w:cs="Arial"/>
          <w:sz w:val="22"/>
          <w:szCs w:val="22"/>
        </w:rPr>
        <w:t xml:space="preserve">guardó silencio. </w:t>
      </w:r>
    </w:p>
    <w:p w14:paraId="4F9F401A"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2B6B16BD"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b/>
          <w:sz w:val="22"/>
          <w:szCs w:val="22"/>
        </w:rPr>
        <w:t xml:space="preserve">5.3.- El Procurador 53 Judicial ante el Tribunal Administrativo de Casanare </w:t>
      </w:r>
      <w:r w:rsidRPr="004A5B4B">
        <w:rPr>
          <w:rFonts w:cs="Arial"/>
          <w:sz w:val="22"/>
          <w:szCs w:val="22"/>
        </w:rPr>
        <w:t>solicitó desestimar</w:t>
      </w:r>
      <w:r w:rsidRPr="004A5B4B">
        <w:rPr>
          <w:rFonts w:cs="Arial"/>
          <w:b/>
          <w:sz w:val="22"/>
          <w:szCs w:val="22"/>
        </w:rPr>
        <w:t xml:space="preserve"> </w:t>
      </w:r>
      <w:r w:rsidRPr="004A5B4B">
        <w:rPr>
          <w:rFonts w:cs="Arial"/>
          <w:sz w:val="22"/>
          <w:szCs w:val="22"/>
        </w:rPr>
        <w:t xml:space="preserve">las pretensiones de la demanda, para lo cual señaló que los contratos celebrados entre las partes guardan identidad de objeto y, por lo mismo, debieron ser celebrados previa licitación pública. </w:t>
      </w:r>
    </w:p>
    <w:p w14:paraId="46541CB6"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23DE59F8"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sz w:val="22"/>
          <w:szCs w:val="22"/>
        </w:rPr>
        <w:t>La entidad pública no escogió al contratista bajo las reglas que informan el citado proceso de selección, razón por la cual desconoció el principio de transparencia contemplado en el numeral 1 del artículo 24 de la Ley 80 de 1993 y, por lo tanto, los contratos son nulos.</w:t>
      </w:r>
    </w:p>
    <w:p w14:paraId="242E4F7E"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1FAC6ACB"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r w:rsidRPr="004A5B4B">
        <w:rPr>
          <w:rFonts w:cs="Arial"/>
          <w:sz w:val="22"/>
          <w:szCs w:val="22"/>
        </w:rPr>
        <w:t xml:space="preserve">Por otra parte, sostuvo que los actos administrativos demandados están amparados por la presunción de legalidad, la cual no logró ser desvirtuada por la parte demandante (fls. </w:t>
      </w:r>
      <w:smartTag w:uri="urn:schemas-microsoft-com:office:smarttags" w:element="metricconverter">
        <w:smartTagPr>
          <w:attr w:name="ProductID" w:val="222 a"/>
        </w:smartTagPr>
        <w:r w:rsidRPr="004A5B4B">
          <w:rPr>
            <w:rFonts w:cs="Arial"/>
            <w:sz w:val="22"/>
            <w:szCs w:val="22"/>
          </w:rPr>
          <w:t>222 a</w:t>
        </w:r>
      </w:smartTag>
      <w:r w:rsidRPr="004A5B4B">
        <w:rPr>
          <w:rFonts w:cs="Arial"/>
          <w:sz w:val="22"/>
          <w:szCs w:val="22"/>
        </w:rPr>
        <w:t xml:space="preserve"> </w:t>
      </w:r>
      <w:smartTag w:uri="urn:schemas-microsoft-com:office:smarttags" w:element="metricconverter">
        <w:smartTagPr>
          <w:attr w:name="ProductID" w:val="224, C"/>
        </w:smartTagPr>
        <w:r w:rsidRPr="004A5B4B">
          <w:rPr>
            <w:rFonts w:cs="Arial"/>
            <w:sz w:val="22"/>
            <w:szCs w:val="22"/>
          </w:rPr>
          <w:t>224, C</w:t>
        </w:r>
      </w:smartTag>
      <w:r w:rsidRPr="004A5B4B">
        <w:rPr>
          <w:rFonts w:cs="Arial"/>
          <w:sz w:val="22"/>
          <w:szCs w:val="22"/>
        </w:rPr>
        <w:t>. 1).</w:t>
      </w:r>
    </w:p>
    <w:p w14:paraId="3489B54E"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21FD36B9" w14:textId="77777777" w:rsidR="007B66DD" w:rsidRPr="004A5B4B" w:rsidRDefault="007B66DD" w:rsidP="007B66DD">
      <w:pPr>
        <w:pStyle w:val="Lista2"/>
        <w:widowControl w:val="0"/>
        <w:tabs>
          <w:tab w:val="num" w:pos="709"/>
        </w:tabs>
        <w:spacing w:line="360" w:lineRule="auto"/>
        <w:ind w:left="0" w:firstLine="0"/>
        <w:jc w:val="both"/>
        <w:rPr>
          <w:rFonts w:cs="Arial"/>
          <w:b/>
          <w:sz w:val="22"/>
          <w:szCs w:val="22"/>
        </w:rPr>
      </w:pPr>
      <w:r w:rsidRPr="004A5B4B">
        <w:rPr>
          <w:rFonts w:cs="Arial"/>
          <w:b/>
          <w:sz w:val="22"/>
          <w:szCs w:val="22"/>
        </w:rPr>
        <w:t xml:space="preserve">6.-  La sentencia recurrida.- </w:t>
      </w:r>
    </w:p>
    <w:p w14:paraId="0A291254" w14:textId="77777777" w:rsidR="007B66DD" w:rsidRPr="004A5B4B" w:rsidRDefault="007B66DD" w:rsidP="007B66DD">
      <w:pPr>
        <w:pStyle w:val="Lista2"/>
        <w:widowControl w:val="0"/>
        <w:tabs>
          <w:tab w:val="num" w:pos="709"/>
        </w:tabs>
        <w:spacing w:line="360" w:lineRule="auto"/>
        <w:ind w:left="0" w:firstLine="0"/>
        <w:jc w:val="both"/>
        <w:rPr>
          <w:rFonts w:cs="Arial"/>
          <w:sz w:val="22"/>
          <w:szCs w:val="22"/>
        </w:rPr>
      </w:pPr>
    </w:p>
    <w:p w14:paraId="64B0E00E"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Mediante fallo del 10 de octubre de 2002, el Tribunal Administrativo de Casanare puso fin a la controversia, en primera instancia, en la forma consignada al inicio de esta providencia.</w:t>
      </w:r>
    </w:p>
    <w:p w14:paraId="7090541F" w14:textId="77777777" w:rsidR="007B66DD" w:rsidRPr="004A5B4B" w:rsidRDefault="007B66DD" w:rsidP="007B66DD">
      <w:pPr>
        <w:pStyle w:val="Textoindependiente210"/>
        <w:ind w:right="0" w:firstLine="0"/>
        <w:rPr>
          <w:rFonts w:ascii="Century Gothic" w:hAnsi="Century Gothic" w:cs="Tahoma"/>
          <w:sz w:val="22"/>
          <w:szCs w:val="22"/>
        </w:rPr>
      </w:pPr>
    </w:p>
    <w:p w14:paraId="6BF81DB3"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Para llegar a lo anterior, señaló que los contratos 1483, 1487, 1488, 1499 y 1500</w:t>
      </w:r>
      <w:r>
        <w:rPr>
          <w:rFonts w:ascii="Century Gothic" w:hAnsi="Century Gothic" w:cs="Tahoma"/>
          <w:sz w:val="22"/>
          <w:szCs w:val="22"/>
        </w:rPr>
        <w:t>,</w:t>
      </w:r>
      <w:r w:rsidRPr="004A5B4B">
        <w:rPr>
          <w:rFonts w:ascii="Century Gothic" w:hAnsi="Century Gothic" w:cs="Tahoma"/>
          <w:sz w:val="22"/>
          <w:szCs w:val="22"/>
        </w:rPr>
        <w:t xml:space="preserve"> del 30 de diciembre de 1997</w:t>
      </w:r>
      <w:r>
        <w:rPr>
          <w:rFonts w:ascii="Century Gothic" w:hAnsi="Century Gothic" w:cs="Tahoma"/>
          <w:sz w:val="22"/>
          <w:szCs w:val="22"/>
        </w:rPr>
        <w:t>, fueron celebrados entre el d</w:t>
      </w:r>
      <w:r w:rsidRPr="004A5B4B">
        <w:rPr>
          <w:rFonts w:ascii="Century Gothic" w:hAnsi="Century Gothic" w:cs="Tahoma"/>
          <w:sz w:val="22"/>
          <w:szCs w:val="22"/>
        </w:rPr>
        <w:t xml:space="preserve">epartamento de Casanare y el señor Daniel Jaimes Berrios y/o Pisos y Enchapes, con el objeto de suministrar los materiales necesarios para la construcción de los barrios Dalel Barón, Bicentenario, San Carlos, Villa del Sol, El Triunfo, 20 de </w:t>
      </w:r>
      <w:r>
        <w:rPr>
          <w:rFonts w:ascii="Century Gothic" w:hAnsi="Century Gothic" w:cs="Tahoma"/>
          <w:sz w:val="22"/>
          <w:szCs w:val="22"/>
        </w:rPr>
        <w:t>J</w:t>
      </w:r>
      <w:r w:rsidRPr="004A5B4B">
        <w:rPr>
          <w:rFonts w:ascii="Century Gothic" w:hAnsi="Century Gothic" w:cs="Tahoma"/>
          <w:sz w:val="22"/>
          <w:szCs w:val="22"/>
        </w:rPr>
        <w:t>ulio, La Esperanza y el Gaván</w:t>
      </w:r>
      <w:r>
        <w:rPr>
          <w:rFonts w:ascii="Century Gothic" w:hAnsi="Century Gothic" w:cs="Tahoma"/>
          <w:sz w:val="22"/>
          <w:szCs w:val="22"/>
        </w:rPr>
        <w:t>,</w:t>
      </w:r>
      <w:r w:rsidRPr="004A5B4B">
        <w:rPr>
          <w:rFonts w:ascii="Century Gothic" w:hAnsi="Century Gothic" w:cs="Tahoma"/>
          <w:sz w:val="22"/>
          <w:szCs w:val="22"/>
        </w:rPr>
        <w:t xml:space="preserve"> del municipio de Yopal.</w:t>
      </w:r>
    </w:p>
    <w:p w14:paraId="2898405C" w14:textId="77777777" w:rsidR="007B66DD" w:rsidRPr="004A5B4B" w:rsidRDefault="007B66DD" w:rsidP="007B66DD">
      <w:pPr>
        <w:pStyle w:val="Textoindependiente210"/>
        <w:ind w:right="0" w:firstLine="0"/>
        <w:rPr>
          <w:rFonts w:ascii="Century Gothic" w:hAnsi="Century Gothic" w:cs="Tahoma"/>
          <w:sz w:val="22"/>
          <w:szCs w:val="22"/>
        </w:rPr>
      </w:pPr>
    </w:p>
    <w:p w14:paraId="73E9C549"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Los precitados contratos fueron ter</w:t>
      </w:r>
      <w:r>
        <w:rPr>
          <w:rFonts w:ascii="Century Gothic" w:hAnsi="Century Gothic" w:cs="Tahoma"/>
          <w:sz w:val="22"/>
          <w:szCs w:val="22"/>
        </w:rPr>
        <w:t>minados unilateralmente por el d</w:t>
      </w:r>
      <w:r w:rsidRPr="004A5B4B">
        <w:rPr>
          <w:rFonts w:ascii="Century Gothic" w:hAnsi="Century Gothic" w:cs="Tahoma"/>
          <w:sz w:val="22"/>
          <w:szCs w:val="22"/>
        </w:rPr>
        <w:t xml:space="preserve">epartamento de Casanare, mediante Resoluciones 1391, 1389, 1388, 1394 y 1387 del 1º de julio de 1998. Contra </w:t>
      </w:r>
      <w:r>
        <w:rPr>
          <w:rFonts w:ascii="Century Gothic" w:hAnsi="Century Gothic" w:cs="Tahoma"/>
          <w:sz w:val="22"/>
          <w:szCs w:val="22"/>
        </w:rPr>
        <w:t xml:space="preserve">ellas </w:t>
      </w:r>
      <w:r w:rsidRPr="004A5B4B">
        <w:rPr>
          <w:rFonts w:ascii="Century Gothic" w:hAnsi="Century Gothic" w:cs="Tahoma"/>
          <w:sz w:val="22"/>
          <w:szCs w:val="22"/>
        </w:rPr>
        <w:t>fueron interpuestos sendos recursos de reposición, los cuales fueron decididos desfavorablemente, mediante Resoluciones 1586, 1585, 1584, 1588 y 1583</w:t>
      </w:r>
      <w:r>
        <w:rPr>
          <w:rFonts w:ascii="Century Gothic" w:hAnsi="Century Gothic" w:cs="Tahoma"/>
          <w:sz w:val="22"/>
          <w:szCs w:val="22"/>
        </w:rPr>
        <w:t>,</w:t>
      </w:r>
      <w:r w:rsidRPr="004A5B4B">
        <w:rPr>
          <w:rFonts w:ascii="Century Gothic" w:hAnsi="Century Gothic" w:cs="Tahoma"/>
          <w:sz w:val="22"/>
          <w:szCs w:val="22"/>
        </w:rPr>
        <w:t xml:space="preserve"> del 11 de septiembre de 1998.</w:t>
      </w:r>
    </w:p>
    <w:p w14:paraId="6A4286BD" w14:textId="77777777" w:rsidR="007B66DD" w:rsidRPr="004A5B4B" w:rsidRDefault="007B66DD" w:rsidP="007B66DD">
      <w:pPr>
        <w:pStyle w:val="Textoindependiente210"/>
        <w:ind w:right="0" w:firstLine="0"/>
        <w:rPr>
          <w:rFonts w:ascii="Century Gothic" w:hAnsi="Century Gothic" w:cs="Tahoma"/>
          <w:sz w:val="22"/>
          <w:szCs w:val="22"/>
        </w:rPr>
      </w:pPr>
    </w:p>
    <w:p w14:paraId="1537FF5E"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Posteriormente, a través de las Resoluciones 090, 091, 092, 093 y 094</w:t>
      </w:r>
      <w:r>
        <w:rPr>
          <w:rFonts w:ascii="Century Gothic" w:hAnsi="Century Gothic" w:cs="Tahoma"/>
          <w:sz w:val="22"/>
          <w:szCs w:val="22"/>
        </w:rPr>
        <w:t>, del 11 de febrero de 1999, el d</w:t>
      </w:r>
      <w:r w:rsidRPr="004A5B4B">
        <w:rPr>
          <w:rFonts w:ascii="Century Gothic" w:hAnsi="Century Gothic" w:cs="Tahoma"/>
          <w:sz w:val="22"/>
          <w:szCs w:val="22"/>
        </w:rPr>
        <w:t xml:space="preserve">epartamento de Casanare </w:t>
      </w:r>
      <w:r>
        <w:rPr>
          <w:rFonts w:ascii="Century Gothic" w:hAnsi="Century Gothic" w:cs="Tahoma"/>
          <w:sz w:val="22"/>
          <w:szCs w:val="22"/>
        </w:rPr>
        <w:t xml:space="preserve">liquidó en forma </w:t>
      </w:r>
      <w:r w:rsidRPr="004A5B4B">
        <w:rPr>
          <w:rFonts w:ascii="Century Gothic" w:hAnsi="Century Gothic" w:cs="Tahoma"/>
          <w:sz w:val="22"/>
          <w:szCs w:val="22"/>
        </w:rPr>
        <w:t>unilateral los contratos mencionados en precedencia.</w:t>
      </w:r>
    </w:p>
    <w:p w14:paraId="204C728C" w14:textId="77777777" w:rsidR="007B66DD" w:rsidRPr="004A5B4B" w:rsidRDefault="007B66DD" w:rsidP="007B66DD">
      <w:pPr>
        <w:pStyle w:val="Textoindependiente210"/>
        <w:ind w:right="0" w:firstLine="0"/>
        <w:rPr>
          <w:rFonts w:ascii="Century Gothic" w:hAnsi="Century Gothic" w:cs="Tahoma"/>
          <w:sz w:val="22"/>
          <w:szCs w:val="22"/>
        </w:rPr>
      </w:pPr>
    </w:p>
    <w:p w14:paraId="2FD31D95"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Añadió el Tribunal que</w:t>
      </w:r>
      <w:r>
        <w:rPr>
          <w:rFonts w:ascii="Century Gothic" w:hAnsi="Century Gothic" w:cs="Tahoma"/>
          <w:sz w:val="22"/>
          <w:szCs w:val="22"/>
        </w:rPr>
        <w:t>,</w:t>
      </w:r>
      <w:r w:rsidRPr="004A5B4B">
        <w:rPr>
          <w:rFonts w:ascii="Century Gothic" w:hAnsi="Century Gothic" w:cs="Tahoma"/>
          <w:sz w:val="22"/>
          <w:szCs w:val="22"/>
        </w:rPr>
        <w:t xml:space="preserve"> contra las </w:t>
      </w:r>
      <w:r>
        <w:rPr>
          <w:rFonts w:ascii="Century Gothic" w:hAnsi="Century Gothic" w:cs="Tahoma"/>
          <w:sz w:val="22"/>
          <w:szCs w:val="22"/>
        </w:rPr>
        <w:t xml:space="preserve">citadas </w:t>
      </w:r>
      <w:r w:rsidRPr="004A5B4B">
        <w:rPr>
          <w:rFonts w:ascii="Century Gothic" w:hAnsi="Century Gothic" w:cs="Tahoma"/>
          <w:sz w:val="22"/>
          <w:szCs w:val="22"/>
        </w:rPr>
        <w:t>resoluciones</w:t>
      </w:r>
      <w:r>
        <w:rPr>
          <w:rFonts w:ascii="Century Gothic" w:hAnsi="Century Gothic" w:cs="Tahoma"/>
          <w:sz w:val="22"/>
          <w:szCs w:val="22"/>
        </w:rPr>
        <w:t xml:space="preserve"> de liquidación unilateral, el contratista interpuso sendos recursos de reposición en el </w:t>
      </w:r>
      <w:r w:rsidRPr="004A5B4B">
        <w:rPr>
          <w:rFonts w:ascii="Century Gothic" w:hAnsi="Century Gothic" w:cs="Tahoma"/>
          <w:sz w:val="22"/>
          <w:szCs w:val="22"/>
        </w:rPr>
        <w:t xml:space="preserve">acto de notificación; </w:t>
      </w:r>
      <w:r>
        <w:rPr>
          <w:rFonts w:ascii="Century Gothic" w:hAnsi="Century Gothic" w:cs="Tahoma"/>
          <w:i/>
          <w:sz w:val="22"/>
          <w:szCs w:val="22"/>
        </w:rPr>
        <w:t>“… Empero</w:t>
      </w:r>
      <w:r w:rsidRPr="004A5B4B">
        <w:rPr>
          <w:rFonts w:ascii="Century Gothic" w:hAnsi="Century Gothic" w:cs="Tahoma"/>
          <w:i/>
          <w:sz w:val="22"/>
          <w:szCs w:val="22"/>
        </w:rPr>
        <w:t>, no entregó sustentación del recurso y ha debido presentarla dentro de los cinco días siguientes a la notificación, es decir (sic) tuvo plazo para hacerlo hasta el 1º de marzo de 1999 …”</w:t>
      </w:r>
      <w:r w:rsidRPr="004A5B4B">
        <w:rPr>
          <w:rFonts w:ascii="Century Gothic" w:hAnsi="Century Gothic" w:cs="Tahoma"/>
          <w:sz w:val="22"/>
          <w:szCs w:val="22"/>
        </w:rPr>
        <w:t xml:space="preserve"> (fls. 235 y </w:t>
      </w:r>
      <w:smartTag w:uri="urn:schemas-microsoft-com:office:smarttags" w:element="metricconverter">
        <w:smartTagPr>
          <w:attr w:name="ProductID" w:val="236, C"/>
        </w:smartTagPr>
        <w:r w:rsidRPr="004A5B4B">
          <w:rPr>
            <w:rFonts w:ascii="Century Gothic" w:hAnsi="Century Gothic" w:cs="Tahoma"/>
            <w:sz w:val="22"/>
            <w:szCs w:val="22"/>
          </w:rPr>
          <w:t>236, C</w:t>
        </w:r>
      </w:smartTag>
      <w:r w:rsidRPr="004A5B4B">
        <w:rPr>
          <w:rFonts w:ascii="Century Gothic" w:hAnsi="Century Gothic" w:cs="Tahoma"/>
          <w:sz w:val="22"/>
          <w:szCs w:val="22"/>
        </w:rPr>
        <w:t>. Consejo) y solamente lo hizo el 5 de los mismos mes y año.</w:t>
      </w:r>
    </w:p>
    <w:p w14:paraId="5122A3DC" w14:textId="77777777" w:rsidR="007B66DD" w:rsidRPr="004A5B4B" w:rsidRDefault="007B66DD" w:rsidP="007B66DD">
      <w:pPr>
        <w:pStyle w:val="Textoindependiente210"/>
        <w:ind w:right="0" w:firstLine="0"/>
        <w:rPr>
          <w:rFonts w:ascii="Century Gothic" w:hAnsi="Century Gothic" w:cs="Tahoma"/>
          <w:sz w:val="22"/>
          <w:szCs w:val="22"/>
        </w:rPr>
      </w:pPr>
    </w:p>
    <w:p w14:paraId="38F51ABF"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 xml:space="preserve">En consecuencia, mediante </w:t>
      </w:r>
      <w:r>
        <w:rPr>
          <w:rFonts w:ascii="Century Gothic" w:hAnsi="Century Gothic" w:cs="Tahoma"/>
          <w:sz w:val="22"/>
          <w:szCs w:val="22"/>
        </w:rPr>
        <w:t>R</w:t>
      </w:r>
      <w:r w:rsidRPr="004A5B4B">
        <w:rPr>
          <w:rFonts w:ascii="Century Gothic" w:hAnsi="Century Gothic" w:cs="Tahoma"/>
          <w:sz w:val="22"/>
          <w:szCs w:val="22"/>
        </w:rPr>
        <w:t xml:space="preserve">esolución 217 del 7 de abril de 1999, la entidad demandada rechazó por extemporáneos los recursos interpuestos. La anterior decisión fue notificada al contratista el 13 de abril de 1999, pero, </w:t>
      </w:r>
      <w:r w:rsidRPr="004A5B4B">
        <w:rPr>
          <w:rFonts w:ascii="Century Gothic" w:hAnsi="Century Gothic" w:cs="Tahoma"/>
          <w:i/>
          <w:sz w:val="22"/>
          <w:szCs w:val="22"/>
        </w:rPr>
        <w:t>“… este acto administrativo y su notificación no tienen la virtualidad de revivir los términos contemplados en la ley, para efectos de la caducidad de las acciones”</w:t>
      </w:r>
      <w:r w:rsidRPr="004A5B4B">
        <w:rPr>
          <w:rFonts w:ascii="Century Gothic" w:hAnsi="Century Gothic" w:cs="Tahoma"/>
          <w:sz w:val="22"/>
          <w:szCs w:val="22"/>
        </w:rPr>
        <w:t xml:space="preserve"> (fl. </w:t>
      </w:r>
      <w:smartTag w:uri="urn:schemas-microsoft-com:office:smarttags" w:element="metricconverter">
        <w:smartTagPr>
          <w:attr w:name="ProductID" w:val="236, C"/>
        </w:smartTagPr>
        <w:r w:rsidRPr="004A5B4B">
          <w:rPr>
            <w:rFonts w:ascii="Century Gothic" w:hAnsi="Century Gothic" w:cs="Tahoma"/>
            <w:sz w:val="22"/>
            <w:szCs w:val="22"/>
          </w:rPr>
          <w:t>236, C</w:t>
        </w:r>
      </w:smartTag>
      <w:r w:rsidRPr="004A5B4B">
        <w:rPr>
          <w:rFonts w:ascii="Century Gothic" w:hAnsi="Century Gothic" w:cs="Tahoma"/>
          <w:sz w:val="22"/>
          <w:szCs w:val="22"/>
        </w:rPr>
        <w:t>. Consejo).</w:t>
      </w:r>
    </w:p>
    <w:p w14:paraId="2E0FD37A" w14:textId="77777777" w:rsidR="007B66DD" w:rsidRPr="004A5B4B" w:rsidRDefault="007B66DD" w:rsidP="007B66DD">
      <w:pPr>
        <w:pStyle w:val="Textoindependiente210"/>
        <w:ind w:right="0" w:firstLine="0"/>
        <w:rPr>
          <w:rFonts w:ascii="Century Gothic" w:hAnsi="Century Gothic" w:cs="Tahoma"/>
          <w:sz w:val="22"/>
          <w:szCs w:val="22"/>
        </w:rPr>
      </w:pPr>
    </w:p>
    <w:p w14:paraId="3030AABD"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Por lo expuesto, el Tribunal sostuvo que el término de 2 años contemplado por el artículo 136 del C.C.A. (numeral 10, literal d</w:t>
      </w:r>
      <w:r>
        <w:rPr>
          <w:rFonts w:ascii="Century Gothic" w:hAnsi="Century Gothic" w:cs="Tahoma"/>
          <w:sz w:val="22"/>
          <w:szCs w:val="22"/>
        </w:rPr>
        <w:t>.</w:t>
      </w:r>
      <w:r w:rsidRPr="004A5B4B">
        <w:rPr>
          <w:rFonts w:ascii="Century Gothic" w:hAnsi="Century Gothic" w:cs="Tahoma"/>
          <w:sz w:val="22"/>
          <w:szCs w:val="22"/>
        </w:rPr>
        <w:t>) para la caducidad de la acción de controversias contractuales comenzó a correr el 2 de marzo de 1999, razón por la cual, para la fecha de presentación de la demanda (16 de abril de 2001) dicho plazo había fenecido.</w:t>
      </w:r>
    </w:p>
    <w:p w14:paraId="5612F012" w14:textId="77777777" w:rsidR="007B66DD" w:rsidRPr="004A5B4B" w:rsidRDefault="007B66DD" w:rsidP="007B66DD">
      <w:pPr>
        <w:pStyle w:val="Textoindependiente210"/>
        <w:ind w:right="0" w:firstLine="0"/>
        <w:rPr>
          <w:rFonts w:ascii="Century Gothic" w:hAnsi="Century Gothic" w:cs="Tahoma"/>
          <w:sz w:val="22"/>
          <w:szCs w:val="22"/>
        </w:rPr>
      </w:pPr>
    </w:p>
    <w:p w14:paraId="2F90D375" w14:textId="77777777" w:rsidR="007B66DD" w:rsidRPr="004A5B4B" w:rsidRDefault="007B66DD" w:rsidP="007B66DD">
      <w:pPr>
        <w:pStyle w:val="Textoindependiente210"/>
        <w:ind w:right="0" w:firstLine="0"/>
        <w:rPr>
          <w:rFonts w:ascii="Century Gothic" w:hAnsi="Century Gothic" w:cs="Tahoma"/>
          <w:sz w:val="22"/>
          <w:szCs w:val="22"/>
        </w:rPr>
      </w:pPr>
      <w:r w:rsidRPr="004A5B4B">
        <w:rPr>
          <w:rFonts w:ascii="Century Gothic" w:hAnsi="Century Gothic" w:cs="Tahoma"/>
          <w:sz w:val="22"/>
          <w:szCs w:val="22"/>
        </w:rPr>
        <w:t xml:space="preserve">En conclusión, declaró la prosperidad del medio exceptivo propuesto por la parte demandada (fls. </w:t>
      </w:r>
      <w:smartTag w:uri="urn:schemas-microsoft-com:office:smarttags" w:element="metricconverter">
        <w:smartTagPr>
          <w:attr w:name="ProductID" w:val="225 a"/>
        </w:smartTagPr>
        <w:r w:rsidRPr="004A5B4B">
          <w:rPr>
            <w:rFonts w:ascii="Century Gothic" w:hAnsi="Century Gothic" w:cs="Tahoma"/>
            <w:sz w:val="22"/>
            <w:szCs w:val="22"/>
          </w:rPr>
          <w:t>225 a</w:t>
        </w:r>
      </w:smartTag>
      <w:r w:rsidRPr="004A5B4B">
        <w:rPr>
          <w:rFonts w:ascii="Century Gothic" w:hAnsi="Century Gothic" w:cs="Tahoma"/>
          <w:sz w:val="22"/>
          <w:szCs w:val="22"/>
        </w:rPr>
        <w:t xml:space="preserve"> </w:t>
      </w:r>
      <w:smartTag w:uri="urn:schemas-microsoft-com:office:smarttags" w:element="metricconverter">
        <w:smartTagPr>
          <w:attr w:name="ProductID" w:val="238, C"/>
        </w:smartTagPr>
        <w:r w:rsidRPr="004A5B4B">
          <w:rPr>
            <w:rFonts w:ascii="Century Gothic" w:hAnsi="Century Gothic" w:cs="Tahoma"/>
            <w:sz w:val="22"/>
            <w:szCs w:val="22"/>
          </w:rPr>
          <w:t>238, C</w:t>
        </w:r>
      </w:smartTag>
      <w:r w:rsidRPr="004A5B4B">
        <w:rPr>
          <w:rFonts w:ascii="Century Gothic" w:hAnsi="Century Gothic" w:cs="Tahoma"/>
          <w:sz w:val="22"/>
          <w:szCs w:val="22"/>
        </w:rPr>
        <w:t xml:space="preserve">. Consejo). </w:t>
      </w:r>
    </w:p>
    <w:p w14:paraId="620CFF13" w14:textId="77777777" w:rsidR="007B66DD" w:rsidRPr="004A5B4B" w:rsidRDefault="007B66DD" w:rsidP="007B66DD">
      <w:pPr>
        <w:pStyle w:val="Textoindependiente210"/>
        <w:ind w:right="0" w:firstLine="0"/>
        <w:rPr>
          <w:rFonts w:ascii="Century Gothic" w:hAnsi="Century Gothic" w:cs="Tahoma"/>
          <w:sz w:val="22"/>
          <w:szCs w:val="22"/>
        </w:rPr>
      </w:pPr>
    </w:p>
    <w:p w14:paraId="27A2785C" w14:textId="77777777" w:rsidR="007B66DD" w:rsidRPr="004A5B4B" w:rsidRDefault="007B66DD" w:rsidP="007B66DD">
      <w:pPr>
        <w:spacing w:after="0" w:line="360" w:lineRule="auto"/>
        <w:ind w:right="-1"/>
        <w:jc w:val="both"/>
        <w:rPr>
          <w:rFonts w:ascii="Century Gothic" w:hAnsi="Century Gothic" w:cs="Arial"/>
          <w:b/>
          <w:bCs/>
          <w:color w:val="000000"/>
        </w:rPr>
      </w:pPr>
      <w:r w:rsidRPr="004A5B4B">
        <w:rPr>
          <w:rFonts w:ascii="Century Gothic" w:hAnsi="Century Gothic" w:cs="Arial"/>
          <w:b/>
          <w:bCs/>
          <w:color w:val="000000"/>
        </w:rPr>
        <w:t xml:space="preserve">7.- La actuación de segunda instancia.- </w:t>
      </w:r>
    </w:p>
    <w:p w14:paraId="1EF02FF3" w14:textId="77777777" w:rsidR="007B66DD" w:rsidRPr="004A5B4B" w:rsidRDefault="007B66DD" w:rsidP="007B66DD">
      <w:pPr>
        <w:spacing w:after="0"/>
        <w:ind w:right="-1"/>
        <w:jc w:val="both"/>
        <w:rPr>
          <w:rFonts w:ascii="Century Gothic" w:hAnsi="Century Gothic" w:cs="Arial"/>
          <w:bCs/>
          <w:color w:val="000000"/>
        </w:rPr>
      </w:pPr>
    </w:p>
    <w:p w14:paraId="7F6C3E89" w14:textId="77777777" w:rsidR="007B66DD" w:rsidRPr="004A5B4B" w:rsidRDefault="007B66DD" w:rsidP="007B66DD">
      <w:pPr>
        <w:pStyle w:val="Textoindependiente210"/>
        <w:ind w:right="47" w:firstLine="0"/>
        <w:rPr>
          <w:rFonts w:ascii="Century Gothic" w:hAnsi="Century Gothic" w:cs="Tahoma"/>
          <w:sz w:val="22"/>
          <w:szCs w:val="22"/>
        </w:rPr>
      </w:pPr>
      <w:r w:rsidRPr="004A5B4B">
        <w:rPr>
          <w:rFonts w:ascii="Century Gothic" w:hAnsi="Century Gothic" w:cs="Tahoma"/>
          <w:sz w:val="22"/>
          <w:szCs w:val="22"/>
        </w:rPr>
        <w:t xml:space="preserve">Inconforme con el fallo de primera instancia, la parte actora interpuso recurso de apelación (fl. </w:t>
      </w:r>
      <w:smartTag w:uri="urn:schemas-microsoft-com:office:smarttags" w:element="metricconverter">
        <w:smartTagPr>
          <w:attr w:name="ProductID" w:val="240, C"/>
        </w:smartTagPr>
        <w:r w:rsidRPr="004A5B4B">
          <w:rPr>
            <w:rFonts w:ascii="Century Gothic" w:hAnsi="Century Gothic" w:cs="Tahoma"/>
            <w:sz w:val="22"/>
            <w:szCs w:val="22"/>
          </w:rPr>
          <w:t>240, C</w:t>
        </w:r>
      </w:smartTag>
      <w:r w:rsidRPr="004A5B4B">
        <w:rPr>
          <w:rFonts w:ascii="Century Gothic" w:hAnsi="Century Gothic" w:cs="Tahoma"/>
          <w:sz w:val="22"/>
          <w:szCs w:val="22"/>
        </w:rPr>
        <w:t>. Consejo), con el fin de obtener la revocatoria de la sentencia impugnada y</w:t>
      </w:r>
      <w:r>
        <w:rPr>
          <w:rFonts w:ascii="Century Gothic" w:hAnsi="Century Gothic" w:cs="Tahoma"/>
          <w:sz w:val="22"/>
          <w:szCs w:val="22"/>
        </w:rPr>
        <w:t xml:space="preserve"> que</w:t>
      </w:r>
      <w:r w:rsidRPr="004A5B4B">
        <w:rPr>
          <w:rFonts w:ascii="Century Gothic" w:hAnsi="Century Gothic" w:cs="Tahoma"/>
          <w:sz w:val="22"/>
          <w:szCs w:val="22"/>
        </w:rPr>
        <w:t>, en su lugar, se analicen de fondo las pretensiones de la demanda.</w:t>
      </w:r>
    </w:p>
    <w:p w14:paraId="76A815FC" w14:textId="77777777" w:rsidR="007B66DD" w:rsidRPr="004A5B4B" w:rsidRDefault="007B66DD" w:rsidP="007B66DD">
      <w:pPr>
        <w:pStyle w:val="Textoindependiente210"/>
        <w:ind w:right="47" w:firstLine="0"/>
        <w:rPr>
          <w:rFonts w:ascii="Century Gothic" w:hAnsi="Century Gothic" w:cs="Tahoma"/>
          <w:sz w:val="22"/>
          <w:szCs w:val="22"/>
        </w:rPr>
      </w:pPr>
    </w:p>
    <w:p w14:paraId="29606D71" w14:textId="77777777" w:rsidR="007B66DD" w:rsidRPr="004A5B4B" w:rsidRDefault="007B66DD" w:rsidP="007B66DD">
      <w:pPr>
        <w:pStyle w:val="Textoindependiente210"/>
        <w:ind w:right="47" w:firstLine="0"/>
        <w:rPr>
          <w:rFonts w:ascii="Century Gothic" w:hAnsi="Century Gothic" w:cs="Tahoma"/>
          <w:sz w:val="22"/>
          <w:szCs w:val="22"/>
        </w:rPr>
      </w:pPr>
      <w:r w:rsidRPr="004A5B4B">
        <w:rPr>
          <w:rFonts w:ascii="Century Gothic" w:hAnsi="Century Gothic" w:cs="Tahoma"/>
          <w:sz w:val="22"/>
          <w:szCs w:val="22"/>
        </w:rPr>
        <w:lastRenderedPageBreak/>
        <w:t>Como fundamento del recurso</w:t>
      </w:r>
      <w:r>
        <w:rPr>
          <w:rFonts w:ascii="Century Gothic" w:hAnsi="Century Gothic" w:cs="Tahoma"/>
          <w:sz w:val="22"/>
          <w:szCs w:val="22"/>
        </w:rPr>
        <w:t>,</w:t>
      </w:r>
      <w:r w:rsidRPr="004A5B4B">
        <w:rPr>
          <w:rFonts w:ascii="Century Gothic" w:hAnsi="Century Gothic" w:cs="Tahoma"/>
          <w:sz w:val="22"/>
          <w:szCs w:val="22"/>
        </w:rPr>
        <w:t xml:space="preserve"> expuso que el incumplimiento que se atribuye a la administración departamental tuvo ocurrencia en vigencia de la Ley 80 de 1993 y, por lo mismo, para el ejercicio de la acción no es aplicable el término de caducidad de los 2 años previsto por el artículo 136 del C.C.A. (numeral 10, literal d), sino el de prescripción de 20 años contemplado por el artículo 55 de la Ley 80 de 1993 (fls. </w:t>
      </w:r>
      <w:smartTag w:uri="urn:schemas-microsoft-com:office:smarttags" w:element="metricconverter">
        <w:smartTagPr>
          <w:attr w:name="ProductID" w:val="249 a"/>
        </w:smartTagPr>
        <w:r w:rsidRPr="004A5B4B">
          <w:rPr>
            <w:rFonts w:ascii="Century Gothic" w:hAnsi="Century Gothic" w:cs="Tahoma"/>
            <w:sz w:val="22"/>
            <w:szCs w:val="22"/>
          </w:rPr>
          <w:t>249 a</w:t>
        </w:r>
      </w:smartTag>
      <w:r w:rsidRPr="004A5B4B">
        <w:rPr>
          <w:rFonts w:ascii="Century Gothic" w:hAnsi="Century Gothic" w:cs="Tahoma"/>
          <w:sz w:val="22"/>
          <w:szCs w:val="22"/>
        </w:rPr>
        <w:t xml:space="preserve"> </w:t>
      </w:r>
      <w:smartTag w:uri="urn:schemas-microsoft-com:office:smarttags" w:element="metricconverter">
        <w:smartTagPr>
          <w:attr w:name="ProductID" w:val="253, C"/>
        </w:smartTagPr>
        <w:r w:rsidRPr="004A5B4B">
          <w:rPr>
            <w:rFonts w:ascii="Century Gothic" w:hAnsi="Century Gothic" w:cs="Tahoma"/>
            <w:sz w:val="22"/>
            <w:szCs w:val="22"/>
          </w:rPr>
          <w:t>253, C</w:t>
        </w:r>
      </w:smartTag>
      <w:r w:rsidRPr="004A5B4B">
        <w:rPr>
          <w:rFonts w:ascii="Century Gothic" w:hAnsi="Century Gothic" w:cs="Tahoma"/>
          <w:sz w:val="22"/>
          <w:szCs w:val="22"/>
        </w:rPr>
        <w:t>. Consejo).</w:t>
      </w:r>
    </w:p>
    <w:p w14:paraId="73535C7E" w14:textId="77777777" w:rsidR="007B66DD" w:rsidRPr="004A5B4B" w:rsidRDefault="007B66DD" w:rsidP="007B66DD">
      <w:pPr>
        <w:pStyle w:val="Textoindependiente210"/>
        <w:ind w:right="47" w:firstLine="0"/>
        <w:rPr>
          <w:rFonts w:ascii="Century Gothic" w:hAnsi="Century Gothic" w:cs="Tahoma"/>
          <w:sz w:val="22"/>
          <w:szCs w:val="22"/>
        </w:rPr>
      </w:pPr>
    </w:p>
    <w:p w14:paraId="601042CF" w14:textId="77777777" w:rsidR="007B66DD" w:rsidRPr="004A5B4B" w:rsidRDefault="007B66DD" w:rsidP="007B66DD">
      <w:pPr>
        <w:pStyle w:val="Textoindependiente210"/>
        <w:ind w:firstLine="0"/>
        <w:rPr>
          <w:rFonts w:ascii="Century Gothic" w:hAnsi="Century Gothic" w:cs="Tahoma"/>
          <w:b/>
          <w:sz w:val="22"/>
          <w:szCs w:val="22"/>
        </w:rPr>
      </w:pPr>
      <w:r w:rsidRPr="004A5B4B">
        <w:rPr>
          <w:rFonts w:ascii="Century Gothic" w:hAnsi="Century Gothic" w:cs="Tahoma"/>
          <w:b/>
          <w:sz w:val="22"/>
          <w:szCs w:val="22"/>
        </w:rPr>
        <w:t xml:space="preserve">8.- Los alegatos de conclusión de segunda instancia y el concepto del Ministerio Público.- </w:t>
      </w:r>
    </w:p>
    <w:p w14:paraId="6ADFF4E9" w14:textId="77777777" w:rsidR="007B66DD" w:rsidRPr="004A5B4B" w:rsidRDefault="007B66DD" w:rsidP="007B66DD">
      <w:pPr>
        <w:pStyle w:val="Textoindependiente210"/>
        <w:ind w:firstLine="0"/>
        <w:rPr>
          <w:rFonts w:ascii="Century Gothic" w:hAnsi="Century Gothic" w:cs="Tahoma"/>
          <w:b/>
          <w:sz w:val="22"/>
          <w:szCs w:val="22"/>
        </w:rPr>
      </w:pPr>
    </w:p>
    <w:p w14:paraId="2CC37632" w14:textId="77777777" w:rsidR="007B66DD" w:rsidRPr="004A5B4B" w:rsidRDefault="007B66DD" w:rsidP="007B66DD">
      <w:pPr>
        <w:pStyle w:val="Textoindependiente210"/>
        <w:ind w:firstLine="0"/>
        <w:rPr>
          <w:rFonts w:ascii="Century Gothic" w:hAnsi="Century Gothic" w:cs="Tahoma"/>
          <w:sz w:val="22"/>
          <w:szCs w:val="22"/>
        </w:rPr>
      </w:pPr>
      <w:r w:rsidRPr="004A5B4B">
        <w:rPr>
          <w:rFonts w:ascii="Century Gothic" w:hAnsi="Century Gothic" w:cs="Tahoma"/>
          <w:sz w:val="22"/>
          <w:szCs w:val="22"/>
        </w:rPr>
        <w:t>Mediante auto del 18 de junio de 2003 se corrió traslado a las parte</w:t>
      </w:r>
      <w:r>
        <w:rPr>
          <w:rFonts w:ascii="Century Gothic" w:hAnsi="Century Gothic" w:cs="Tahoma"/>
          <w:sz w:val="22"/>
          <w:szCs w:val="22"/>
        </w:rPr>
        <w:t>s,</w:t>
      </w:r>
      <w:r w:rsidRPr="004A5B4B">
        <w:rPr>
          <w:rFonts w:ascii="Century Gothic" w:hAnsi="Century Gothic" w:cs="Tahoma"/>
          <w:sz w:val="22"/>
          <w:szCs w:val="22"/>
        </w:rPr>
        <w:t xml:space="preserve"> para alegar de conclusión y</w:t>
      </w:r>
      <w:r>
        <w:rPr>
          <w:rFonts w:ascii="Century Gothic" w:hAnsi="Century Gothic" w:cs="Tahoma"/>
          <w:sz w:val="22"/>
          <w:szCs w:val="22"/>
        </w:rPr>
        <w:t xml:space="preserve"> al Ministerio Público</w:t>
      </w:r>
      <w:r w:rsidRPr="004A5B4B">
        <w:rPr>
          <w:rFonts w:ascii="Century Gothic" w:hAnsi="Century Gothic" w:cs="Tahoma"/>
          <w:sz w:val="22"/>
          <w:szCs w:val="22"/>
        </w:rPr>
        <w:t xml:space="preserve">, para que emitiera su concepto (fl. </w:t>
      </w:r>
      <w:smartTag w:uri="urn:schemas-microsoft-com:office:smarttags" w:element="metricconverter">
        <w:smartTagPr>
          <w:attr w:name="ProductID" w:val="264, C"/>
        </w:smartTagPr>
        <w:r w:rsidRPr="004A5B4B">
          <w:rPr>
            <w:rFonts w:ascii="Century Gothic" w:hAnsi="Century Gothic" w:cs="Tahoma"/>
            <w:sz w:val="22"/>
            <w:szCs w:val="22"/>
          </w:rPr>
          <w:t>264, C</w:t>
        </w:r>
      </w:smartTag>
      <w:r w:rsidRPr="004A5B4B">
        <w:rPr>
          <w:rFonts w:ascii="Century Gothic" w:hAnsi="Century Gothic" w:cs="Tahoma"/>
          <w:sz w:val="22"/>
          <w:szCs w:val="22"/>
        </w:rPr>
        <w:t>. Consejo).</w:t>
      </w:r>
    </w:p>
    <w:p w14:paraId="619A3733" w14:textId="77777777" w:rsidR="007B66DD" w:rsidRPr="004A5B4B" w:rsidRDefault="007B66DD" w:rsidP="007B66DD">
      <w:pPr>
        <w:pStyle w:val="Textoindependiente210"/>
        <w:ind w:firstLine="0"/>
        <w:rPr>
          <w:rFonts w:ascii="Century Gothic" w:hAnsi="Century Gothic" w:cs="Tahoma"/>
          <w:sz w:val="22"/>
          <w:szCs w:val="22"/>
        </w:rPr>
      </w:pPr>
    </w:p>
    <w:p w14:paraId="744493F7" w14:textId="77777777" w:rsidR="007B66DD" w:rsidRPr="004A5B4B" w:rsidRDefault="007B66DD" w:rsidP="007B66DD">
      <w:pPr>
        <w:pStyle w:val="Textoindependiente210"/>
        <w:ind w:firstLine="0"/>
        <w:rPr>
          <w:rFonts w:ascii="Century Gothic" w:hAnsi="Century Gothic" w:cs="Tahoma"/>
          <w:sz w:val="22"/>
          <w:szCs w:val="22"/>
        </w:rPr>
      </w:pPr>
      <w:r w:rsidRPr="004A5B4B">
        <w:rPr>
          <w:rFonts w:ascii="Century Gothic" w:hAnsi="Century Gothic" w:cs="Tahoma"/>
          <w:sz w:val="22"/>
          <w:szCs w:val="22"/>
        </w:rPr>
        <w:t xml:space="preserve">Todos los sujetos procesales guardaron silencio. </w:t>
      </w:r>
    </w:p>
    <w:p w14:paraId="05ED4EEA" w14:textId="77777777" w:rsidR="007B66DD" w:rsidRPr="004A5B4B" w:rsidRDefault="007B66DD" w:rsidP="007B66DD">
      <w:pPr>
        <w:pStyle w:val="Textoindependiente210"/>
        <w:ind w:firstLine="0"/>
        <w:rPr>
          <w:rFonts w:ascii="Century Gothic" w:hAnsi="Century Gothic" w:cs="Tahoma"/>
          <w:sz w:val="22"/>
          <w:szCs w:val="22"/>
        </w:rPr>
      </w:pPr>
    </w:p>
    <w:p w14:paraId="7BF914EF" w14:textId="77777777" w:rsidR="007B66DD" w:rsidRPr="004A5B4B" w:rsidRDefault="007B66DD" w:rsidP="007B66DD">
      <w:pPr>
        <w:spacing w:after="0" w:line="360" w:lineRule="auto"/>
        <w:jc w:val="center"/>
        <w:rPr>
          <w:rFonts w:ascii="Century Gothic" w:hAnsi="Century Gothic" w:cs="Arial"/>
          <w:b/>
          <w:bCs/>
          <w:color w:val="000000"/>
        </w:rPr>
      </w:pPr>
      <w:r w:rsidRPr="004A5B4B">
        <w:rPr>
          <w:rFonts w:ascii="Century Gothic" w:hAnsi="Century Gothic" w:cs="Arial"/>
          <w:b/>
          <w:bCs/>
          <w:color w:val="000000"/>
        </w:rPr>
        <w:t>CONSIDERACIONES</w:t>
      </w:r>
    </w:p>
    <w:p w14:paraId="1DA5224B" w14:textId="77777777" w:rsidR="007B66DD" w:rsidRPr="004A5B4B" w:rsidRDefault="007B66DD" w:rsidP="007B66DD">
      <w:pPr>
        <w:spacing w:after="0" w:line="360" w:lineRule="auto"/>
        <w:jc w:val="both"/>
        <w:rPr>
          <w:rFonts w:ascii="Century Gothic" w:hAnsi="Century Gothic" w:cs="Arial"/>
          <w:bCs/>
          <w:color w:val="000000"/>
        </w:rPr>
      </w:pPr>
    </w:p>
    <w:p w14:paraId="63214853"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b/>
        </w:rPr>
      </w:pPr>
      <w:r w:rsidRPr="004A5B4B">
        <w:rPr>
          <w:rFonts w:ascii="Century Gothic" w:hAnsi="Century Gothic"/>
          <w:b/>
        </w:rPr>
        <w:t>I. La competencia.-</w:t>
      </w:r>
    </w:p>
    <w:p w14:paraId="0EE07105"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rPr>
      </w:pPr>
    </w:p>
    <w:p w14:paraId="535C90A0"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bCs/>
        </w:rPr>
      </w:pPr>
      <w:r w:rsidRPr="004A5B4B">
        <w:rPr>
          <w:rFonts w:ascii="Century Gothic" w:hAnsi="Century Gothic"/>
        </w:rPr>
        <w:t>La Sala es competente para conocer del recurso de apelación interpuesto contra la sentencia proferida el 10 de octubre de 2002 por el Tribunal Administrativo de Casanare, por cuanto la cuantía del proceso fue estimada razonadamente por la parte demandante en la suma de $100’000.000.oo. Para la época de interposición de la demanda (16 de abril de 2001), eran susceptibles de acceder a la segunda instancia aquellos promovidos en ejercicio de la acción</w:t>
      </w:r>
      <w:r>
        <w:rPr>
          <w:rFonts w:ascii="Century Gothic" w:hAnsi="Century Gothic"/>
        </w:rPr>
        <w:t xml:space="preserve"> de</w:t>
      </w:r>
      <w:r w:rsidRPr="004A5B4B">
        <w:rPr>
          <w:rFonts w:ascii="Century Gothic" w:hAnsi="Century Gothic"/>
        </w:rPr>
        <w:t xml:space="preserve"> contractuales cuya cuantía excediera la suma de $26’390.000.oo</w:t>
      </w:r>
      <w:r w:rsidRPr="004A5B4B">
        <w:rPr>
          <w:rStyle w:val="Refdenotaalpie"/>
          <w:rFonts w:ascii="Century Gothic" w:hAnsi="Century Gothic"/>
        </w:rPr>
        <w:footnoteReference w:id="1"/>
      </w:r>
      <w:r w:rsidRPr="004A5B4B">
        <w:rPr>
          <w:rFonts w:ascii="Century Gothic" w:hAnsi="Century Gothic"/>
        </w:rPr>
        <w:t xml:space="preserve">, monto que, como se puede observar, se encuentra ampliamente superado. Por otra parte, es de anotar que el Consejo de Estado es funcionalmente competente para conocer de los recursos de apelación interpuestos contra las sentencias dictadas por los Tribunales Administrativos en primera instancia, a términos de lo dispuesto por el artículo 129 del C.C.A.  </w:t>
      </w:r>
    </w:p>
    <w:p w14:paraId="212532BA" w14:textId="77777777" w:rsidR="007B66DD" w:rsidRPr="004A5B4B" w:rsidRDefault="007B66DD" w:rsidP="007B66DD">
      <w:pPr>
        <w:pStyle w:val="Textoindependiente21"/>
        <w:spacing w:line="360" w:lineRule="auto"/>
        <w:rPr>
          <w:rFonts w:ascii="Century Gothic" w:hAnsi="Century Gothic"/>
          <w:b/>
          <w:sz w:val="22"/>
          <w:szCs w:val="22"/>
        </w:rPr>
      </w:pPr>
    </w:p>
    <w:p w14:paraId="2B17D2ED" w14:textId="77777777" w:rsidR="007B66DD" w:rsidRPr="004A5B4B" w:rsidRDefault="007B66DD" w:rsidP="007B66DD">
      <w:pPr>
        <w:pStyle w:val="Textoindependiente21"/>
        <w:spacing w:line="360" w:lineRule="auto"/>
        <w:rPr>
          <w:rFonts w:ascii="Century Gothic" w:hAnsi="Century Gothic"/>
          <w:b/>
          <w:sz w:val="22"/>
          <w:szCs w:val="22"/>
        </w:rPr>
      </w:pPr>
      <w:r w:rsidRPr="004A5B4B">
        <w:rPr>
          <w:rFonts w:ascii="Century Gothic" w:hAnsi="Century Gothic"/>
          <w:b/>
          <w:sz w:val="22"/>
          <w:szCs w:val="22"/>
        </w:rPr>
        <w:t xml:space="preserve">II.- Análisis del recurso.- </w:t>
      </w:r>
    </w:p>
    <w:p w14:paraId="4C03A145"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p>
    <w:p w14:paraId="424E9F5F" w14:textId="77777777" w:rsidR="007B66DD" w:rsidRPr="004A5B4B" w:rsidRDefault="007B66DD" w:rsidP="007B66DD">
      <w:pPr>
        <w:pStyle w:val="NormalWeb"/>
        <w:spacing w:before="0" w:beforeAutospacing="0" w:after="0" w:afterAutospacing="0" w:line="360" w:lineRule="auto"/>
        <w:jc w:val="both"/>
        <w:rPr>
          <w:rFonts w:ascii="Century Gothic" w:hAnsi="Century Gothic"/>
          <w:sz w:val="22"/>
          <w:szCs w:val="22"/>
        </w:rPr>
      </w:pPr>
      <w:r w:rsidRPr="004A5B4B">
        <w:rPr>
          <w:rFonts w:ascii="Century Gothic" w:hAnsi="Century Gothic"/>
          <w:bCs/>
          <w:sz w:val="22"/>
          <w:szCs w:val="22"/>
        </w:rPr>
        <w:t xml:space="preserve">Las normas atinentes al factor temporal para el ejercicio del derecho público de acción son, en principio, las vigentes al momento en que nace la posibilidad de acudir a la jurisdicción, en procura de la </w:t>
      </w:r>
      <w:r w:rsidRPr="004A5B4B">
        <w:rPr>
          <w:rFonts w:ascii="Century Gothic" w:hAnsi="Century Gothic"/>
          <w:sz w:val="22"/>
          <w:szCs w:val="22"/>
        </w:rPr>
        <w:t xml:space="preserve">protección o de la satisfacción del interés </w:t>
      </w:r>
      <w:r w:rsidRPr="004A5B4B">
        <w:rPr>
          <w:rFonts w:ascii="Century Gothic" w:hAnsi="Century Gothic"/>
          <w:sz w:val="22"/>
          <w:szCs w:val="22"/>
        </w:rPr>
        <w:lastRenderedPageBreak/>
        <w:t>jurídico o del derecho subjetivo conculcado</w:t>
      </w:r>
      <w:r w:rsidRPr="004A5B4B">
        <w:rPr>
          <w:rFonts w:ascii="Century Gothic" w:hAnsi="Century Gothic"/>
          <w:bCs/>
          <w:sz w:val="22"/>
          <w:szCs w:val="22"/>
        </w:rPr>
        <w:t>. Tal planteamiento se acompasa con lo previsto por los artículos 38</w:t>
      </w:r>
      <w:r w:rsidRPr="004A5B4B">
        <w:rPr>
          <w:rStyle w:val="Refdenotaalpie"/>
          <w:rFonts w:ascii="Century Gothic" w:hAnsi="Century Gothic"/>
          <w:bCs/>
          <w:sz w:val="22"/>
          <w:szCs w:val="22"/>
        </w:rPr>
        <w:footnoteReference w:id="2"/>
      </w:r>
      <w:r w:rsidRPr="004A5B4B">
        <w:rPr>
          <w:rFonts w:ascii="Century Gothic" w:hAnsi="Century Gothic"/>
          <w:bCs/>
          <w:sz w:val="22"/>
          <w:szCs w:val="22"/>
        </w:rPr>
        <w:t xml:space="preserve"> y 40</w:t>
      </w:r>
      <w:r w:rsidRPr="004A5B4B">
        <w:rPr>
          <w:rStyle w:val="Refdenotaalpie"/>
          <w:rFonts w:ascii="Century Gothic" w:hAnsi="Century Gothic"/>
          <w:bCs/>
          <w:sz w:val="22"/>
          <w:szCs w:val="22"/>
        </w:rPr>
        <w:footnoteReference w:id="3"/>
      </w:r>
      <w:r w:rsidRPr="004A5B4B">
        <w:rPr>
          <w:rFonts w:ascii="Century Gothic" w:hAnsi="Century Gothic"/>
          <w:bCs/>
          <w:sz w:val="22"/>
          <w:szCs w:val="22"/>
        </w:rPr>
        <w:t xml:space="preserve"> de </w:t>
      </w:r>
      <w:smartTag w:uri="urn:schemas-microsoft-com:office:smarttags" w:element="PersonName">
        <w:smartTagPr>
          <w:attr w:name="ProductID" w:val="la Ley"/>
        </w:smartTagPr>
        <w:r w:rsidRPr="004A5B4B">
          <w:rPr>
            <w:rFonts w:ascii="Century Gothic" w:hAnsi="Century Gothic"/>
            <w:bCs/>
            <w:sz w:val="22"/>
            <w:szCs w:val="22"/>
          </w:rPr>
          <w:t>la Ley</w:t>
        </w:r>
      </w:smartTag>
      <w:r w:rsidRPr="004A5B4B">
        <w:rPr>
          <w:rFonts w:ascii="Century Gothic" w:hAnsi="Century Gothic"/>
          <w:bCs/>
          <w:sz w:val="22"/>
          <w:szCs w:val="22"/>
        </w:rPr>
        <w:t xml:space="preserve"> 153 de 1887.</w:t>
      </w:r>
    </w:p>
    <w:p w14:paraId="5D44C80A"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p>
    <w:p w14:paraId="32BB213E"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r w:rsidRPr="004A5B4B">
        <w:rPr>
          <w:rFonts w:ascii="Century Gothic" w:hAnsi="Century Gothic"/>
          <w:bCs/>
          <w:sz w:val="22"/>
          <w:szCs w:val="22"/>
        </w:rPr>
        <w:t>Por lo anterior, los límites objetivo – temporales que extinguen con el paso del tiempo la posibilidad de poner en funcionamiento el aparato jurisdiccional se encuentran supeditados a la normatividad imperante al momento en que acontece el supuesto que permite acudir a la jurisdicción, de manera que la inactividad del administrado por el período determinado en la ley genera, inexorablemente, la caducidad de la acción.</w:t>
      </w:r>
    </w:p>
    <w:p w14:paraId="4FF719CB"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p>
    <w:p w14:paraId="55A56B85"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r w:rsidRPr="004A5B4B">
        <w:rPr>
          <w:rFonts w:ascii="Century Gothic" w:hAnsi="Century Gothic"/>
          <w:bCs/>
          <w:sz w:val="22"/>
          <w:szCs w:val="22"/>
        </w:rPr>
        <w:t>En este caso, el recurrente sostiene que el ejercicio de la acción incoada no se rige por las reglas de caducidad previstas por el artículo 136 del C.C.A., sino por las normas que gobiernan la prescripción de las acciones</w:t>
      </w:r>
      <w:r>
        <w:rPr>
          <w:rFonts w:ascii="Century Gothic" w:hAnsi="Century Gothic"/>
          <w:bCs/>
          <w:sz w:val="22"/>
          <w:szCs w:val="22"/>
        </w:rPr>
        <w:t xml:space="preserve"> de responsabilidad contractual</w:t>
      </w:r>
      <w:r w:rsidRPr="004A5B4B">
        <w:rPr>
          <w:rFonts w:ascii="Century Gothic" w:hAnsi="Century Gothic"/>
          <w:bCs/>
          <w:sz w:val="22"/>
          <w:szCs w:val="22"/>
        </w:rPr>
        <w:t xml:space="preserve"> </w:t>
      </w:r>
      <w:r>
        <w:rPr>
          <w:rFonts w:ascii="Century Gothic" w:hAnsi="Century Gothic"/>
          <w:bCs/>
          <w:sz w:val="22"/>
          <w:szCs w:val="22"/>
        </w:rPr>
        <w:t>previstas en</w:t>
      </w:r>
      <w:r w:rsidRPr="004A5B4B">
        <w:rPr>
          <w:rFonts w:ascii="Century Gothic" w:hAnsi="Century Gothic"/>
          <w:bCs/>
          <w:sz w:val="22"/>
          <w:szCs w:val="22"/>
        </w:rPr>
        <w:t xml:space="preserve"> los artículos 50 y 55 de la Ley 80 de 1993.</w:t>
      </w:r>
    </w:p>
    <w:p w14:paraId="461AA0F0" w14:textId="77777777" w:rsidR="007B66DD" w:rsidRPr="004A5B4B" w:rsidRDefault="007B66DD" w:rsidP="007B66DD">
      <w:pPr>
        <w:pStyle w:val="NormalWeb"/>
        <w:spacing w:before="0" w:beforeAutospacing="0" w:after="0" w:afterAutospacing="0" w:line="360" w:lineRule="auto"/>
        <w:jc w:val="both"/>
        <w:rPr>
          <w:rFonts w:ascii="Century Gothic" w:hAnsi="Century Gothic"/>
          <w:bCs/>
          <w:sz w:val="22"/>
          <w:szCs w:val="22"/>
        </w:rPr>
      </w:pPr>
    </w:p>
    <w:p w14:paraId="069CE5F1" w14:textId="77777777" w:rsidR="007B66DD" w:rsidRPr="004A5B4B" w:rsidRDefault="007B66DD" w:rsidP="007B66DD">
      <w:pPr>
        <w:numPr>
          <w:ilvl w:val="12"/>
          <w:numId w:val="0"/>
        </w:numPr>
        <w:tabs>
          <w:tab w:val="left" w:pos="-720"/>
        </w:tabs>
        <w:suppressAutoHyphens/>
        <w:spacing w:after="0" w:line="360" w:lineRule="auto"/>
        <w:jc w:val="both"/>
        <w:rPr>
          <w:rFonts w:ascii="Century Gothic" w:hAnsi="Century Gothic" w:cs="Arial"/>
          <w:spacing w:val="-3"/>
        </w:rPr>
      </w:pPr>
      <w:r w:rsidRPr="004A5B4B">
        <w:rPr>
          <w:rFonts w:ascii="Century Gothic" w:hAnsi="Century Gothic"/>
          <w:bCs/>
        </w:rPr>
        <w:t xml:space="preserve">Respecto de la aplicación de las reglas de prescripción contempladas por el artículo 55 de la Ley 80 de 1993, la jurisprudencia de esta </w:t>
      </w:r>
      <w:r>
        <w:rPr>
          <w:rFonts w:ascii="Century Gothic" w:hAnsi="Century Gothic"/>
          <w:bCs/>
        </w:rPr>
        <w:t xml:space="preserve">Sección del Consejo de Estado </w:t>
      </w:r>
      <w:r w:rsidRPr="004A5B4B">
        <w:rPr>
          <w:rFonts w:ascii="Century Gothic" w:hAnsi="Century Gothic"/>
          <w:bCs/>
        </w:rPr>
        <w:t>se ha pronunciado en varias oportunidades</w:t>
      </w:r>
      <w:r w:rsidRPr="004A5B4B">
        <w:rPr>
          <w:rStyle w:val="Refdenotaalpie"/>
          <w:rFonts w:ascii="Century Gothic" w:hAnsi="Century Gothic"/>
          <w:bCs/>
        </w:rPr>
        <w:footnoteReference w:id="4"/>
      </w:r>
      <w:r w:rsidRPr="004A5B4B">
        <w:rPr>
          <w:rFonts w:ascii="Century Gothic" w:hAnsi="Century Gothic"/>
          <w:bCs/>
        </w:rPr>
        <w:t xml:space="preserve"> señalando que </w:t>
      </w:r>
      <w:r w:rsidRPr="004A5B4B">
        <w:rPr>
          <w:rFonts w:ascii="Century Gothic" w:hAnsi="Century Gothic"/>
          <w:bCs/>
          <w:i/>
        </w:rPr>
        <w:t xml:space="preserve">“… </w:t>
      </w:r>
      <w:r w:rsidRPr="004A5B4B">
        <w:rPr>
          <w:rFonts w:ascii="Century Gothic" w:hAnsi="Century Gothic" w:cs="Arial"/>
          <w:i/>
          <w:spacing w:val="-3"/>
        </w:rPr>
        <w:t xml:space="preserve">El legislador –ley 80 de 1993- amplió el término de prescripción de la acción a veinte años sólo para los eventos de las </w:t>
      </w:r>
      <w:r w:rsidRPr="004A5B4B">
        <w:rPr>
          <w:rFonts w:ascii="Century Gothic" w:hAnsi="Century Gothic" w:cs="Arial"/>
          <w:b/>
          <w:i/>
          <w:spacing w:val="-3"/>
        </w:rPr>
        <w:t>conductas</w:t>
      </w:r>
      <w:r w:rsidRPr="004D27C3">
        <w:rPr>
          <w:rFonts w:ascii="Century Gothic" w:hAnsi="Century Gothic" w:cs="Arial"/>
          <w:b/>
          <w:i/>
          <w:spacing w:val="-3"/>
        </w:rPr>
        <w:t xml:space="preserve"> </w:t>
      </w:r>
      <w:r w:rsidRPr="004A5B4B">
        <w:rPr>
          <w:rFonts w:ascii="Century Gothic" w:hAnsi="Century Gothic" w:cs="Arial"/>
          <w:b/>
          <w:i/>
          <w:spacing w:val="-3"/>
          <w:u w:val="single"/>
        </w:rPr>
        <w:t xml:space="preserve">antijurídicas </w:t>
      </w:r>
      <w:r w:rsidRPr="004A5B4B">
        <w:rPr>
          <w:rFonts w:ascii="Century Gothic" w:hAnsi="Century Gothic" w:cs="Arial"/>
          <w:b/>
          <w:i/>
          <w:spacing w:val="-3"/>
        </w:rPr>
        <w:t>contractuales…</w:t>
      </w:r>
      <w:r w:rsidRPr="004A5B4B">
        <w:rPr>
          <w:rFonts w:ascii="Century Gothic" w:hAnsi="Century Gothic" w:cs="Arial"/>
          <w:i/>
          <w:spacing w:val="-3"/>
        </w:rPr>
        <w:t>.”</w:t>
      </w:r>
      <w:r w:rsidRPr="004A5B4B">
        <w:rPr>
          <w:rStyle w:val="Refdenotaalpie"/>
          <w:rFonts w:ascii="Century Gothic" w:hAnsi="Century Gothic" w:cs="Arial"/>
          <w:spacing w:val="-3"/>
        </w:rPr>
        <w:footnoteReference w:id="5"/>
      </w:r>
      <w:r w:rsidRPr="004A5B4B">
        <w:rPr>
          <w:rFonts w:ascii="Century Gothic" w:hAnsi="Century Gothic" w:cs="Arial"/>
          <w:spacing w:val="-3"/>
        </w:rPr>
        <w:t xml:space="preserve">; pero, cuando lo que se cuestiona es la </w:t>
      </w:r>
      <w:r w:rsidRPr="004A5B4B">
        <w:rPr>
          <w:rFonts w:ascii="Century Gothic" w:hAnsi="Century Gothic" w:cs="Arial"/>
          <w:spacing w:val="-3"/>
          <w:u w:val="single"/>
        </w:rPr>
        <w:t>validez</w:t>
      </w:r>
      <w:r w:rsidRPr="004A5B4B">
        <w:rPr>
          <w:rFonts w:ascii="Century Gothic" w:hAnsi="Century Gothic" w:cs="Arial"/>
          <w:spacing w:val="-3"/>
        </w:rPr>
        <w:t xml:space="preserve"> de </w:t>
      </w:r>
      <w:r>
        <w:rPr>
          <w:rFonts w:ascii="Century Gothic" w:hAnsi="Century Gothic" w:cs="Arial"/>
          <w:spacing w:val="-3"/>
        </w:rPr>
        <w:t xml:space="preserve">los </w:t>
      </w:r>
      <w:r w:rsidRPr="004A5B4B">
        <w:rPr>
          <w:rFonts w:ascii="Century Gothic" w:hAnsi="Century Gothic" w:cs="Arial"/>
          <w:spacing w:val="-3"/>
        </w:rPr>
        <w:t xml:space="preserve">actos jurídicos contractuales (contrato, actos bilaterales, actos unilaterales de la administración y del particular) y de otras </w:t>
      </w:r>
      <w:r w:rsidRPr="00FA48A2">
        <w:rPr>
          <w:rFonts w:ascii="Century Gothic" w:hAnsi="Century Gothic" w:cs="Arial"/>
          <w:spacing w:val="-3"/>
        </w:rPr>
        <w:t>conductas jurídicas</w:t>
      </w:r>
      <w:r w:rsidRPr="004A5B4B">
        <w:rPr>
          <w:rFonts w:ascii="Century Gothic" w:hAnsi="Century Gothic" w:cs="Arial"/>
          <w:spacing w:val="-3"/>
        </w:rPr>
        <w:t xml:space="preserve"> (hecho del príncipe) o </w:t>
      </w:r>
      <w:r>
        <w:rPr>
          <w:rFonts w:ascii="Century Gothic" w:hAnsi="Century Gothic" w:cs="Arial"/>
          <w:spacing w:val="-3"/>
        </w:rPr>
        <w:t xml:space="preserve">de hechos </w:t>
      </w:r>
      <w:r w:rsidRPr="00FA48A2">
        <w:rPr>
          <w:rFonts w:ascii="Century Gothic" w:hAnsi="Century Gothic" w:cs="Arial"/>
          <w:spacing w:val="-3"/>
        </w:rPr>
        <w:t>no imputables</w:t>
      </w:r>
      <w:r w:rsidRPr="004A5B4B">
        <w:rPr>
          <w:rFonts w:ascii="Century Gothic" w:hAnsi="Century Gothic" w:cs="Arial"/>
          <w:spacing w:val="-3"/>
        </w:rPr>
        <w:t xml:space="preserve"> a las partes contratantes (hechos imprevisibles), el término de caducidad es el contemplado por el artículo 136 del C.C.A., esto es, 2 años.</w:t>
      </w:r>
    </w:p>
    <w:p w14:paraId="4C2DFE5B" w14:textId="77777777" w:rsidR="007B66DD" w:rsidRPr="004A5B4B" w:rsidRDefault="007B66DD" w:rsidP="007B66DD">
      <w:pPr>
        <w:numPr>
          <w:ilvl w:val="12"/>
          <w:numId w:val="0"/>
        </w:numPr>
        <w:tabs>
          <w:tab w:val="left" w:pos="-720"/>
        </w:tabs>
        <w:suppressAutoHyphens/>
        <w:spacing w:after="0" w:line="360" w:lineRule="auto"/>
        <w:jc w:val="both"/>
        <w:rPr>
          <w:rFonts w:ascii="Century Gothic" w:hAnsi="Century Gothic" w:cs="Arial"/>
          <w:spacing w:val="-3"/>
        </w:rPr>
      </w:pPr>
    </w:p>
    <w:p w14:paraId="1B83BE8E" w14:textId="77777777" w:rsidR="007B66DD" w:rsidRDefault="007B66DD" w:rsidP="007B66DD">
      <w:pPr>
        <w:pStyle w:val="Textoindependiente2"/>
        <w:rPr>
          <w:rFonts w:ascii="Century Gothic" w:hAnsi="Century Gothic" w:cs="Arial"/>
          <w:spacing w:val="-3"/>
          <w:sz w:val="22"/>
          <w:szCs w:val="22"/>
        </w:rPr>
      </w:pPr>
      <w:r w:rsidRPr="004A5B4B">
        <w:rPr>
          <w:rFonts w:ascii="Century Gothic" w:hAnsi="Century Gothic" w:cs="Arial"/>
          <w:spacing w:val="-3"/>
          <w:sz w:val="22"/>
          <w:szCs w:val="22"/>
        </w:rPr>
        <w:lastRenderedPageBreak/>
        <w:t xml:space="preserve">Asimismo, ha precisado la jurisprudencia de la Sección que el artículo 46 de la Ley 446 de 1998 subrogó el artículo 136 del C.C.A. y unificó el término para la interposición de la acción de controversias contractuales, </w:t>
      </w:r>
      <w:r>
        <w:rPr>
          <w:rFonts w:ascii="Century Gothic" w:hAnsi="Century Gothic" w:cs="Arial"/>
          <w:spacing w:val="-3"/>
          <w:sz w:val="22"/>
          <w:szCs w:val="22"/>
        </w:rPr>
        <w:t xml:space="preserve">estableciéndolo en 2 años, </w:t>
      </w:r>
      <w:r w:rsidRPr="004A5B4B">
        <w:rPr>
          <w:rFonts w:ascii="Century Gothic" w:hAnsi="Century Gothic" w:cs="Arial"/>
          <w:spacing w:val="-3"/>
          <w:sz w:val="22"/>
          <w:szCs w:val="22"/>
        </w:rPr>
        <w:t>de modo que, con la entrada en vigencia de la Ley 446 de 1998 despareció el término de prescripción de 20 años contemplado por el artículo 55 de la Ley 80 de 1993, para los eventos</w:t>
      </w:r>
      <w:r>
        <w:rPr>
          <w:rFonts w:ascii="Century Gothic" w:hAnsi="Century Gothic" w:cs="Arial"/>
          <w:spacing w:val="-3"/>
          <w:sz w:val="22"/>
          <w:szCs w:val="22"/>
        </w:rPr>
        <w:t xml:space="preserve"> de </w:t>
      </w:r>
      <w:r w:rsidRPr="004A5B4B">
        <w:rPr>
          <w:rFonts w:ascii="Century Gothic" w:hAnsi="Century Gothic" w:cs="Arial"/>
          <w:spacing w:val="-3"/>
          <w:sz w:val="22"/>
          <w:szCs w:val="22"/>
        </w:rPr>
        <w:t>responsabilidad por las actuaciones, abstenciones, hechos y omisiones de las entidades estatales que causen perjuicio a sus contratistas</w:t>
      </w:r>
      <w:r>
        <w:rPr>
          <w:rFonts w:ascii="Century Gothic" w:hAnsi="Century Gothic" w:cs="Arial"/>
          <w:spacing w:val="-3"/>
          <w:sz w:val="22"/>
          <w:szCs w:val="22"/>
        </w:rPr>
        <w:t xml:space="preserve"> (artículo 50 ibídem)</w:t>
      </w:r>
      <w:r>
        <w:rPr>
          <w:rStyle w:val="Refdenotaalpie"/>
          <w:rFonts w:ascii="Century Gothic" w:hAnsi="Century Gothic" w:cs="Arial"/>
          <w:spacing w:val="-3"/>
          <w:sz w:val="22"/>
          <w:szCs w:val="22"/>
        </w:rPr>
        <w:footnoteReference w:id="6"/>
      </w:r>
      <w:r w:rsidRPr="004A5B4B">
        <w:rPr>
          <w:rFonts w:ascii="Century Gothic" w:hAnsi="Century Gothic" w:cs="Arial"/>
          <w:spacing w:val="-3"/>
          <w:sz w:val="22"/>
          <w:szCs w:val="22"/>
        </w:rPr>
        <w:t>.</w:t>
      </w:r>
    </w:p>
    <w:p w14:paraId="28320ABB" w14:textId="77777777" w:rsidR="007B66DD" w:rsidRDefault="007B66DD" w:rsidP="007B66DD">
      <w:pPr>
        <w:pStyle w:val="Textoindependiente2"/>
        <w:rPr>
          <w:rFonts w:ascii="Century Gothic" w:hAnsi="Century Gothic" w:cs="Arial"/>
          <w:spacing w:val="-3"/>
          <w:sz w:val="22"/>
          <w:szCs w:val="22"/>
        </w:rPr>
      </w:pPr>
    </w:p>
    <w:p w14:paraId="22D263CE" w14:textId="77777777" w:rsidR="007B66DD" w:rsidRPr="004A5B4B"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Lo anterior significa que, luego de la entrada en vigencia de la Ley 446 de 1998, el término para el ejercicio de la acción contractual es el contemplado por el artículo 136 del C.C.A. y no el previsto por el artículo 55 de la Ley 80 de 1993.</w:t>
      </w:r>
    </w:p>
    <w:p w14:paraId="7C4B8E54" w14:textId="77777777" w:rsidR="007B66DD" w:rsidRDefault="007B66DD" w:rsidP="007B66DD">
      <w:pPr>
        <w:pStyle w:val="Textoindependiente2"/>
        <w:rPr>
          <w:rFonts w:ascii="Century Gothic" w:hAnsi="Century Gothic" w:cs="Arial"/>
          <w:spacing w:val="-3"/>
          <w:sz w:val="22"/>
          <w:szCs w:val="22"/>
        </w:rPr>
      </w:pPr>
    </w:p>
    <w:p w14:paraId="79A02B11"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En el caso que se somete a consideración de la Sala, el término aplicable para el ejercicio oportuno de la acción es el contemplado por el artículo 136 del C.C.A. (subrogado por el artículo 44 de la Ley 446 de 1998), pues, para la fecha en la cual quedaron en firme los actos administrativos</w:t>
      </w:r>
      <w:r w:rsidRPr="00AD32F9">
        <w:rPr>
          <w:rFonts w:ascii="Century Gothic" w:hAnsi="Century Gothic" w:cs="Arial"/>
          <w:spacing w:val="-3"/>
          <w:sz w:val="22"/>
          <w:szCs w:val="22"/>
        </w:rPr>
        <w:t xml:space="preserve"> </w:t>
      </w:r>
      <w:r>
        <w:rPr>
          <w:rFonts w:ascii="Century Gothic" w:hAnsi="Century Gothic" w:cs="Arial"/>
          <w:spacing w:val="-3"/>
          <w:sz w:val="22"/>
          <w:szCs w:val="22"/>
        </w:rPr>
        <w:t>que liquidaron unilateralmente los contratos de suministro terminados por la administración pública</w:t>
      </w:r>
      <w:r>
        <w:rPr>
          <w:rStyle w:val="Refdenotaalpie"/>
          <w:rFonts w:ascii="Century Gothic" w:hAnsi="Century Gothic" w:cs="Arial"/>
          <w:spacing w:val="-3"/>
          <w:sz w:val="22"/>
          <w:szCs w:val="22"/>
        </w:rPr>
        <w:footnoteReference w:id="7"/>
      </w:r>
      <w:r>
        <w:rPr>
          <w:rFonts w:ascii="Century Gothic" w:hAnsi="Century Gothic" w:cs="Arial"/>
          <w:spacing w:val="-3"/>
          <w:sz w:val="22"/>
          <w:szCs w:val="22"/>
        </w:rPr>
        <w:t>, ya estaba vigente la Ley 446 de 1998</w:t>
      </w:r>
      <w:r>
        <w:rPr>
          <w:rStyle w:val="Refdenotaalpie"/>
          <w:rFonts w:ascii="Century Gothic" w:hAnsi="Century Gothic" w:cs="Arial"/>
          <w:spacing w:val="-3"/>
          <w:sz w:val="22"/>
          <w:szCs w:val="22"/>
        </w:rPr>
        <w:footnoteReference w:id="8"/>
      </w:r>
      <w:r>
        <w:rPr>
          <w:rFonts w:ascii="Century Gothic" w:hAnsi="Century Gothic" w:cs="Arial"/>
          <w:spacing w:val="-3"/>
          <w:sz w:val="22"/>
          <w:szCs w:val="22"/>
        </w:rPr>
        <w:t xml:space="preserve"> y, a partir de ese momento surgió la posibilidad de acudir a la jurisdicción, en procura de la protección de los derechos que se afirman conculcados.</w:t>
      </w:r>
    </w:p>
    <w:p w14:paraId="10A12370" w14:textId="77777777" w:rsidR="007B66DD" w:rsidRDefault="007B66DD" w:rsidP="007B66DD">
      <w:pPr>
        <w:pStyle w:val="Textoindependiente2"/>
        <w:rPr>
          <w:rFonts w:ascii="Century Gothic" w:hAnsi="Century Gothic" w:cs="Arial"/>
          <w:spacing w:val="-3"/>
          <w:sz w:val="22"/>
          <w:szCs w:val="22"/>
        </w:rPr>
      </w:pPr>
    </w:p>
    <w:p w14:paraId="10D947B2"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Por otra parte, lo que se discute en este proceso, de manera principal, es la legalidad de los actos administrativos que dispusieron la terminación unilateral de los contratos de suministro celebrados entre el demandante y la entidad demandada y de los que liquidaron unilateralmente los mencionados contratos (pretensiones primera y segunda declarativas de la demanda, fl. </w:t>
      </w:r>
      <w:smartTag w:uri="urn:schemas-microsoft-com:office:smarttags" w:element="metricconverter">
        <w:smartTagPr>
          <w:attr w:name="ProductID" w:val="5, C"/>
        </w:smartTagPr>
        <w:r>
          <w:rPr>
            <w:rFonts w:ascii="Century Gothic" w:hAnsi="Century Gothic" w:cs="Arial"/>
            <w:spacing w:val="-3"/>
            <w:sz w:val="22"/>
            <w:szCs w:val="22"/>
          </w:rPr>
          <w:t>5, C</w:t>
        </w:r>
      </w:smartTag>
      <w:r>
        <w:rPr>
          <w:rFonts w:ascii="Century Gothic" w:hAnsi="Century Gothic" w:cs="Arial"/>
          <w:spacing w:val="-3"/>
          <w:sz w:val="22"/>
          <w:szCs w:val="22"/>
        </w:rPr>
        <w:t>. 1 – la pretensión de incumplimiento es consecuencial de las anteriores, ibídem), de suerte que las pretensiones no se ubican en alguno de los supuestos contemplados por el artículo 50 de la Ley 80 de 1993 y, por el contrario, se trata de una de las hipótesis que, a la luz de la jurisprudencia de esta Corporación</w:t>
      </w:r>
      <w:r>
        <w:rPr>
          <w:rStyle w:val="Refdenotaalpie"/>
          <w:rFonts w:ascii="Century Gothic" w:hAnsi="Century Gothic" w:cs="Arial"/>
          <w:spacing w:val="-3"/>
          <w:sz w:val="22"/>
          <w:szCs w:val="22"/>
        </w:rPr>
        <w:footnoteReference w:id="9"/>
      </w:r>
      <w:r>
        <w:rPr>
          <w:rFonts w:ascii="Century Gothic" w:hAnsi="Century Gothic" w:cs="Arial"/>
          <w:spacing w:val="-3"/>
          <w:sz w:val="22"/>
          <w:szCs w:val="22"/>
        </w:rPr>
        <w:t xml:space="preserve">, están excluidas de la aplicación del término de prescripción contemplado por el artículo 55 ibídem. En tales condiciones, aún en el supuesto de que los actos administrativos cuestionados se hubieran proferido en vigencia del artículo 55 de la Ley 80 de 1993, la norma aplicable para determinar el ejercicio oportuno de la acción era el contemplado por el artículo 136 del C.C.A. </w:t>
      </w:r>
    </w:p>
    <w:p w14:paraId="7AA0407E" w14:textId="77777777" w:rsidR="007B66DD" w:rsidRDefault="007B66DD" w:rsidP="007B66DD">
      <w:pPr>
        <w:pStyle w:val="Textoindependiente2"/>
        <w:rPr>
          <w:rFonts w:ascii="Century Gothic" w:hAnsi="Century Gothic" w:cs="Arial"/>
          <w:spacing w:val="-3"/>
          <w:sz w:val="22"/>
          <w:szCs w:val="22"/>
        </w:rPr>
      </w:pPr>
    </w:p>
    <w:p w14:paraId="70D710E4"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Por las razones que anteceden, no son de recibo los planteamientos expuestos por el apelante.</w:t>
      </w:r>
    </w:p>
    <w:p w14:paraId="05AFE30F" w14:textId="77777777" w:rsidR="007B66DD" w:rsidRDefault="007B66DD" w:rsidP="007B66DD">
      <w:pPr>
        <w:pStyle w:val="Textoindependiente2"/>
        <w:rPr>
          <w:rFonts w:ascii="Century Gothic" w:hAnsi="Century Gothic" w:cs="Arial"/>
          <w:spacing w:val="-3"/>
          <w:sz w:val="22"/>
          <w:szCs w:val="22"/>
        </w:rPr>
      </w:pPr>
    </w:p>
    <w:p w14:paraId="47A65D0A"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Bajo las anteriores premisas, la Sala analizará si la demanda fue interpuesta  dentro del término de caducidad consagrado por el artículo 136 del C.C.A (subrogado por el artículo 44 de la Ley 446 de 1998).</w:t>
      </w:r>
    </w:p>
    <w:p w14:paraId="544C1103" w14:textId="77777777" w:rsidR="007B66DD" w:rsidRDefault="007B66DD" w:rsidP="007B66DD">
      <w:pPr>
        <w:pStyle w:val="Textoindependiente2"/>
        <w:rPr>
          <w:rFonts w:ascii="Century Gothic" w:hAnsi="Century Gothic" w:cs="Arial"/>
          <w:spacing w:val="-3"/>
          <w:sz w:val="22"/>
          <w:szCs w:val="22"/>
        </w:rPr>
      </w:pPr>
    </w:p>
    <w:p w14:paraId="05358BC4"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El numeral 10 de la norma en cita dispone que el término de caducidad de la acción relativa a contratos será de 2 años, </w:t>
      </w:r>
      <w:r w:rsidRPr="00DF6E95">
        <w:rPr>
          <w:rFonts w:ascii="Century Gothic" w:hAnsi="Century Gothic" w:cs="Arial"/>
          <w:i/>
          <w:spacing w:val="-3"/>
          <w:sz w:val="22"/>
          <w:szCs w:val="22"/>
        </w:rPr>
        <w:t>“…</w:t>
      </w:r>
      <w:r>
        <w:rPr>
          <w:rFonts w:ascii="Century Gothic" w:hAnsi="Century Gothic" w:cs="Arial"/>
          <w:i/>
          <w:spacing w:val="-3"/>
          <w:sz w:val="22"/>
          <w:szCs w:val="22"/>
        </w:rPr>
        <w:t xml:space="preserve"> </w:t>
      </w:r>
      <w:r w:rsidRPr="00DF6E95">
        <w:rPr>
          <w:rFonts w:ascii="Century Gothic" w:hAnsi="Century Gothic" w:cs="Arial"/>
          <w:i/>
          <w:spacing w:val="-3"/>
          <w:sz w:val="22"/>
          <w:szCs w:val="22"/>
        </w:rPr>
        <w:t>a partir del día siguiente a la ocurrencia de los motivos de hecho o de derecho que les sirvan de fundamento</w:t>
      </w:r>
      <w:r>
        <w:rPr>
          <w:rFonts w:ascii="Century Gothic" w:hAnsi="Century Gothic" w:cs="Arial"/>
          <w:i/>
          <w:spacing w:val="-3"/>
          <w:sz w:val="22"/>
          <w:szCs w:val="22"/>
        </w:rPr>
        <w:t>...</w:t>
      </w:r>
      <w:r w:rsidRPr="00DF6E95">
        <w:rPr>
          <w:rFonts w:ascii="Century Gothic" w:hAnsi="Century Gothic" w:cs="Arial"/>
          <w:i/>
          <w:spacing w:val="-3"/>
          <w:sz w:val="22"/>
          <w:szCs w:val="22"/>
        </w:rPr>
        <w:t>”</w:t>
      </w:r>
      <w:r>
        <w:rPr>
          <w:rFonts w:ascii="Century Gothic" w:hAnsi="Century Gothic" w:cs="Arial"/>
          <w:spacing w:val="-3"/>
          <w:sz w:val="22"/>
          <w:szCs w:val="22"/>
        </w:rPr>
        <w:t xml:space="preserve">; sin embargo, la misma disposición señala que, en los contratos </w:t>
      </w:r>
      <w:r w:rsidRPr="005D5BD1">
        <w:rPr>
          <w:rFonts w:ascii="Century Gothic" w:hAnsi="Century Gothic" w:cs="Arial"/>
          <w:i/>
          <w:spacing w:val="-3"/>
          <w:sz w:val="22"/>
          <w:szCs w:val="22"/>
        </w:rPr>
        <w:t>“… que requieran liquidación y ésta sea efectuada unilateralmente por la administración …”</w:t>
      </w:r>
      <w:r>
        <w:rPr>
          <w:rFonts w:ascii="Century Gothic" w:hAnsi="Century Gothic" w:cs="Arial"/>
          <w:spacing w:val="-3"/>
          <w:sz w:val="22"/>
          <w:szCs w:val="22"/>
        </w:rPr>
        <w:t xml:space="preserve">, la acción deberá ejercitarse </w:t>
      </w:r>
      <w:r w:rsidRPr="005D5BD1">
        <w:rPr>
          <w:rFonts w:ascii="Century Gothic" w:hAnsi="Century Gothic" w:cs="Arial"/>
          <w:i/>
          <w:spacing w:val="-3"/>
          <w:sz w:val="22"/>
          <w:szCs w:val="22"/>
        </w:rPr>
        <w:t>“… a más tardar dentro de los dos (2) años, contados desde la ejecutoria del acto que la apruebe …”</w:t>
      </w:r>
      <w:r>
        <w:rPr>
          <w:rFonts w:ascii="Century Gothic" w:hAnsi="Century Gothic" w:cs="Arial"/>
          <w:spacing w:val="-3"/>
          <w:sz w:val="22"/>
          <w:szCs w:val="22"/>
        </w:rPr>
        <w:t xml:space="preserve"> .</w:t>
      </w:r>
    </w:p>
    <w:p w14:paraId="723F925A" w14:textId="77777777" w:rsidR="007B66DD" w:rsidRDefault="007B66DD" w:rsidP="007B66DD">
      <w:pPr>
        <w:pStyle w:val="Textoindependiente2"/>
        <w:rPr>
          <w:rFonts w:ascii="Century Gothic" w:hAnsi="Century Gothic" w:cs="Arial"/>
          <w:spacing w:val="-3"/>
          <w:sz w:val="22"/>
          <w:szCs w:val="22"/>
        </w:rPr>
      </w:pPr>
    </w:p>
    <w:p w14:paraId="0BDE70B9"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Pues bien, en este caso, el departamento de Casanare dispuso la terminación unilateral y ordenó la liquidación de los contratos de suministro 1483, 1499, 1487, 1488 y 1500, todos del 30 de diciembre de 1997, celebrados entre la mencionada entidad territorial y el señor Daniel Jaimes Berrios (fls. </w:t>
      </w:r>
      <w:smartTag w:uri="urn:schemas-microsoft-com:office:smarttags" w:element="metricconverter">
        <w:smartTagPr>
          <w:attr w:name="ProductID" w:val="19 a"/>
        </w:smartTagPr>
        <w:r>
          <w:rPr>
            <w:rFonts w:ascii="Century Gothic" w:hAnsi="Century Gothic" w:cs="Arial"/>
            <w:spacing w:val="-3"/>
            <w:sz w:val="22"/>
            <w:szCs w:val="22"/>
          </w:rPr>
          <w:t>19 a</w:t>
        </w:r>
      </w:smartTag>
      <w:r>
        <w:rPr>
          <w:rFonts w:ascii="Century Gothic" w:hAnsi="Century Gothic" w:cs="Arial"/>
          <w:spacing w:val="-3"/>
          <w:sz w:val="22"/>
          <w:szCs w:val="22"/>
        </w:rPr>
        <w:t xml:space="preserve"> 23, </w:t>
      </w:r>
      <w:smartTag w:uri="urn:schemas-microsoft-com:office:smarttags" w:element="metricconverter">
        <w:smartTagPr>
          <w:attr w:name="ProductID" w:val="44 a"/>
        </w:smartTagPr>
        <w:r>
          <w:rPr>
            <w:rFonts w:ascii="Century Gothic" w:hAnsi="Century Gothic" w:cs="Arial"/>
            <w:spacing w:val="-3"/>
            <w:sz w:val="22"/>
            <w:szCs w:val="22"/>
          </w:rPr>
          <w:t>44 a</w:t>
        </w:r>
      </w:smartTag>
      <w:r>
        <w:rPr>
          <w:rFonts w:ascii="Century Gothic" w:hAnsi="Century Gothic" w:cs="Arial"/>
          <w:spacing w:val="-3"/>
          <w:sz w:val="22"/>
          <w:szCs w:val="22"/>
        </w:rPr>
        <w:t xml:space="preserve"> 46, </w:t>
      </w:r>
      <w:smartTag w:uri="urn:schemas-microsoft-com:office:smarttags" w:element="metricconverter">
        <w:smartTagPr>
          <w:attr w:name="ProductID" w:val="70 a"/>
        </w:smartTagPr>
        <w:r>
          <w:rPr>
            <w:rFonts w:ascii="Century Gothic" w:hAnsi="Century Gothic" w:cs="Arial"/>
            <w:spacing w:val="-3"/>
            <w:sz w:val="22"/>
            <w:szCs w:val="22"/>
          </w:rPr>
          <w:t>70 a</w:t>
        </w:r>
      </w:smartTag>
      <w:r>
        <w:rPr>
          <w:rFonts w:ascii="Century Gothic" w:hAnsi="Century Gothic" w:cs="Arial"/>
          <w:spacing w:val="-3"/>
          <w:sz w:val="22"/>
          <w:szCs w:val="22"/>
        </w:rPr>
        <w:t xml:space="preserve"> 72, </w:t>
      </w:r>
      <w:smartTag w:uri="urn:schemas-microsoft-com:office:smarttags" w:element="metricconverter">
        <w:smartTagPr>
          <w:attr w:name="ProductID" w:val="96 a"/>
        </w:smartTagPr>
        <w:r>
          <w:rPr>
            <w:rFonts w:ascii="Century Gothic" w:hAnsi="Century Gothic" w:cs="Arial"/>
            <w:spacing w:val="-3"/>
            <w:sz w:val="22"/>
            <w:szCs w:val="22"/>
          </w:rPr>
          <w:t>96 a</w:t>
        </w:r>
      </w:smartTag>
      <w:r>
        <w:rPr>
          <w:rFonts w:ascii="Century Gothic" w:hAnsi="Century Gothic" w:cs="Arial"/>
          <w:spacing w:val="-3"/>
          <w:sz w:val="22"/>
          <w:szCs w:val="22"/>
        </w:rPr>
        <w:t xml:space="preserve"> 96 y </w:t>
      </w:r>
      <w:smartTag w:uri="urn:schemas-microsoft-com:office:smarttags" w:element="metricconverter">
        <w:smartTagPr>
          <w:attr w:name="ProductID" w:val="123 a"/>
        </w:smartTagPr>
        <w:r>
          <w:rPr>
            <w:rFonts w:ascii="Century Gothic" w:hAnsi="Century Gothic" w:cs="Arial"/>
            <w:spacing w:val="-3"/>
            <w:sz w:val="22"/>
            <w:szCs w:val="22"/>
          </w:rPr>
          <w:t>123 a</w:t>
        </w:r>
      </w:smartTag>
      <w:r>
        <w:rPr>
          <w:rFonts w:ascii="Century Gothic" w:hAnsi="Century Gothic" w:cs="Arial"/>
          <w:spacing w:val="-3"/>
          <w:sz w:val="22"/>
          <w:szCs w:val="22"/>
        </w:rPr>
        <w:t xml:space="preserve"> </w:t>
      </w:r>
      <w:smartTag w:uri="urn:schemas-microsoft-com:office:smarttags" w:element="metricconverter">
        <w:smartTagPr>
          <w:attr w:name="ProductID" w:val="125, C"/>
        </w:smartTagPr>
        <w:r>
          <w:rPr>
            <w:rFonts w:ascii="Century Gothic" w:hAnsi="Century Gothic" w:cs="Arial"/>
            <w:spacing w:val="-3"/>
            <w:sz w:val="22"/>
            <w:szCs w:val="22"/>
          </w:rPr>
          <w:t>125, C</w:t>
        </w:r>
      </w:smartTag>
      <w:r>
        <w:rPr>
          <w:rFonts w:ascii="Century Gothic" w:hAnsi="Century Gothic" w:cs="Arial"/>
          <w:spacing w:val="-3"/>
          <w:sz w:val="22"/>
          <w:szCs w:val="22"/>
        </w:rPr>
        <w:t>. 1).</w:t>
      </w:r>
    </w:p>
    <w:p w14:paraId="6F971D94" w14:textId="77777777" w:rsidR="007B66DD" w:rsidRDefault="007B66DD" w:rsidP="007B66DD">
      <w:pPr>
        <w:pStyle w:val="Textoindependiente2"/>
        <w:rPr>
          <w:rFonts w:ascii="Century Gothic" w:hAnsi="Century Gothic" w:cs="Arial"/>
          <w:spacing w:val="-3"/>
          <w:sz w:val="22"/>
          <w:szCs w:val="22"/>
        </w:rPr>
      </w:pPr>
    </w:p>
    <w:p w14:paraId="1356B5B2"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Mediante las Resoluciones 0090, 0093, 0091, 0092 y 0094, todas el 11 de febrero de 1999, el departamento de Casanare adoptó la liquidación unilateral de los precitados contratos (fls. </w:t>
      </w:r>
      <w:smartTag w:uri="urn:schemas-microsoft-com:office:smarttags" w:element="metricconverter">
        <w:smartTagPr>
          <w:attr w:name="ProductID" w:val="27 a"/>
        </w:smartTagPr>
        <w:r>
          <w:rPr>
            <w:rFonts w:ascii="Century Gothic" w:hAnsi="Century Gothic" w:cs="Arial"/>
            <w:spacing w:val="-3"/>
            <w:sz w:val="22"/>
            <w:szCs w:val="22"/>
          </w:rPr>
          <w:t>27 a</w:t>
        </w:r>
      </w:smartTag>
      <w:r>
        <w:rPr>
          <w:rFonts w:ascii="Century Gothic" w:hAnsi="Century Gothic" w:cs="Arial"/>
          <w:spacing w:val="-3"/>
          <w:sz w:val="22"/>
          <w:szCs w:val="22"/>
        </w:rPr>
        <w:t xml:space="preserve"> 29, </w:t>
      </w:r>
      <w:smartTag w:uri="urn:schemas-microsoft-com:office:smarttags" w:element="metricconverter">
        <w:smartTagPr>
          <w:attr w:name="ProductID" w:val="52 a"/>
        </w:smartTagPr>
        <w:r>
          <w:rPr>
            <w:rFonts w:ascii="Century Gothic" w:hAnsi="Century Gothic" w:cs="Arial"/>
            <w:spacing w:val="-3"/>
            <w:sz w:val="22"/>
            <w:szCs w:val="22"/>
          </w:rPr>
          <w:t>52 a</w:t>
        </w:r>
      </w:smartTag>
      <w:r>
        <w:rPr>
          <w:rFonts w:ascii="Century Gothic" w:hAnsi="Century Gothic" w:cs="Arial"/>
          <w:spacing w:val="-3"/>
          <w:sz w:val="22"/>
          <w:szCs w:val="22"/>
        </w:rPr>
        <w:t xml:space="preserve"> 54, </w:t>
      </w:r>
      <w:smartTag w:uri="urn:schemas-microsoft-com:office:smarttags" w:element="metricconverter">
        <w:smartTagPr>
          <w:attr w:name="ProductID" w:val="78 a"/>
        </w:smartTagPr>
        <w:r>
          <w:rPr>
            <w:rFonts w:ascii="Century Gothic" w:hAnsi="Century Gothic" w:cs="Arial"/>
            <w:spacing w:val="-3"/>
            <w:sz w:val="22"/>
            <w:szCs w:val="22"/>
          </w:rPr>
          <w:t>78 a</w:t>
        </w:r>
      </w:smartTag>
      <w:r>
        <w:rPr>
          <w:rFonts w:ascii="Century Gothic" w:hAnsi="Century Gothic" w:cs="Arial"/>
          <w:spacing w:val="-3"/>
          <w:sz w:val="22"/>
          <w:szCs w:val="22"/>
        </w:rPr>
        <w:t xml:space="preserve"> 80, </w:t>
      </w:r>
      <w:smartTag w:uri="urn:schemas-microsoft-com:office:smarttags" w:element="metricconverter">
        <w:smartTagPr>
          <w:attr w:name="ProductID" w:val="104 a"/>
        </w:smartTagPr>
        <w:r>
          <w:rPr>
            <w:rFonts w:ascii="Century Gothic" w:hAnsi="Century Gothic" w:cs="Arial"/>
            <w:spacing w:val="-3"/>
            <w:sz w:val="22"/>
            <w:szCs w:val="22"/>
          </w:rPr>
          <w:t>104 a</w:t>
        </w:r>
      </w:smartTag>
      <w:r>
        <w:rPr>
          <w:rFonts w:ascii="Century Gothic" w:hAnsi="Century Gothic" w:cs="Arial"/>
          <w:spacing w:val="-3"/>
          <w:sz w:val="22"/>
          <w:szCs w:val="22"/>
        </w:rPr>
        <w:t xml:space="preserve"> 106 y </w:t>
      </w:r>
      <w:smartTag w:uri="urn:schemas-microsoft-com:office:smarttags" w:element="metricconverter">
        <w:smartTagPr>
          <w:attr w:name="ProductID" w:val="131 a"/>
        </w:smartTagPr>
        <w:r>
          <w:rPr>
            <w:rFonts w:ascii="Century Gothic" w:hAnsi="Century Gothic" w:cs="Arial"/>
            <w:spacing w:val="-3"/>
            <w:sz w:val="22"/>
            <w:szCs w:val="22"/>
          </w:rPr>
          <w:t>131 a</w:t>
        </w:r>
      </w:smartTag>
      <w:r>
        <w:rPr>
          <w:rFonts w:ascii="Century Gothic" w:hAnsi="Century Gothic" w:cs="Arial"/>
          <w:spacing w:val="-3"/>
          <w:sz w:val="22"/>
          <w:szCs w:val="22"/>
        </w:rPr>
        <w:t xml:space="preserve"> </w:t>
      </w:r>
      <w:smartTag w:uri="urn:schemas-microsoft-com:office:smarttags" w:element="metricconverter">
        <w:smartTagPr>
          <w:attr w:name="ProductID" w:val="133, C"/>
        </w:smartTagPr>
        <w:r>
          <w:rPr>
            <w:rFonts w:ascii="Century Gothic" w:hAnsi="Century Gothic" w:cs="Arial"/>
            <w:spacing w:val="-3"/>
            <w:sz w:val="22"/>
            <w:szCs w:val="22"/>
          </w:rPr>
          <w:t>133, C</w:t>
        </w:r>
      </w:smartTag>
      <w:r>
        <w:rPr>
          <w:rFonts w:ascii="Century Gothic" w:hAnsi="Century Gothic" w:cs="Arial"/>
          <w:spacing w:val="-3"/>
          <w:sz w:val="22"/>
          <w:szCs w:val="22"/>
        </w:rPr>
        <w:t xml:space="preserve"> 1).</w:t>
      </w:r>
    </w:p>
    <w:p w14:paraId="00853C1E" w14:textId="77777777" w:rsidR="007B66DD" w:rsidRDefault="007B66DD" w:rsidP="007B66DD">
      <w:pPr>
        <w:pStyle w:val="Textoindependiente2"/>
        <w:rPr>
          <w:rFonts w:ascii="Century Gothic" w:hAnsi="Century Gothic" w:cs="Arial"/>
          <w:spacing w:val="-3"/>
          <w:sz w:val="22"/>
          <w:szCs w:val="22"/>
        </w:rPr>
      </w:pPr>
    </w:p>
    <w:p w14:paraId="12600532"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Estas resoluciones fueron notificadas personalmente al señor Daniel Jaimes Berrios, a través de su apoderado, el 22 de febrero de 1999 (fl. </w:t>
      </w:r>
      <w:smartTag w:uri="urn:schemas-microsoft-com:office:smarttags" w:element="metricconverter">
        <w:smartTagPr>
          <w:attr w:name="ProductID" w:val="220, C"/>
        </w:smartTagPr>
        <w:r>
          <w:rPr>
            <w:rFonts w:ascii="Century Gothic" w:hAnsi="Century Gothic" w:cs="Arial"/>
            <w:spacing w:val="-3"/>
            <w:sz w:val="22"/>
            <w:szCs w:val="22"/>
          </w:rPr>
          <w:t>220, C</w:t>
        </w:r>
      </w:smartTag>
      <w:r>
        <w:rPr>
          <w:rFonts w:ascii="Century Gothic" w:hAnsi="Century Gothic" w:cs="Arial"/>
          <w:spacing w:val="-3"/>
          <w:sz w:val="22"/>
          <w:szCs w:val="22"/>
        </w:rPr>
        <w:t xml:space="preserve">. 1). </w:t>
      </w:r>
    </w:p>
    <w:p w14:paraId="08B40EC8" w14:textId="77777777" w:rsidR="007B66DD" w:rsidRDefault="007B66DD" w:rsidP="007B66DD">
      <w:pPr>
        <w:pStyle w:val="Textoindependiente2"/>
        <w:rPr>
          <w:rFonts w:ascii="Century Gothic" w:hAnsi="Century Gothic" w:cs="Arial"/>
          <w:spacing w:val="-3"/>
          <w:sz w:val="22"/>
          <w:szCs w:val="22"/>
        </w:rPr>
      </w:pPr>
    </w:p>
    <w:p w14:paraId="7EA7D5CC"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En el acto de notificación, el mandatario del señor Jaimes Berrios interpuso recurso de reposición contra las mencionadas resoluciones; sin embargo, el escrito de sustentación sólo fue presentado el 5 de marzo de 1999 y el plazo de los cinco (5) días previsto en el artículo 51 del C.C.A.</w:t>
      </w:r>
      <w:r>
        <w:rPr>
          <w:rStyle w:val="Refdenotaalpie"/>
          <w:rFonts w:ascii="Century Gothic" w:hAnsi="Century Gothic" w:cs="Arial"/>
          <w:spacing w:val="-3"/>
          <w:sz w:val="22"/>
          <w:szCs w:val="22"/>
        </w:rPr>
        <w:footnoteReference w:id="10"/>
      </w:r>
      <w:r>
        <w:rPr>
          <w:rFonts w:ascii="Century Gothic" w:hAnsi="Century Gothic" w:cs="Arial"/>
          <w:spacing w:val="-3"/>
          <w:sz w:val="22"/>
          <w:szCs w:val="22"/>
        </w:rPr>
        <w:t xml:space="preserve"> para impugnar la decisión había vencido el 1º de los mismos mes y año, de modo que la decisión quedó en firme en esta última fecha, porque el recurrente no satisfizo, oportunamente, la totalidad de las exigencias contempladas por el artículo 52 ibídem</w:t>
      </w:r>
      <w:r>
        <w:rPr>
          <w:rStyle w:val="Refdenotaalpie"/>
          <w:rFonts w:ascii="Century Gothic" w:hAnsi="Century Gothic" w:cs="Arial"/>
          <w:spacing w:val="-3"/>
          <w:sz w:val="22"/>
          <w:szCs w:val="22"/>
        </w:rPr>
        <w:footnoteReference w:id="11"/>
      </w:r>
      <w:r>
        <w:rPr>
          <w:rFonts w:ascii="Century Gothic" w:hAnsi="Century Gothic" w:cs="Arial"/>
          <w:spacing w:val="-3"/>
          <w:sz w:val="22"/>
          <w:szCs w:val="22"/>
        </w:rPr>
        <w:t>, para que la administración pudiera darle trámite al recurso.</w:t>
      </w:r>
    </w:p>
    <w:p w14:paraId="07C1F214" w14:textId="77777777" w:rsidR="007B66DD" w:rsidRDefault="007B66DD" w:rsidP="007B66DD">
      <w:pPr>
        <w:pStyle w:val="Textoindependiente2"/>
        <w:rPr>
          <w:rFonts w:ascii="Century Gothic" w:hAnsi="Century Gothic" w:cs="Arial"/>
          <w:spacing w:val="-3"/>
          <w:sz w:val="22"/>
          <w:szCs w:val="22"/>
        </w:rPr>
      </w:pPr>
    </w:p>
    <w:p w14:paraId="3670A7FB"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 xml:space="preserve">Por lo anterior, la administración rechazó el recurso de reposición, mediante Resolución 00217 del 7 de abril de 1999 (fls. </w:t>
      </w:r>
      <w:smartTag w:uri="urn:schemas-microsoft-com:office:smarttags" w:element="metricconverter">
        <w:smartTagPr>
          <w:attr w:name="ProductID" w:val="144 a"/>
        </w:smartTagPr>
        <w:r>
          <w:rPr>
            <w:rFonts w:ascii="Century Gothic" w:hAnsi="Century Gothic" w:cs="Arial"/>
            <w:spacing w:val="-3"/>
            <w:sz w:val="22"/>
            <w:szCs w:val="22"/>
          </w:rPr>
          <w:t>144 a</w:t>
        </w:r>
      </w:smartTag>
      <w:r>
        <w:rPr>
          <w:rFonts w:ascii="Century Gothic" w:hAnsi="Century Gothic" w:cs="Arial"/>
          <w:spacing w:val="-3"/>
          <w:sz w:val="22"/>
          <w:szCs w:val="22"/>
        </w:rPr>
        <w:t xml:space="preserve"> </w:t>
      </w:r>
      <w:smartTag w:uri="urn:schemas-microsoft-com:office:smarttags" w:element="metricconverter">
        <w:smartTagPr>
          <w:attr w:name="ProductID" w:val="146, C"/>
        </w:smartTagPr>
        <w:r>
          <w:rPr>
            <w:rFonts w:ascii="Century Gothic" w:hAnsi="Century Gothic" w:cs="Arial"/>
            <w:spacing w:val="-3"/>
            <w:sz w:val="22"/>
            <w:szCs w:val="22"/>
          </w:rPr>
          <w:t>146, C</w:t>
        </w:r>
      </w:smartTag>
      <w:r>
        <w:rPr>
          <w:rFonts w:ascii="Century Gothic" w:hAnsi="Century Gothic" w:cs="Arial"/>
          <w:spacing w:val="-3"/>
          <w:sz w:val="22"/>
          <w:szCs w:val="22"/>
        </w:rPr>
        <w:t xml:space="preserve">. 1); pero, tal como lo señaló el Tribunal de primera instancia, esta última no tenía la virtualidad de impedir que la decisión administrativa quedara ejecutoriada y que comenzaran a correr los términos de caducidad de la acción procedente, porque, </w:t>
      </w:r>
      <w:r w:rsidRPr="004C5259">
        <w:rPr>
          <w:rFonts w:ascii="Century Gothic" w:hAnsi="Century Gothic" w:cs="Arial"/>
          <w:i/>
          <w:spacing w:val="-3"/>
          <w:sz w:val="22"/>
          <w:szCs w:val="22"/>
        </w:rPr>
        <w:t>stricto sensu</w:t>
      </w:r>
      <w:r>
        <w:rPr>
          <w:rFonts w:ascii="Century Gothic" w:hAnsi="Century Gothic" w:cs="Arial"/>
          <w:spacing w:val="-3"/>
          <w:sz w:val="22"/>
          <w:szCs w:val="22"/>
        </w:rPr>
        <w:t>, la actuación administrativa culminó cuando se agotó el término para recurrir, en vía gubernativa, los actos administrativos que liquidaron unilateralmente los contratos (artículo 63, numeral 3 del C.C.A).</w:t>
      </w:r>
    </w:p>
    <w:p w14:paraId="1AE9234D" w14:textId="77777777" w:rsidR="007B66DD" w:rsidRDefault="007B66DD" w:rsidP="007B66DD">
      <w:pPr>
        <w:pStyle w:val="Textoindependiente2"/>
        <w:rPr>
          <w:rFonts w:ascii="Century Gothic" w:hAnsi="Century Gothic" w:cs="Arial"/>
          <w:spacing w:val="-3"/>
          <w:sz w:val="22"/>
          <w:szCs w:val="22"/>
        </w:rPr>
      </w:pPr>
    </w:p>
    <w:p w14:paraId="7CFBEFA6"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En ese orden de ideas, el plazo para el ejercicio de la acción contractual comenzó a correr el 2 de marzo de 1999, es decir, al día siguiente de que los actos administrativos cuestionados quedaran en firme y el fenómeno de la caducidad procesal ocurrió el 2 de marzo de 2001, esto es, pasados los 2 años que el ordenamiento jurídico prevé para la ocurrencia del fenómeno jurídico de la caducidad de la acción contractual, a términos de lo dispuesto por el artículo 136 (numeral 10, literal d) del C.C.A.</w:t>
      </w:r>
    </w:p>
    <w:p w14:paraId="6825B9B9" w14:textId="77777777" w:rsidR="007B66DD" w:rsidRDefault="007B66DD" w:rsidP="007B66DD">
      <w:pPr>
        <w:pStyle w:val="Textoindependiente2"/>
        <w:rPr>
          <w:rFonts w:ascii="Century Gothic" w:hAnsi="Century Gothic" w:cs="Arial"/>
          <w:spacing w:val="-3"/>
          <w:sz w:val="22"/>
          <w:szCs w:val="22"/>
        </w:rPr>
      </w:pPr>
    </w:p>
    <w:p w14:paraId="0A52E951" w14:textId="77777777" w:rsidR="007B66DD" w:rsidRDefault="007B66DD" w:rsidP="007B66DD">
      <w:pPr>
        <w:pStyle w:val="Textoindependiente2"/>
        <w:rPr>
          <w:rFonts w:ascii="Century Gothic" w:hAnsi="Century Gothic" w:cs="Arial"/>
          <w:spacing w:val="-3"/>
          <w:sz w:val="22"/>
          <w:szCs w:val="22"/>
        </w:rPr>
      </w:pPr>
      <w:r>
        <w:rPr>
          <w:rFonts w:ascii="Century Gothic" w:hAnsi="Century Gothic" w:cs="Arial"/>
          <w:spacing w:val="-3"/>
          <w:sz w:val="22"/>
          <w:szCs w:val="22"/>
        </w:rPr>
        <w:t>Como ya se advirtió, la demanda sólo fue promovida el 16 de abril de 2001 (fl. 8 vto), es decir, cuando ya había ocurrido el fenómeno jurídico de la caducidad y tal circunstancia enerva por completo las pretensiones del demandante.</w:t>
      </w:r>
    </w:p>
    <w:p w14:paraId="29CD8C9D" w14:textId="77777777" w:rsidR="007B66DD" w:rsidRDefault="007B66DD" w:rsidP="007B66DD">
      <w:pPr>
        <w:pStyle w:val="Textoindependiente2"/>
        <w:rPr>
          <w:rFonts w:ascii="Century Gothic" w:hAnsi="Century Gothic" w:cs="Arial"/>
          <w:spacing w:val="-3"/>
          <w:sz w:val="22"/>
          <w:szCs w:val="22"/>
        </w:rPr>
      </w:pPr>
    </w:p>
    <w:p w14:paraId="4D9821C0" w14:textId="77777777" w:rsidR="007B66DD" w:rsidRDefault="007B66DD" w:rsidP="007B66DD">
      <w:pPr>
        <w:pStyle w:val="Textoindependiente2"/>
        <w:rPr>
          <w:rFonts w:ascii="Century Gothic" w:hAnsi="Century Gothic" w:cs="Arial"/>
          <w:spacing w:val="-3"/>
          <w:sz w:val="22"/>
          <w:szCs w:val="22"/>
        </w:rPr>
      </w:pPr>
    </w:p>
    <w:p w14:paraId="60539DDC" w14:textId="77777777" w:rsidR="007B66DD" w:rsidRPr="004A5B4B" w:rsidRDefault="007B66DD" w:rsidP="007B66DD">
      <w:pPr>
        <w:spacing w:after="0" w:line="360" w:lineRule="auto"/>
        <w:jc w:val="both"/>
        <w:rPr>
          <w:rFonts w:ascii="Century Gothic" w:hAnsi="Century Gothic"/>
          <w:b/>
        </w:rPr>
      </w:pPr>
      <w:r>
        <w:rPr>
          <w:rFonts w:ascii="Century Gothic" w:hAnsi="Century Gothic"/>
          <w:b/>
        </w:rPr>
        <w:t>III</w:t>
      </w:r>
      <w:r w:rsidRPr="004A5B4B">
        <w:rPr>
          <w:rFonts w:ascii="Century Gothic" w:hAnsi="Century Gothic"/>
          <w:b/>
        </w:rPr>
        <w:t xml:space="preserve">.- Costas.- </w:t>
      </w:r>
    </w:p>
    <w:p w14:paraId="02DBFC55" w14:textId="77777777" w:rsidR="007B66DD" w:rsidRPr="004A5B4B" w:rsidRDefault="007B66DD" w:rsidP="007B66DD">
      <w:pPr>
        <w:spacing w:after="0" w:line="360" w:lineRule="auto"/>
        <w:jc w:val="both"/>
        <w:rPr>
          <w:rFonts w:ascii="Century Gothic" w:hAnsi="Century Gothic"/>
        </w:rPr>
      </w:pPr>
    </w:p>
    <w:p w14:paraId="4C6C0293" w14:textId="77777777" w:rsidR="007B66DD" w:rsidRPr="004A5B4B" w:rsidRDefault="007B66DD" w:rsidP="007B66DD">
      <w:pPr>
        <w:spacing w:after="0" w:line="360" w:lineRule="auto"/>
        <w:jc w:val="both"/>
        <w:rPr>
          <w:rFonts w:ascii="Century Gothic" w:hAnsi="Century Gothic"/>
          <w:bCs/>
        </w:rPr>
      </w:pPr>
      <w:r w:rsidRPr="004A5B4B">
        <w:rPr>
          <w:rFonts w:ascii="Century Gothic" w:hAnsi="Century Gothic"/>
        </w:rPr>
        <w:t>N</w:t>
      </w:r>
      <w:r w:rsidRPr="004A5B4B">
        <w:rPr>
          <w:rFonts w:ascii="Century Gothic" w:hAnsi="Century Gothic"/>
          <w:bCs/>
        </w:rPr>
        <w:t>o se impondrá condena en costas, porque la conducta de las partes no se enmarca dentro de las previsiones contempladas por el artículo 55 de la Ley 446 de 1998.</w:t>
      </w:r>
    </w:p>
    <w:p w14:paraId="66AB95FF" w14:textId="77777777" w:rsidR="007B66DD" w:rsidRPr="004A5B4B" w:rsidRDefault="007B66DD" w:rsidP="007B66DD">
      <w:pPr>
        <w:widowControl w:val="0"/>
        <w:autoSpaceDE w:val="0"/>
        <w:autoSpaceDN w:val="0"/>
        <w:adjustRightInd w:val="0"/>
        <w:spacing w:after="0" w:line="360" w:lineRule="auto"/>
        <w:ind w:right="-142"/>
        <w:jc w:val="both"/>
        <w:rPr>
          <w:rFonts w:ascii="Century Gothic" w:hAnsi="Century Gothic"/>
          <w:bCs/>
        </w:rPr>
      </w:pPr>
    </w:p>
    <w:p w14:paraId="5FA64B40"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rPr>
      </w:pPr>
      <w:r w:rsidRPr="004A5B4B">
        <w:rPr>
          <w:rFonts w:ascii="Century Gothic" w:hAnsi="Century Gothic"/>
        </w:rPr>
        <w:t>En mérito de lo expuesto, el Consejo de Estado, Sala de lo Contencioso Administrativo, Sección Tercera, administrando justicia en nombre de la República y por autoridad de la ley,</w:t>
      </w:r>
    </w:p>
    <w:p w14:paraId="09A1BA82"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rPr>
      </w:pPr>
    </w:p>
    <w:p w14:paraId="1C7CC20E" w14:textId="77777777" w:rsidR="007B66DD" w:rsidRPr="004A5B4B" w:rsidRDefault="007B66DD" w:rsidP="007B66DD">
      <w:pPr>
        <w:widowControl w:val="0"/>
        <w:autoSpaceDE w:val="0"/>
        <w:autoSpaceDN w:val="0"/>
        <w:adjustRightInd w:val="0"/>
        <w:spacing w:after="0" w:line="360" w:lineRule="auto"/>
        <w:jc w:val="center"/>
        <w:rPr>
          <w:rFonts w:ascii="Century Gothic" w:hAnsi="Century Gothic"/>
          <w:b/>
        </w:rPr>
      </w:pPr>
      <w:r w:rsidRPr="004A5B4B">
        <w:rPr>
          <w:rFonts w:ascii="Century Gothic" w:hAnsi="Century Gothic"/>
          <w:b/>
        </w:rPr>
        <w:t>F A L L A:</w:t>
      </w:r>
    </w:p>
    <w:p w14:paraId="792D48BB"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rPr>
      </w:pPr>
    </w:p>
    <w:p w14:paraId="594C303C" w14:textId="77777777" w:rsidR="007B66DD" w:rsidRPr="004A5B4B" w:rsidRDefault="007B66DD" w:rsidP="007B66DD">
      <w:pPr>
        <w:widowControl w:val="0"/>
        <w:autoSpaceDE w:val="0"/>
        <w:autoSpaceDN w:val="0"/>
        <w:adjustRightInd w:val="0"/>
        <w:spacing w:after="0" w:line="360" w:lineRule="auto"/>
        <w:ind w:right="-77"/>
        <w:jc w:val="both"/>
        <w:rPr>
          <w:rFonts w:ascii="Century Gothic" w:hAnsi="Century Gothic"/>
        </w:rPr>
      </w:pPr>
      <w:r w:rsidRPr="004A5B4B">
        <w:rPr>
          <w:rFonts w:ascii="Century Gothic" w:hAnsi="Century Gothic"/>
          <w:b/>
        </w:rPr>
        <w:t xml:space="preserve">PRIMERO.- </w:t>
      </w:r>
      <w:r>
        <w:rPr>
          <w:rFonts w:ascii="Century Gothic" w:hAnsi="Century Gothic"/>
          <w:b/>
        </w:rPr>
        <w:t xml:space="preserve">CONFÍRMASE </w:t>
      </w:r>
      <w:r w:rsidRPr="004A5B4B">
        <w:rPr>
          <w:rFonts w:ascii="Century Gothic" w:hAnsi="Century Gothic"/>
        </w:rPr>
        <w:t xml:space="preserve">la sentencia proferida </w:t>
      </w:r>
      <w:r>
        <w:rPr>
          <w:rFonts w:ascii="Century Gothic" w:hAnsi="Century Gothic"/>
        </w:rPr>
        <w:t xml:space="preserve">el 10 de octubre de 2002 </w:t>
      </w:r>
      <w:r w:rsidRPr="004A5B4B">
        <w:rPr>
          <w:rFonts w:ascii="Century Gothic" w:hAnsi="Century Gothic"/>
        </w:rPr>
        <w:t>por el Tribunal Administrativo de</w:t>
      </w:r>
      <w:r>
        <w:rPr>
          <w:rFonts w:ascii="Century Gothic" w:hAnsi="Century Gothic"/>
        </w:rPr>
        <w:t xml:space="preserve"> Casanare </w:t>
      </w:r>
    </w:p>
    <w:p w14:paraId="5AE342D7" w14:textId="77777777" w:rsidR="007B66DD" w:rsidRPr="004A5B4B" w:rsidRDefault="007B66DD" w:rsidP="007B66DD">
      <w:pPr>
        <w:widowControl w:val="0"/>
        <w:autoSpaceDE w:val="0"/>
        <w:autoSpaceDN w:val="0"/>
        <w:adjustRightInd w:val="0"/>
        <w:spacing w:after="0" w:line="360" w:lineRule="auto"/>
        <w:ind w:right="-77"/>
        <w:jc w:val="both"/>
        <w:rPr>
          <w:rFonts w:ascii="Century Gothic" w:hAnsi="Century Gothic"/>
        </w:rPr>
      </w:pPr>
    </w:p>
    <w:p w14:paraId="5B88122A" w14:textId="77777777" w:rsidR="007B66DD" w:rsidRPr="004A5B4B" w:rsidRDefault="007B66DD" w:rsidP="007B66DD">
      <w:pPr>
        <w:widowControl w:val="0"/>
        <w:autoSpaceDE w:val="0"/>
        <w:autoSpaceDN w:val="0"/>
        <w:adjustRightInd w:val="0"/>
        <w:spacing w:after="0" w:line="360" w:lineRule="auto"/>
        <w:ind w:right="-77"/>
        <w:jc w:val="both"/>
        <w:rPr>
          <w:rFonts w:ascii="Century Gothic" w:hAnsi="Century Gothic" w:cs="Arial"/>
        </w:rPr>
      </w:pPr>
      <w:r w:rsidRPr="004A5B4B">
        <w:rPr>
          <w:rFonts w:ascii="Century Gothic" w:hAnsi="Century Gothic"/>
          <w:b/>
        </w:rPr>
        <w:t>SEGUNDO.-</w:t>
      </w:r>
      <w:r w:rsidRPr="004A5B4B">
        <w:rPr>
          <w:rFonts w:ascii="Century Gothic" w:hAnsi="Century Gothic"/>
        </w:rPr>
        <w:t xml:space="preserve"> </w:t>
      </w:r>
      <w:r w:rsidRPr="004A5B4B">
        <w:rPr>
          <w:rFonts w:ascii="Century Gothic" w:hAnsi="Century Gothic" w:cs="Arial"/>
        </w:rPr>
        <w:t xml:space="preserve">Sin condena en costas. </w:t>
      </w:r>
    </w:p>
    <w:p w14:paraId="0E2DA9DB" w14:textId="77777777" w:rsidR="007B66DD" w:rsidRPr="004A5B4B" w:rsidRDefault="007B66DD" w:rsidP="007B66DD">
      <w:pPr>
        <w:widowControl w:val="0"/>
        <w:autoSpaceDE w:val="0"/>
        <w:autoSpaceDN w:val="0"/>
        <w:adjustRightInd w:val="0"/>
        <w:spacing w:after="0" w:line="360" w:lineRule="auto"/>
        <w:ind w:right="-77"/>
        <w:jc w:val="both"/>
        <w:rPr>
          <w:rFonts w:ascii="Century Gothic" w:hAnsi="Century Gothic" w:cs="Arial"/>
        </w:rPr>
      </w:pPr>
    </w:p>
    <w:p w14:paraId="08D9ECCF" w14:textId="77777777" w:rsidR="007B66DD" w:rsidRPr="004A5B4B" w:rsidRDefault="007B66DD" w:rsidP="007B66DD">
      <w:pPr>
        <w:widowControl w:val="0"/>
        <w:autoSpaceDE w:val="0"/>
        <w:autoSpaceDN w:val="0"/>
        <w:adjustRightInd w:val="0"/>
        <w:spacing w:after="0" w:line="360" w:lineRule="auto"/>
        <w:jc w:val="both"/>
        <w:rPr>
          <w:rFonts w:ascii="Century Gothic" w:hAnsi="Century Gothic"/>
        </w:rPr>
      </w:pPr>
      <w:r w:rsidRPr="004A5B4B">
        <w:rPr>
          <w:rFonts w:ascii="Century Gothic" w:hAnsi="Century Gothic" w:cs="Arial"/>
          <w:b/>
        </w:rPr>
        <w:t xml:space="preserve">TERCERO.- </w:t>
      </w:r>
      <w:r w:rsidRPr="004A5B4B">
        <w:rPr>
          <w:rFonts w:ascii="Century Gothic" w:hAnsi="Century Gothic"/>
        </w:rPr>
        <w:t>En firme esta providencia, devuélvase el expediente al Tribunal de origen.</w:t>
      </w:r>
    </w:p>
    <w:p w14:paraId="2B5E8828" w14:textId="77777777" w:rsidR="007B66DD" w:rsidRPr="004A5B4B" w:rsidRDefault="007B66DD" w:rsidP="007B66DD">
      <w:pPr>
        <w:widowControl w:val="0"/>
        <w:autoSpaceDE w:val="0"/>
        <w:autoSpaceDN w:val="0"/>
        <w:adjustRightInd w:val="0"/>
        <w:spacing w:after="0"/>
        <w:ind w:firstLine="567"/>
        <w:rPr>
          <w:rFonts w:ascii="Century Gothic" w:hAnsi="Century Gothic"/>
          <w:b/>
        </w:rPr>
      </w:pPr>
    </w:p>
    <w:p w14:paraId="649A40E5" w14:textId="77777777" w:rsidR="007B66DD" w:rsidRPr="004A5B4B" w:rsidRDefault="007B66DD" w:rsidP="007B66DD">
      <w:pPr>
        <w:widowControl w:val="0"/>
        <w:autoSpaceDE w:val="0"/>
        <w:autoSpaceDN w:val="0"/>
        <w:adjustRightInd w:val="0"/>
        <w:spacing w:after="0"/>
        <w:ind w:firstLine="567"/>
        <w:rPr>
          <w:rFonts w:ascii="Century Gothic" w:hAnsi="Century Gothic"/>
          <w:b/>
        </w:rPr>
      </w:pPr>
      <w:r w:rsidRPr="004A5B4B">
        <w:rPr>
          <w:rFonts w:ascii="Century Gothic" w:hAnsi="Century Gothic"/>
          <w:b/>
        </w:rPr>
        <w:t>CÓPIESE, NOTIFÍQUESE Y CÚMPLASE.</w:t>
      </w:r>
    </w:p>
    <w:p w14:paraId="0CB86D48" w14:textId="77777777" w:rsidR="007B66DD" w:rsidRPr="004A5B4B" w:rsidRDefault="007B66DD" w:rsidP="007B66DD">
      <w:pPr>
        <w:widowControl w:val="0"/>
        <w:autoSpaceDE w:val="0"/>
        <w:autoSpaceDN w:val="0"/>
        <w:adjustRightInd w:val="0"/>
        <w:spacing w:after="0"/>
        <w:ind w:firstLine="567"/>
        <w:rPr>
          <w:rFonts w:ascii="Century Gothic" w:hAnsi="Century Gothic"/>
          <w:b/>
        </w:rPr>
      </w:pPr>
    </w:p>
    <w:p w14:paraId="1A451FB3"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b/>
        </w:rPr>
      </w:pPr>
    </w:p>
    <w:p w14:paraId="68DDE6DF"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b/>
        </w:rPr>
      </w:pPr>
    </w:p>
    <w:p w14:paraId="23EEF8D7"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b/>
        </w:rPr>
      </w:pPr>
    </w:p>
    <w:p w14:paraId="21CD254D"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b/>
        </w:rPr>
      </w:pPr>
      <w:r w:rsidRPr="004A5B4B">
        <w:rPr>
          <w:rFonts w:ascii="Century Gothic" w:hAnsi="Century Gothic"/>
          <w:b/>
        </w:rPr>
        <w:t xml:space="preserve">HERNÁN ANDRADE RINCÓN </w:t>
      </w:r>
      <w:r w:rsidRPr="004A5B4B">
        <w:rPr>
          <w:rFonts w:ascii="Century Gothic" w:hAnsi="Century Gothic"/>
          <w:b/>
        </w:rPr>
        <w:tab/>
        <w:t>MAURICIO FAJARDO GÓMEZ</w:t>
      </w:r>
      <w:r w:rsidRPr="004A5B4B">
        <w:rPr>
          <w:rFonts w:ascii="Century Gothic" w:hAnsi="Century Gothic"/>
          <w:b/>
        </w:rPr>
        <w:tab/>
        <w:t xml:space="preserve"> </w:t>
      </w:r>
    </w:p>
    <w:p w14:paraId="561CC29A" w14:textId="77777777" w:rsidR="007B66DD" w:rsidRDefault="007B66DD" w:rsidP="007B66DD">
      <w:pPr>
        <w:widowControl w:val="0"/>
        <w:autoSpaceDE w:val="0"/>
        <w:autoSpaceDN w:val="0"/>
        <w:adjustRightInd w:val="0"/>
        <w:spacing w:after="0"/>
        <w:ind w:firstLine="567"/>
        <w:jc w:val="center"/>
        <w:rPr>
          <w:rFonts w:ascii="Century Gothic" w:hAnsi="Century Gothic"/>
          <w:b/>
        </w:rPr>
      </w:pPr>
    </w:p>
    <w:p w14:paraId="286280AA" w14:textId="77777777" w:rsidR="007B66DD" w:rsidRDefault="007B66DD" w:rsidP="007B66DD">
      <w:pPr>
        <w:widowControl w:val="0"/>
        <w:autoSpaceDE w:val="0"/>
        <w:autoSpaceDN w:val="0"/>
        <w:adjustRightInd w:val="0"/>
        <w:spacing w:after="0"/>
        <w:ind w:firstLine="567"/>
        <w:jc w:val="center"/>
        <w:rPr>
          <w:rFonts w:ascii="Century Gothic" w:hAnsi="Century Gothic"/>
          <w:b/>
        </w:rPr>
      </w:pPr>
    </w:p>
    <w:p w14:paraId="65EEB0C1"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b/>
        </w:rPr>
      </w:pPr>
    </w:p>
    <w:p w14:paraId="10FFC265" w14:textId="77777777" w:rsidR="007B66DD" w:rsidRPr="004A5B4B" w:rsidRDefault="007B66DD" w:rsidP="007B66DD">
      <w:pPr>
        <w:widowControl w:val="0"/>
        <w:autoSpaceDE w:val="0"/>
        <w:autoSpaceDN w:val="0"/>
        <w:adjustRightInd w:val="0"/>
        <w:spacing w:after="0"/>
        <w:ind w:firstLine="567"/>
        <w:jc w:val="center"/>
        <w:rPr>
          <w:rFonts w:ascii="Century Gothic" w:hAnsi="Century Gothic" w:cs="Arial"/>
        </w:rPr>
      </w:pPr>
      <w:r w:rsidRPr="004A5B4B">
        <w:rPr>
          <w:rFonts w:ascii="Century Gothic" w:hAnsi="Century Gothic"/>
          <w:b/>
        </w:rPr>
        <w:t>CARLOS ALBERTO ZAMBRANO BARRERA</w:t>
      </w:r>
    </w:p>
    <w:p w14:paraId="3ED14DD8" w14:textId="77777777" w:rsidR="00792B6C" w:rsidRDefault="00792B6C" w:rsidP="007B66DD">
      <w:pPr>
        <w:spacing w:after="0"/>
      </w:pPr>
    </w:p>
    <w:p w14:paraId="7EA4374C" w14:textId="77777777" w:rsidR="000907FE" w:rsidRDefault="000907FE" w:rsidP="007B66DD">
      <w:pPr>
        <w:spacing w:after="0"/>
      </w:pPr>
    </w:p>
    <w:sectPr w:rsidR="000907FE" w:rsidSect="00EE1C2D">
      <w:pgSz w:w="12240" w:h="20160" w:code="5"/>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1A1F" w14:textId="77777777" w:rsidR="00DD28D7" w:rsidRDefault="00DD28D7" w:rsidP="007B66DD">
      <w:pPr>
        <w:spacing w:after="0" w:line="240" w:lineRule="auto"/>
      </w:pPr>
      <w:r>
        <w:separator/>
      </w:r>
    </w:p>
  </w:endnote>
  <w:endnote w:type="continuationSeparator" w:id="0">
    <w:p w14:paraId="52504B8C" w14:textId="77777777" w:rsidR="00DD28D7" w:rsidRDefault="00DD28D7" w:rsidP="007B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2691" w14:textId="77777777" w:rsidR="00DD28D7" w:rsidRDefault="00DD28D7" w:rsidP="007B66DD">
      <w:pPr>
        <w:spacing w:after="0" w:line="240" w:lineRule="auto"/>
      </w:pPr>
      <w:r>
        <w:separator/>
      </w:r>
    </w:p>
  </w:footnote>
  <w:footnote w:type="continuationSeparator" w:id="0">
    <w:p w14:paraId="615585A8" w14:textId="77777777" w:rsidR="00DD28D7" w:rsidRDefault="00DD28D7" w:rsidP="007B66DD">
      <w:pPr>
        <w:spacing w:after="0" w:line="240" w:lineRule="auto"/>
      </w:pPr>
      <w:r>
        <w:continuationSeparator/>
      </w:r>
    </w:p>
  </w:footnote>
  <w:footnote w:id="1">
    <w:p w14:paraId="35535010" w14:textId="77777777" w:rsidR="007B66DD" w:rsidRPr="00350482" w:rsidRDefault="007B66DD" w:rsidP="00350482">
      <w:pPr>
        <w:jc w:val="both"/>
        <w:rPr>
          <w:sz w:val="20"/>
          <w:szCs w:val="20"/>
          <w:lang w:val="es-MX"/>
        </w:rPr>
      </w:pPr>
      <w:r w:rsidRPr="00350482">
        <w:rPr>
          <w:rStyle w:val="Refdenotaalpie"/>
          <w:color w:val="000000"/>
          <w:sz w:val="20"/>
          <w:szCs w:val="20"/>
        </w:rPr>
        <w:footnoteRef/>
      </w:r>
      <w:r w:rsidRPr="00350482">
        <w:rPr>
          <w:sz w:val="20"/>
          <w:szCs w:val="20"/>
        </w:rPr>
        <w:t xml:space="preserve"> Artículo 2º del Decreto </w:t>
      </w:r>
      <w:r w:rsidRPr="00350482">
        <w:rPr>
          <w:sz w:val="20"/>
          <w:szCs w:val="20"/>
          <w:lang w:val="es-MX"/>
        </w:rPr>
        <w:t>597 de 1988.</w:t>
      </w:r>
    </w:p>
  </w:footnote>
  <w:footnote w:id="2">
    <w:p w14:paraId="58334935" w14:textId="77777777" w:rsidR="007B66DD" w:rsidRPr="00350482" w:rsidRDefault="007B66DD" w:rsidP="00350482">
      <w:pPr>
        <w:jc w:val="both"/>
        <w:rPr>
          <w:sz w:val="20"/>
          <w:szCs w:val="20"/>
          <w:lang w:val="es-ES"/>
        </w:rPr>
      </w:pPr>
      <w:r w:rsidRPr="00350482">
        <w:rPr>
          <w:rStyle w:val="Refdenotaalpie"/>
          <w:sz w:val="20"/>
          <w:szCs w:val="20"/>
        </w:rPr>
        <w:footnoteRef/>
      </w:r>
      <w:r w:rsidRPr="00350482">
        <w:rPr>
          <w:sz w:val="20"/>
          <w:szCs w:val="20"/>
        </w:rPr>
        <w:t xml:space="preserve"> “</w:t>
      </w:r>
      <w:r w:rsidRPr="00350482">
        <w:rPr>
          <w:bCs/>
          <w:sz w:val="20"/>
          <w:szCs w:val="20"/>
          <w:lang w:val="es-ES"/>
        </w:rPr>
        <w:t>ARTÍCULO 38</w:t>
      </w:r>
      <w:r w:rsidRPr="00350482">
        <w:rPr>
          <w:sz w:val="20"/>
          <w:szCs w:val="20"/>
          <w:lang w:val="es-ES"/>
        </w:rPr>
        <w:t>. En todo contrato se entenderán incorporadas las leyes vigentes al tiempo de su celebración.</w:t>
      </w:r>
    </w:p>
    <w:p w14:paraId="428C5676" w14:textId="77777777" w:rsidR="007B66DD" w:rsidRPr="00350482" w:rsidRDefault="007B66DD" w:rsidP="00350482">
      <w:pPr>
        <w:jc w:val="both"/>
        <w:rPr>
          <w:sz w:val="20"/>
          <w:szCs w:val="20"/>
          <w:lang w:val="es-ES"/>
        </w:rPr>
      </w:pPr>
      <w:r w:rsidRPr="00350482">
        <w:rPr>
          <w:sz w:val="20"/>
          <w:szCs w:val="20"/>
          <w:lang w:val="es-ES"/>
        </w:rPr>
        <w:t>“Exceptúanse de esta disposición:</w:t>
      </w:r>
    </w:p>
    <w:p w14:paraId="1CDDCF66" w14:textId="77777777" w:rsidR="007B66DD" w:rsidRPr="00350482" w:rsidRDefault="007B66DD" w:rsidP="00350482">
      <w:pPr>
        <w:jc w:val="both"/>
        <w:rPr>
          <w:sz w:val="20"/>
          <w:szCs w:val="20"/>
          <w:lang w:val="es-ES"/>
        </w:rPr>
      </w:pPr>
      <w:r w:rsidRPr="00350482">
        <w:rPr>
          <w:sz w:val="20"/>
          <w:szCs w:val="20"/>
          <w:lang w:val="es-ES"/>
        </w:rPr>
        <w:t xml:space="preserve">“1. Las leyes concernientes al modo de reclamar en juicio los derechos que resultaren del contrato, y </w:t>
      </w:r>
    </w:p>
    <w:p w14:paraId="046A506E" w14:textId="77777777" w:rsidR="007B66DD" w:rsidRPr="00350482" w:rsidRDefault="007B66DD" w:rsidP="00350482">
      <w:pPr>
        <w:jc w:val="both"/>
        <w:rPr>
          <w:sz w:val="20"/>
          <w:szCs w:val="20"/>
          <w:lang w:val="es-ES"/>
        </w:rPr>
      </w:pPr>
      <w:r w:rsidRPr="00350482">
        <w:rPr>
          <w:sz w:val="20"/>
          <w:szCs w:val="20"/>
          <w:lang w:val="es-ES"/>
        </w:rPr>
        <w:t>“2. Las que señalan penas para el caso de infracción de lo estipulado; la cual infracc</w:t>
      </w:r>
      <w:r>
        <w:rPr>
          <w:sz w:val="20"/>
          <w:szCs w:val="20"/>
          <w:lang w:val="es-ES"/>
        </w:rPr>
        <w:t>ión será castigada con arreglo a</w:t>
      </w:r>
      <w:r w:rsidRPr="00350482">
        <w:rPr>
          <w:sz w:val="20"/>
          <w:szCs w:val="20"/>
          <w:lang w:val="es-ES"/>
        </w:rPr>
        <w:t xml:space="preserve"> la ley bajo la cual se hubiere cometido”.</w:t>
      </w:r>
    </w:p>
    <w:p w14:paraId="7D9C2D4D" w14:textId="77777777" w:rsidR="007B66DD" w:rsidRPr="00350482" w:rsidRDefault="007B66DD" w:rsidP="00350482">
      <w:pPr>
        <w:jc w:val="both"/>
        <w:rPr>
          <w:sz w:val="20"/>
          <w:szCs w:val="20"/>
          <w:lang w:val="es-MX"/>
        </w:rPr>
      </w:pPr>
    </w:p>
  </w:footnote>
  <w:footnote w:id="3">
    <w:p w14:paraId="6B82DCA7" w14:textId="77777777" w:rsidR="007B66DD" w:rsidRPr="00350482" w:rsidRDefault="007B66DD" w:rsidP="00350482">
      <w:pPr>
        <w:jc w:val="both"/>
        <w:rPr>
          <w:sz w:val="20"/>
          <w:szCs w:val="20"/>
          <w:lang w:val="es-MX"/>
        </w:rPr>
      </w:pPr>
      <w:r w:rsidRPr="00350482">
        <w:rPr>
          <w:rStyle w:val="Refdenotaalpie"/>
          <w:sz w:val="20"/>
          <w:szCs w:val="20"/>
        </w:rPr>
        <w:footnoteRef/>
      </w:r>
      <w:r w:rsidRPr="00350482">
        <w:rPr>
          <w:sz w:val="20"/>
          <w:szCs w:val="20"/>
        </w:rPr>
        <w:t xml:space="preserve"> “</w:t>
      </w:r>
      <w:r w:rsidRPr="00350482">
        <w:rPr>
          <w:bCs/>
          <w:sz w:val="20"/>
          <w:szCs w:val="20"/>
        </w:rPr>
        <w:t>ARTÍCULO 40.</w:t>
      </w:r>
      <w:r w:rsidRPr="00350482">
        <w:rPr>
          <w:sz w:val="20"/>
          <w:szCs w:val="20"/>
        </w:rPr>
        <w:t xml:space="preserve"> Las leyes concernientes </w:t>
      </w:r>
      <w:r>
        <w:rPr>
          <w:sz w:val="20"/>
          <w:szCs w:val="20"/>
        </w:rPr>
        <w:t>a</w:t>
      </w:r>
      <w:r w:rsidRPr="00350482">
        <w:rPr>
          <w:sz w:val="20"/>
          <w:szCs w:val="20"/>
        </w:rPr>
        <w:t xml:space="preserve"> la sustanciación y ritualidad de los juicios prevalecen sobre las anteriores desde e</w:t>
      </w:r>
      <w:r>
        <w:rPr>
          <w:sz w:val="20"/>
          <w:szCs w:val="20"/>
        </w:rPr>
        <w:t>l momento en que deben empezar a</w:t>
      </w:r>
      <w:r w:rsidRPr="00350482">
        <w:rPr>
          <w:sz w:val="20"/>
          <w:szCs w:val="20"/>
        </w:rPr>
        <w:t xml:space="preserve"> regir. Pero los términos que hubieren empezado </w:t>
      </w:r>
      <w:r>
        <w:rPr>
          <w:sz w:val="20"/>
          <w:szCs w:val="20"/>
        </w:rPr>
        <w:t>a</w:t>
      </w:r>
      <w:r w:rsidRPr="00350482">
        <w:rPr>
          <w:sz w:val="20"/>
          <w:szCs w:val="20"/>
        </w:rPr>
        <w:t xml:space="preserve"> correr, y las actuaciones y diligencias que ya estuvieren iniciadas, se regirán por la ley vigente al tiempo de su iniciación” (la norma transcrita fue modificada por el artículo 624 de la Ley 1564 de 2012 –Código General del Proceso-).</w:t>
      </w:r>
      <w:r w:rsidRPr="00350482">
        <w:rPr>
          <w:sz w:val="20"/>
          <w:szCs w:val="20"/>
          <w:lang w:val="es-MX"/>
        </w:rPr>
        <w:t xml:space="preserve"> </w:t>
      </w:r>
    </w:p>
  </w:footnote>
  <w:footnote w:id="4">
    <w:p w14:paraId="1657F246" w14:textId="77777777" w:rsidR="007B66DD" w:rsidRPr="00350482" w:rsidRDefault="007B66DD" w:rsidP="00350482">
      <w:pPr>
        <w:jc w:val="both"/>
        <w:rPr>
          <w:sz w:val="20"/>
          <w:szCs w:val="20"/>
        </w:rPr>
      </w:pPr>
      <w:r w:rsidRPr="00350482">
        <w:rPr>
          <w:rStyle w:val="Refdenotaalpie"/>
          <w:sz w:val="20"/>
          <w:szCs w:val="20"/>
        </w:rPr>
        <w:footnoteRef/>
      </w:r>
      <w:r w:rsidRPr="00350482">
        <w:rPr>
          <w:sz w:val="20"/>
          <w:szCs w:val="20"/>
        </w:rPr>
        <w:t xml:space="preserve"> Al respecto ver: Consejo de Estado, Sala de lo Contencioso Administrativo, Sección Tercera, sentencia del 13 de julio de 2000, exp. 12.513, sentencia del 8 de junio de 1995, exp. 10.634 y sentencia del 16 de julio de 2008, exp. 25.292.</w:t>
      </w:r>
    </w:p>
  </w:footnote>
  <w:footnote w:id="5">
    <w:p w14:paraId="46F627CB"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w:t>
      </w:r>
      <w:r w:rsidRPr="00350482">
        <w:rPr>
          <w:rFonts w:ascii="Times New Roman" w:hAnsi="Times New Roman"/>
          <w:lang w:val="es-MX"/>
        </w:rPr>
        <w:t xml:space="preserve">Consejo de Estado, Sala de lo Contencioso Administrativo, Sección Tercera, sentencia del 14 de febrero de 2002. </w:t>
      </w:r>
    </w:p>
  </w:footnote>
  <w:footnote w:id="6">
    <w:p w14:paraId="6C6171B5"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w:t>
      </w:r>
      <w:r w:rsidRPr="00350482">
        <w:rPr>
          <w:rFonts w:ascii="Times New Roman" w:hAnsi="Times New Roman"/>
          <w:lang w:val="es-MX"/>
        </w:rPr>
        <w:t xml:space="preserve">Cfr. Consejo de Estado, Sala de lo Contencioso Administrativo, Sección Tercera, sentencia del 23 de abril de 2008, exp. 16.491. </w:t>
      </w:r>
    </w:p>
  </w:footnote>
  <w:footnote w:id="7">
    <w:p w14:paraId="71541A39"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w:t>
      </w:r>
      <w:r w:rsidRPr="00350482">
        <w:rPr>
          <w:rFonts w:ascii="Times New Roman" w:hAnsi="Times New Roman"/>
          <w:lang w:val="es-MX"/>
        </w:rPr>
        <w:t>Como se explicará en los párrafos siguientes, los actos quedaron en firme el 1º de marzo de 1999.</w:t>
      </w:r>
    </w:p>
  </w:footnote>
  <w:footnote w:id="8">
    <w:p w14:paraId="427EE515"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w:t>
      </w:r>
      <w:r w:rsidRPr="00350482">
        <w:rPr>
          <w:rFonts w:ascii="Times New Roman" w:hAnsi="Times New Roman"/>
          <w:lang w:val="es-MX"/>
        </w:rPr>
        <w:t xml:space="preserve">Promulgada en el </w:t>
      </w:r>
      <w:r w:rsidRPr="00350482">
        <w:rPr>
          <w:rFonts w:ascii="Times New Roman" w:hAnsi="Times New Roman"/>
        </w:rPr>
        <w:t xml:space="preserve">Diario Oficial 43.335, del 8 de julio de </w:t>
      </w:r>
      <w:smartTag w:uri="urn:schemas-microsoft-com:office:smarttags" w:element="metricconverter">
        <w:smartTagPr>
          <w:attr w:name="ProductID" w:val="1998. A"/>
        </w:smartTagPr>
        <w:r w:rsidRPr="00350482">
          <w:rPr>
            <w:rFonts w:ascii="Times New Roman" w:hAnsi="Times New Roman"/>
          </w:rPr>
          <w:t>1998. A</w:t>
        </w:r>
      </w:smartTag>
      <w:r w:rsidRPr="00350482">
        <w:rPr>
          <w:rFonts w:ascii="Times New Roman" w:hAnsi="Times New Roman"/>
        </w:rPr>
        <w:t xml:space="preserve"> partir de ese momento comenzó a regir el artículo 44 de la Ley 446 de 1998, según lo dispuesto por el artículo 163 ibídem.</w:t>
      </w:r>
    </w:p>
  </w:footnote>
  <w:footnote w:id="9">
    <w:p w14:paraId="19273185"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w:t>
      </w:r>
      <w:r w:rsidRPr="00350482">
        <w:rPr>
          <w:rFonts w:ascii="Times New Roman" w:hAnsi="Times New Roman"/>
          <w:lang w:val="es-MX"/>
        </w:rPr>
        <w:t>Ibídem.</w:t>
      </w:r>
    </w:p>
  </w:footnote>
  <w:footnote w:id="10">
    <w:p w14:paraId="0FA37B75" w14:textId="77777777" w:rsidR="007B66DD" w:rsidRPr="00350482" w:rsidRDefault="007B66DD" w:rsidP="00350482">
      <w:pPr>
        <w:pStyle w:val="Textonotapie"/>
        <w:jc w:val="both"/>
        <w:rPr>
          <w:rFonts w:ascii="Times New Roman" w:hAnsi="Times New Roman"/>
          <w:lang w:val="es-MX"/>
        </w:rPr>
      </w:pPr>
      <w:r w:rsidRPr="00350482">
        <w:rPr>
          <w:rStyle w:val="Refdenotaalpie"/>
          <w:rFonts w:ascii="Times New Roman" w:hAnsi="Times New Roman"/>
        </w:rPr>
        <w:footnoteRef/>
      </w:r>
      <w:r w:rsidRPr="00350482">
        <w:rPr>
          <w:rFonts w:ascii="Times New Roman" w:hAnsi="Times New Roman"/>
        </w:rPr>
        <w:t xml:space="preserve"> “ARTÍCULO 51. </w:t>
      </w:r>
      <w:r w:rsidRPr="00350482">
        <w:rPr>
          <w:rStyle w:val="textonavy"/>
          <w:rFonts w:ascii="Times New Roman" w:hAnsi="Times New Roman"/>
        </w:rPr>
        <w:t>OPORTUNIDAD Y PRESENTACIÓN.</w:t>
      </w:r>
      <w:r w:rsidRPr="00350482">
        <w:rPr>
          <w:rFonts w:ascii="Times New Roman" w:hAnsi="Times New Roman"/>
        </w:rPr>
        <w:t xml:space="preserve"> De los recursos de reposición y apelación habrá de hacerse uso, por escrito, en la diligencia de notificación personal, o dentro de los cinco (5) días siguientes a ella, o a la desfijación del edicto, o a la publicación, según el caso. Los recursos contra los actos presuntos podrán interponerse en cualquier tiempo….”.</w:t>
      </w:r>
    </w:p>
  </w:footnote>
  <w:footnote w:id="11">
    <w:p w14:paraId="0DC3FD91" w14:textId="77777777" w:rsidR="007B66DD" w:rsidRPr="00350482" w:rsidRDefault="007B66DD" w:rsidP="00350482">
      <w:pPr>
        <w:jc w:val="both"/>
        <w:rPr>
          <w:sz w:val="20"/>
          <w:szCs w:val="20"/>
        </w:rPr>
      </w:pPr>
      <w:r w:rsidRPr="00350482">
        <w:rPr>
          <w:rStyle w:val="Refdenotaalpie"/>
          <w:sz w:val="20"/>
          <w:szCs w:val="20"/>
        </w:rPr>
        <w:footnoteRef/>
      </w:r>
      <w:r w:rsidRPr="00350482">
        <w:rPr>
          <w:sz w:val="20"/>
          <w:szCs w:val="20"/>
        </w:rPr>
        <w:t xml:space="preserve"> </w:t>
      </w:r>
      <w:r w:rsidRPr="00350482">
        <w:rPr>
          <w:sz w:val="20"/>
          <w:szCs w:val="20"/>
          <w:lang w:val="es-MX"/>
        </w:rPr>
        <w:t>“A</w:t>
      </w:r>
      <w:r w:rsidRPr="00350482">
        <w:rPr>
          <w:rStyle w:val="textonavy"/>
          <w:sz w:val="20"/>
          <w:szCs w:val="20"/>
        </w:rPr>
        <w:t xml:space="preserve">RTÍCULO 52. REQUISITOS. </w:t>
      </w:r>
      <w:r w:rsidRPr="00350482">
        <w:rPr>
          <w:sz w:val="20"/>
          <w:szCs w:val="20"/>
        </w:rPr>
        <w:t xml:space="preserve">Los recursos deberán reunir los siguientes requisitos: </w:t>
      </w:r>
    </w:p>
    <w:p w14:paraId="32E350C9" w14:textId="77777777" w:rsidR="007B66DD" w:rsidRPr="00350482" w:rsidRDefault="007B66DD" w:rsidP="00350482">
      <w:pPr>
        <w:jc w:val="both"/>
        <w:rPr>
          <w:sz w:val="20"/>
          <w:szCs w:val="20"/>
          <w:lang w:val="es-MX"/>
        </w:rPr>
      </w:pPr>
      <w:r w:rsidRPr="00350482">
        <w:rPr>
          <w:sz w:val="20"/>
          <w:szCs w:val="20"/>
        </w:rPr>
        <w:t xml:space="preserve">“1. </w:t>
      </w:r>
      <w:r w:rsidRPr="00350482">
        <w:rPr>
          <w:sz w:val="20"/>
          <w:szCs w:val="20"/>
          <w:u w:val="single"/>
        </w:rPr>
        <w:t>Interponerse dentro del plazo legal</w:t>
      </w:r>
      <w:r w:rsidRPr="00350482">
        <w:rPr>
          <w:sz w:val="20"/>
          <w:szCs w:val="20"/>
        </w:rPr>
        <w:t xml:space="preserve">, personalmente y por escrito por el interesado o su representante o apoderado debidamente constituido, </w:t>
      </w:r>
      <w:r w:rsidRPr="00350482">
        <w:rPr>
          <w:sz w:val="20"/>
          <w:szCs w:val="20"/>
          <w:u w:val="single"/>
        </w:rPr>
        <w:t>y sustentarse con expresión concreta de los motivos de inconformidad</w:t>
      </w:r>
      <w:r w:rsidRPr="00350482">
        <w:rPr>
          <w:sz w:val="20"/>
          <w:szCs w:val="20"/>
        </w:rPr>
        <w:t xml:space="preserve">, y con indicación del nombre del recurrente </w:t>
      </w:r>
      <w:r>
        <w:rPr>
          <w:sz w:val="20"/>
          <w:szCs w:val="20"/>
          <w:lang w:val="es-MX"/>
        </w:rPr>
        <w:t>…” (subrayas fuera del texto original).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6C"/>
    <w:rsid w:val="000907FE"/>
    <w:rsid w:val="0042737A"/>
    <w:rsid w:val="00574942"/>
    <w:rsid w:val="00792B6C"/>
    <w:rsid w:val="00792C3D"/>
    <w:rsid w:val="007B66DD"/>
    <w:rsid w:val="007C2014"/>
    <w:rsid w:val="00C4759B"/>
    <w:rsid w:val="00DD28D7"/>
    <w:rsid w:val="00E31479"/>
    <w:rsid w:val="00EE1C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182C621"/>
  <w15:docId w15:val="{E42D034F-02EB-40E6-8261-2DE6707A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7B66DD"/>
    <w:pPr>
      <w:keepNext/>
      <w:spacing w:after="0" w:line="360" w:lineRule="auto"/>
      <w:ind w:right="-1"/>
      <w:jc w:val="both"/>
      <w:outlineLvl w:val="2"/>
    </w:pPr>
    <w:rPr>
      <w:rFonts w:ascii="Garamond" w:eastAsia="Times New Roman" w:hAnsi="Garamond" w:cs="Times New Roman"/>
      <w:bCs/>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B66DD"/>
    <w:rPr>
      <w:rFonts w:ascii="Garamond" w:eastAsia="Times New Roman" w:hAnsi="Garamond" w:cs="Times New Roman"/>
      <w:bCs/>
      <w:sz w:val="28"/>
      <w:szCs w:val="24"/>
      <w:lang w:eastAsia="es-ES"/>
    </w:rPr>
  </w:style>
  <w:style w:type="paragraph" w:styleId="Piedepgina">
    <w:name w:val="footer"/>
    <w:basedOn w:val="Normal"/>
    <w:link w:val="PiedepginaCar"/>
    <w:rsid w:val="007B66D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7B66DD"/>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7B66DD"/>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eastAsia="es-ES"/>
    </w:rPr>
  </w:style>
  <w:style w:type="paragraph" w:styleId="Textoindependiente">
    <w:name w:val="Body Text"/>
    <w:basedOn w:val="Normal"/>
    <w:link w:val="TextoindependienteCar"/>
    <w:rsid w:val="007B66DD"/>
    <w:pPr>
      <w:spacing w:after="0" w:line="360" w:lineRule="auto"/>
      <w:ind w:right="-1"/>
      <w:jc w:val="both"/>
    </w:pPr>
    <w:rPr>
      <w:rFonts w:ascii="Garamond" w:eastAsia="Times New Roman" w:hAnsi="Garamond" w:cs="Times New Roman"/>
      <w:bCs/>
      <w:sz w:val="24"/>
      <w:szCs w:val="24"/>
      <w:lang w:eastAsia="es-ES"/>
    </w:rPr>
  </w:style>
  <w:style w:type="character" w:customStyle="1" w:styleId="TextoindependienteCar">
    <w:name w:val="Texto independiente Car"/>
    <w:basedOn w:val="Fuentedeprrafopredeter"/>
    <w:link w:val="Textoindependiente"/>
    <w:rsid w:val="007B66DD"/>
    <w:rPr>
      <w:rFonts w:ascii="Garamond" w:eastAsia="Times New Roman" w:hAnsi="Garamond" w:cs="Times New Roman"/>
      <w:bCs/>
      <w:sz w:val="24"/>
      <w:szCs w:val="24"/>
      <w:lang w:eastAsia="es-ES"/>
    </w:rPr>
  </w:style>
  <w:style w:type="paragraph" w:styleId="Textoindependiente3">
    <w:name w:val="Body Text 3"/>
    <w:basedOn w:val="Normal"/>
    <w:link w:val="Textoindependiente3Car"/>
    <w:rsid w:val="007B66DD"/>
    <w:pPr>
      <w:tabs>
        <w:tab w:val="left" w:pos="426"/>
      </w:tabs>
      <w:spacing w:after="0" w:line="360" w:lineRule="auto"/>
      <w:jc w:val="both"/>
    </w:pPr>
    <w:rPr>
      <w:rFonts w:ascii="Garamond" w:eastAsia="Times New Roman" w:hAnsi="Garamond" w:cs="Times New Roman"/>
      <w:bCs/>
      <w:sz w:val="28"/>
      <w:szCs w:val="24"/>
      <w:lang w:eastAsia="es-ES"/>
    </w:rPr>
  </w:style>
  <w:style w:type="character" w:customStyle="1" w:styleId="Textoindependiente3Car">
    <w:name w:val="Texto independiente 3 Car"/>
    <w:basedOn w:val="Fuentedeprrafopredeter"/>
    <w:link w:val="Textoindependiente3"/>
    <w:rsid w:val="007B66DD"/>
    <w:rPr>
      <w:rFonts w:ascii="Garamond" w:eastAsia="Times New Roman" w:hAnsi="Garamond" w:cs="Times New Roman"/>
      <w:bCs/>
      <w:sz w:val="28"/>
      <w:szCs w:val="24"/>
      <w:lang w:eastAsia="es-ES"/>
    </w:rPr>
  </w:style>
  <w:style w:type="paragraph" w:styleId="Textoindependiente2">
    <w:name w:val="Body Text 2"/>
    <w:basedOn w:val="Normal"/>
    <w:link w:val="Textoindependiente2Car"/>
    <w:rsid w:val="007B66DD"/>
    <w:pPr>
      <w:tabs>
        <w:tab w:val="left" w:pos="426"/>
      </w:tabs>
      <w:spacing w:after="0" w:line="360" w:lineRule="auto"/>
      <w:ind w:right="-1"/>
      <w:jc w:val="both"/>
    </w:pPr>
    <w:rPr>
      <w:rFonts w:ascii="Garamond" w:eastAsia="Times New Roman" w:hAnsi="Garamond" w:cs="Times New Roman"/>
      <w:sz w:val="28"/>
      <w:szCs w:val="24"/>
      <w:lang w:eastAsia="es-ES"/>
    </w:rPr>
  </w:style>
  <w:style w:type="character" w:customStyle="1" w:styleId="Textoindependiente2Car">
    <w:name w:val="Texto independiente 2 Car"/>
    <w:basedOn w:val="Fuentedeprrafopredeter"/>
    <w:link w:val="Textoindependiente2"/>
    <w:rsid w:val="007B66DD"/>
    <w:rPr>
      <w:rFonts w:ascii="Garamond" w:eastAsia="Times New Roman" w:hAnsi="Garamond" w:cs="Times New Roman"/>
      <w:sz w:val="28"/>
      <w:szCs w:val="24"/>
      <w:lang w:eastAsia="es-ES"/>
    </w:rPr>
  </w:style>
  <w:style w:type="character" w:styleId="Refdenotaalpie">
    <w:name w:val="footnote reference"/>
    <w:aliases w:val="Texto de nota al pie,Ref. de nota al pie 2,Pie de Página,FC"/>
    <w:semiHidden/>
    <w:rsid w:val="007B66DD"/>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1"/>
    <w:semiHidden/>
    <w:rsid w:val="007B66DD"/>
    <w:pPr>
      <w:overflowPunct w:val="0"/>
      <w:autoSpaceDE w:val="0"/>
      <w:autoSpaceDN w:val="0"/>
      <w:adjustRightInd w:val="0"/>
      <w:spacing w:after="0" w:line="240" w:lineRule="auto"/>
      <w:textAlignment w:val="baseline"/>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uiPriority w:val="99"/>
    <w:semiHidden/>
    <w:rsid w:val="007B66DD"/>
    <w:rPr>
      <w:sz w:val="20"/>
      <w:szCs w:val="20"/>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texto de nota al p Car"/>
    <w:link w:val="Textonotapie"/>
    <w:semiHidden/>
    <w:locked/>
    <w:rsid w:val="007B66DD"/>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7B66DD"/>
    <w:pPr>
      <w:spacing w:before="100" w:beforeAutospacing="1" w:after="100" w:afterAutospacing="1" w:line="240" w:lineRule="auto"/>
    </w:pPr>
    <w:rPr>
      <w:rFonts w:ascii="Arial" w:eastAsia="Times New Roman" w:hAnsi="Arial" w:cs="Arial"/>
      <w:color w:val="000000"/>
      <w:sz w:val="24"/>
      <w:szCs w:val="24"/>
      <w:lang w:eastAsia="es-CO"/>
    </w:rPr>
  </w:style>
  <w:style w:type="paragraph" w:styleId="Lista2">
    <w:name w:val="List 2"/>
    <w:basedOn w:val="Normal"/>
    <w:rsid w:val="007B66DD"/>
    <w:pPr>
      <w:overflowPunct w:val="0"/>
      <w:autoSpaceDE w:val="0"/>
      <w:autoSpaceDN w:val="0"/>
      <w:adjustRightInd w:val="0"/>
      <w:spacing w:after="0" w:line="240" w:lineRule="auto"/>
      <w:ind w:left="566" w:hanging="283"/>
      <w:textAlignment w:val="baseline"/>
    </w:pPr>
    <w:rPr>
      <w:rFonts w:ascii="Century Gothic" w:eastAsia="Times New Roman" w:hAnsi="Century Gothic" w:cs="Times New Roman"/>
      <w:sz w:val="24"/>
      <w:szCs w:val="20"/>
      <w:lang w:eastAsia="es-ES"/>
    </w:rPr>
  </w:style>
  <w:style w:type="character" w:customStyle="1" w:styleId="textonavy">
    <w:name w:val="texto_navy"/>
    <w:basedOn w:val="Fuentedeprrafopredeter"/>
    <w:rsid w:val="007B66DD"/>
  </w:style>
  <w:style w:type="paragraph" w:customStyle="1" w:styleId="Textoindependiente210">
    <w:name w:val="Texto independiente 21"/>
    <w:basedOn w:val="Normal"/>
    <w:rsid w:val="007B66DD"/>
    <w:pPr>
      <w:spacing w:after="0" w:line="360" w:lineRule="auto"/>
      <w:ind w:right="79" w:firstLine="1416"/>
      <w:jc w:val="both"/>
    </w:pPr>
    <w:rPr>
      <w:rFonts w:ascii="CG Times" w:eastAsia="Times New Roman" w:hAnsi="CG Times" w:cs="Times New Roman"/>
      <w:sz w:val="32"/>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FEA5-B772-4E4D-88BB-43BD1886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4023</Words>
  <Characters>22130</Characters>
  <Application>Microsoft Office Word</Application>
  <DocSecurity>0</DocSecurity>
  <Lines>184</Lines>
  <Paragraphs>52</Paragraphs>
  <ScaleCrop>false</ScaleCrop>
  <Company>CONSEJO SUPERIOR DE LA JUDICATURA</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DIAZ AREVALO</dc:creator>
  <cp:keywords/>
  <dc:description/>
  <cp:lastModifiedBy>contratacione en linea</cp:lastModifiedBy>
  <cp:revision>2</cp:revision>
  <dcterms:created xsi:type="dcterms:W3CDTF">2022-09-21T06:49:00Z</dcterms:created>
  <dcterms:modified xsi:type="dcterms:W3CDTF">2022-09-21T06:49:00Z</dcterms:modified>
</cp:coreProperties>
</file>